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F8FF7" w14:textId="30B62C1A" w:rsidR="00EC67BB" w:rsidRPr="004363A3" w:rsidRDefault="004363A3" w:rsidP="004363A3">
      <w:pPr>
        <w:jc w:val="center"/>
        <w:rPr>
          <w:rFonts w:ascii="Times New Roman" w:hAnsi="Times New Roman" w:cs="Times New Roman"/>
          <w:b/>
          <w:bCs/>
          <w:sz w:val="26"/>
          <w:szCs w:val="26"/>
        </w:rPr>
      </w:pPr>
      <w:r w:rsidRPr="004363A3">
        <w:rPr>
          <w:rFonts w:ascii="Times New Roman" w:hAnsi="Times New Roman" w:cs="Times New Roman"/>
          <w:b/>
          <w:bCs/>
          <w:sz w:val="26"/>
          <w:szCs w:val="26"/>
        </w:rPr>
        <w:t>BỘ GIÁO DỤC VÀ ĐÀO TẠO</w:t>
      </w:r>
    </w:p>
    <w:p w14:paraId="7AEF7503" w14:textId="4150BEBC" w:rsidR="004363A3" w:rsidRPr="004363A3" w:rsidRDefault="004363A3" w:rsidP="004363A3">
      <w:pPr>
        <w:jc w:val="center"/>
        <w:rPr>
          <w:rFonts w:ascii="Times New Roman" w:hAnsi="Times New Roman" w:cs="Times New Roman"/>
          <w:b/>
          <w:bCs/>
          <w:sz w:val="26"/>
          <w:szCs w:val="26"/>
        </w:rPr>
      </w:pPr>
      <w:r w:rsidRPr="004363A3">
        <w:rPr>
          <w:rFonts w:ascii="Times New Roman" w:hAnsi="Times New Roman" w:cs="Times New Roman"/>
          <w:b/>
          <w:bCs/>
          <w:sz w:val="26"/>
          <w:szCs w:val="26"/>
        </w:rPr>
        <w:t>TRƯỜNG ĐẠI HỌC KIẾN TRÚC ĐÀ NẴNG</w:t>
      </w:r>
    </w:p>
    <w:p w14:paraId="384BB815" w14:textId="0A4B49B1" w:rsidR="004363A3" w:rsidRDefault="004363A3" w:rsidP="004363A3">
      <w:pPr>
        <w:jc w:val="center"/>
        <w:rPr>
          <w:rFonts w:ascii="Times New Roman" w:hAnsi="Times New Roman" w:cs="Times New Roman"/>
          <w:sz w:val="26"/>
          <w:szCs w:val="26"/>
        </w:rPr>
      </w:pPr>
      <w:r>
        <w:rPr>
          <w:rFonts w:ascii="Times New Roman" w:hAnsi="Times New Roman" w:cs="Times New Roman"/>
          <w:sz w:val="26"/>
          <w:szCs w:val="26"/>
        </w:rPr>
        <w:t>KHOA KINH TẾ</w:t>
      </w:r>
    </w:p>
    <w:p w14:paraId="465DF1EC" w14:textId="77777777" w:rsidR="004363A3" w:rsidRPr="009938C8" w:rsidRDefault="004363A3" w:rsidP="004363A3">
      <w:pPr>
        <w:tabs>
          <w:tab w:val="center" w:pos="3420"/>
        </w:tabs>
        <w:ind w:right="-51"/>
        <w:jc w:val="center"/>
        <w:rPr>
          <w:sz w:val="26"/>
          <w:szCs w:val="26"/>
        </w:rPr>
      </w:pPr>
      <w:r w:rsidRPr="009938C8">
        <w:rPr>
          <w:sz w:val="26"/>
          <w:szCs w:val="26"/>
        </w:rPr>
        <w:t>-----</w:t>
      </w:r>
      <w:r w:rsidRPr="009938C8">
        <w:rPr>
          <w:sz w:val="26"/>
          <w:szCs w:val="26"/>
        </w:rPr>
        <w:sym w:font="Wingdings" w:char="F09A"/>
      </w:r>
      <w:r w:rsidRPr="009938C8">
        <w:rPr>
          <w:sz w:val="26"/>
          <w:szCs w:val="26"/>
        </w:rPr>
        <w:sym w:font="Wingdings" w:char="F09B"/>
      </w:r>
      <w:r w:rsidRPr="009938C8">
        <w:rPr>
          <w:sz w:val="26"/>
          <w:szCs w:val="26"/>
        </w:rPr>
        <w:sym w:font="Wingdings" w:char="F026"/>
      </w:r>
      <w:r w:rsidRPr="009938C8">
        <w:rPr>
          <w:sz w:val="26"/>
          <w:szCs w:val="26"/>
        </w:rPr>
        <w:sym w:font="Wingdings" w:char="F09A"/>
      </w:r>
      <w:r w:rsidRPr="009938C8">
        <w:rPr>
          <w:sz w:val="26"/>
          <w:szCs w:val="26"/>
        </w:rPr>
        <w:sym w:font="Wingdings" w:char="F09B"/>
      </w:r>
      <w:r w:rsidRPr="009938C8">
        <w:rPr>
          <w:sz w:val="26"/>
          <w:szCs w:val="26"/>
        </w:rPr>
        <w:t>-----</w:t>
      </w:r>
    </w:p>
    <w:p w14:paraId="1D16D031" w14:textId="77777777" w:rsidR="004363A3" w:rsidRPr="009938C8" w:rsidRDefault="004363A3" w:rsidP="004363A3">
      <w:pPr>
        <w:jc w:val="center"/>
        <w:rPr>
          <w:b/>
          <w:spacing w:val="15"/>
          <w:sz w:val="26"/>
          <w:szCs w:val="26"/>
        </w:rPr>
      </w:pPr>
    </w:p>
    <w:p w14:paraId="6EAA89E4" w14:textId="29EADD65" w:rsidR="004363A3" w:rsidRDefault="004363A3" w:rsidP="004363A3">
      <w:pPr>
        <w:ind w:left="-90"/>
        <w:jc w:val="center"/>
        <w:rPr>
          <w:rFonts w:ascii="Times New Roman" w:hAnsi="Times New Roman" w:cs="Times New Roman"/>
          <w:sz w:val="26"/>
          <w:szCs w:val="26"/>
        </w:rPr>
      </w:pPr>
      <w:r w:rsidRPr="009938C8">
        <w:rPr>
          <w:b/>
          <w:noProof/>
          <w:sz w:val="26"/>
          <w:szCs w:val="26"/>
        </w:rPr>
        <w:drawing>
          <wp:inline distT="0" distB="0" distL="0" distR="0" wp14:anchorId="7A8ADB55" wp14:editId="2BBBD832">
            <wp:extent cx="2343150" cy="2057400"/>
            <wp:effectExtent l="0" t="0" r="0" b="0"/>
            <wp:docPr id="4049219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3150" cy="2057400"/>
                    </a:xfrm>
                    <a:prstGeom prst="rect">
                      <a:avLst/>
                    </a:prstGeom>
                    <a:noFill/>
                    <a:ln>
                      <a:noFill/>
                    </a:ln>
                  </pic:spPr>
                </pic:pic>
              </a:graphicData>
            </a:graphic>
          </wp:inline>
        </w:drawing>
      </w:r>
    </w:p>
    <w:p w14:paraId="59EF519F" w14:textId="77777777" w:rsidR="004363A3" w:rsidRDefault="004363A3" w:rsidP="004363A3">
      <w:pPr>
        <w:ind w:left="-90"/>
        <w:jc w:val="center"/>
        <w:rPr>
          <w:rFonts w:ascii="Times New Roman" w:hAnsi="Times New Roman" w:cs="Times New Roman"/>
          <w:sz w:val="26"/>
          <w:szCs w:val="26"/>
        </w:rPr>
      </w:pPr>
    </w:p>
    <w:p w14:paraId="1158E7CB" w14:textId="1D6229EE" w:rsidR="004363A3" w:rsidRPr="00935A3C" w:rsidRDefault="004363A3" w:rsidP="004363A3">
      <w:pPr>
        <w:ind w:left="-90"/>
        <w:jc w:val="center"/>
        <w:rPr>
          <w:rFonts w:ascii="Times New Roman" w:hAnsi="Times New Roman" w:cs="Times New Roman"/>
          <w:b/>
          <w:bCs/>
          <w:sz w:val="36"/>
          <w:szCs w:val="36"/>
        </w:rPr>
      </w:pPr>
      <w:r w:rsidRPr="00935A3C">
        <w:rPr>
          <w:rFonts w:ascii="Times New Roman" w:hAnsi="Times New Roman" w:cs="Times New Roman"/>
          <w:b/>
          <w:bCs/>
          <w:sz w:val="36"/>
          <w:szCs w:val="36"/>
        </w:rPr>
        <w:t>KHÓA LUẬN TỐT NGHIỆP</w:t>
      </w:r>
    </w:p>
    <w:p w14:paraId="5DDA9DF0" w14:textId="2D8D6D76" w:rsidR="004363A3" w:rsidRPr="00935A3C" w:rsidRDefault="00935A3C" w:rsidP="00935A3C">
      <w:pPr>
        <w:ind w:left="-90"/>
        <w:jc w:val="center"/>
        <w:rPr>
          <w:rFonts w:ascii="Times New Roman" w:hAnsi="Times New Roman" w:cs="Times New Roman"/>
          <w:b/>
          <w:bCs/>
          <w:sz w:val="26"/>
          <w:szCs w:val="26"/>
        </w:rPr>
      </w:pPr>
      <w:r w:rsidRPr="00935A3C">
        <w:rPr>
          <w:rFonts w:ascii="Times New Roman" w:hAnsi="Times New Roman" w:cs="Times New Roman"/>
          <w:b/>
          <w:bCs/>
          <w:sz w:val="26"/>
          <w:szCs w:val="26"/>
        </w:rPr>
        <w:t>ĐỀ TÀI: GIẢI PHÁP PHÁT TRIỂN HOẠT ĐỘNG HUY ĐỘNG VỐN ĐỐI VỚI KHÁCH HÀNG CÁ NHÂN TẠI NGÂN HÀNG THƯƠNG MẠI CỔ PHẦN NAM Á – CHI NHÁNH ĐÀ NẴNG – PHÒNG GIAO DỊCH CẨM LỆ</w:t>
      </w:r>
    </w:p>
    <w:p w14:paraId="468B96C7" w14:textId="629D573A" w:rsidR="00935A3C" w:rsidRDefault="00935A3C" w:rsidP="00935A3C">
      <w:pPr>
        <w:rPr>
          <w:rFonts w:ascii="Times New Roman" w:hAnsi="Times New Roman" w:cs="Times New Roman"/>
          <w:b/>
          <w:bCs/>
          <w:sz w:val="32"/>
          <w:szCs w:val="32"/>
        </w:rPr>
      </w:pPr>
    </w:p>
    <w:p w14:paraId="3EE7E68F" w14:textId="2B7F1D16" w:rsidR="00935A3C" w:rsidRPr="00935A3C" w:rsidRDefault="00935A3C" w:rsidP="00935A3C">
      <w:pPr>
        <w:ind w:left="630" w:firstLine="810"/>
        <w:rPr>
          <w:rFonts w:ascii="Times New Roman" w:hAnsi="Times New Roman" w:cs="Times New Roman"/>
          <w:b/>
          <w:bCs/>
          <w:sz w:val="26"/>
          <w:szCs w:val="26"/>
        </w:rPr>
      </w:pPr>
      <w:r w:rsidRPr="00935A3C">
        <w:rPr>
          <w:rFonts w:ascii="Times New Roman" w:hAnsi="Times New Roman" w:cs="Times New Roman"/>
          <w:b/>
          <w:bCs/>
          <w:sz w:val="26"/>
          <w:szCs w:val="26"/>
        </w:rPr>
        <w:t>Giảng viên hướng dẫn: Th.S Trần Thị Yến Vinh</w:t>
      </w:r>
    </w:p>
    <w:p w14:paraId="503E0016" w14:textId="703D46FC" w:rsidR="00935A3C" w:rsidRPr="00935A3C" w:rsidRDefault="00935A3C" w:rsidP="00935A3C">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t>Sinh viên thực hiện     : Võ Thị Cẩm Lệ</w:t>
      </w:r>
    </w:p>
    <w:p w14:paraId="2A07A64E" w14:textId="564C2327" w:rsidR="00935A3C" w:rsidRPr="00935A3C" w:rsidRDefault="00935A3C" w:rsidP="00935A3C">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t>Lớp                               : 22NH1</w:t>
      </w:r>
    </w:p>
    <w:p w14:paraId="4B6C68B3" w14:textId="3EA1AD7C" w:rsidR="00935A3C" w:rsidRPr="00935A3C" w:rsidRDefault="00935A3C" w:rsidP="00935A3C">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t>Khóa học                      : 2022 – 2026</w:t>
      </w:r>
    </w:p>
    <w:p w14:paraId="27316B90" w14:textId="6F61DE5B" w:rsidR="00935A3C" w:rsidRDefault="00935A3C" w:rsidP="00935A3C">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p>
    <w:p w14:paraId="599D6873" w14:textId="77777777" w:rsidR="00935A3C" w:rsidRDefault="00935A3C" w:rsidP="00935A3C">
      <w:pPr>
        <w:ind w:left="-90"/>
        <w:jc w:val="center"/>
        <w:rPr>
          <w:rFonts w:ascii="Times New Roman" w:hAnsi="Times New Roman" w:cs="Times New Roman"/>
          <w:b/>
          <w:bCs/>
          <w:sz w:val="26"/>
          <w:szCs w:val="26"/>
        </w:rPr>
      </w:pPr>
    </w:p>
    <w:p w14:paraId="296CC613" w14:textId="18E9BA51" w:rsidR="00935A3C" w:rsidRDefault="00935A3C"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Đà Nẵng, tháng 5 năm 2026</w:t>
      </w:r>
    </w:p>
    <w:p w14:paraId="3C775AC0" w14:textId="77777777" w:rsidR="006D6414" w:rsidRDefault="006D6414" w:rsidP="006D6414">
      <w:pPr>
        <w:jc w:val="center"/>
        <w:rPr>
          <w:rFonts w:ascii="Times New Roman" w:hAnsi="Times New Roman" w:cs="Times New Roman"/>
          <w:b/>
          <w:bCs/>
          <w:sz w:val="26"/>
          <w:szCs w:val="26"/>
        </w:rPr>
      </w:pPr>
    </w:p>
    <w:p w14:paraId="3E1499DA" w14:textId="77777777" w:rsidR="00D26AB8" w:rsidRDefault="00D26AB8" w:rsidP="006D6414">
      <w:pPr>
        <w:jc w:val="center"/>
        <w:rPr>
          <w:rFonts w:ascii="Times New Roman" w:hAnsi="Times New Roman" w:cs="Times New Roman"/>
          <w:b/>
          <w:bCs/>
          <w:sz w:val="26"/>
          <w:szCs w:val="26"/>
        </w:rPr>
      </w:pPr>
    </w:p>
    <w:p w14:paraId="35ECCFCF" w14:textId="212FB3E2" w:rsidR="006D6414" w:rsidRPr="004363A3" w:rsidRDefault="006D6414" w:rsidP="006D6414">
      <w:pPr>
        <w:jc w:val="center"/>
        <w:rPr>
          <w:rFonts w:ascii="Times New Roman" w:hAnsi="Times New Roman" w:cs="Times New Roman"/>
          <w:b/>
          <w:bCs/>
          <w:sz w:val="26"/>
          <w:szCs w:val="26"/>
        </w:rPr>
      </w:pPr>
      <w:r w:rsidRPr="004363A3">
        <w:rPr>
          <w:rFonts w:ascii="Times New Roman" w:hAnsi="Times New Roman" w:cs="Times New Roman"/>
          <w:b/>
          <w:bCs/>
          <w:sz w:val="26"/>
          <w:szCs w:val="26"/>
        </w:rPr>
        <w:lastRenderedPageBreak/>
        <w:t>BỘ GIÁO DỤC VÀ ĐÀO TẠO</w:t>
      </w:r>
    </w:p>
    <w:p w14:paraId="58ED0526" w14:textId="77777777" w:rsidR="006D6414" w:rsidRPr="004363A3" w:rsidRDefault="006D6414" w:rsidP="006D6414">
      <w:pPr>
        <w:jc w:val="center"/>
        <w:rPr>
          <w:rFonts w:ascii="Times New Roman" w:hAnsi="Times New Roman" w:cs="Times New Roman"/>
          <w:b/>
          <w:bCs/>
          <w:sz w:val="26"/>
          <w:szCs w:val="26"/>
        </w:rPr>
      </w:pPr>
      <w:r w:rsidRPr="004363A3">
        <w:rPr>
          <w:rFonts w:ascii="Times New Roman" w:hAnsi="Times New Roman" w:cs="Times New Roman"/>
          <w:b/>
          <w:bCs/>
          <w:sz w:val="26"/>
          <w:szCs w:val="26"/>
        </w:rPr>
        <w:t>TRƯỜNG ĐẠI HỌC KIẾN TRÚC ĐÀ NẴNG</w:t>
      </w:r>
    </w:p>
    <w:p w14:paraId="17EB718D" w14:textId="77777777" w:rsidR="006D6414" w:rsidRDefault="006D6414" w:rsidP="006D6414">
      <w:pPr>
        <w:jc w:val="center"/>
        <w:rPr>
          <w:rFonts w:ascii="Times New Roman" w:hAnsi="Times New Roman" w:cs="Times New Roman"/>
          <w:sz w:val="26"/>
          <w:szCs w:val="26"/>
        </w:rPr>
      </w:pPr>
      <w:r>
        <w:rPr>
          <w:rFonts w:ascii="Times New Roman" w:hAnsi="Times New Roman" w:cs="Times New Roman"/>
          <w:sz w:val="26"/>
          <w:szCs w:val="26"/>
        </w:rPr>
        <w:t>KHOA KINH TẾ</w:t>
      </w:r>
    </w:p>
    <w:p w14:paraId="3E6FF388" w14:textId="77777777" w:rsidR="006D6414" w:rsidRPr="009938C8" w:rsidRDefault="006D6414" w:rsidP="006D6414">
      <w:pPr>
        <w:tabs>
          <w:tab w:val="center" w:pos="3420"/>
        </w:tabs>
        <w:ind w:right="-51"/>
        <w:jc w:val="center"/>
        <w:rPr>
          <w:sz w:val="26"/>
          <w:szCs w:val="26"/>
        </w:rPr>
      </w:pPr>
      <w:r w:rsidRPr="009938C8">
        <w:rPr>
          <w:sz w:val="26"/>
          <w:szCs w:val="26"/>
        </w:rPr>
        <w:t>-----</w:t>
      </w:r>
      <w:r w:rsidRPr="009938C8">
        <w:rPr>
          <w:sz w:val="26"/>
          <w:szCs w:val="26"/>
        </w:rPr>
        <w:sym w:font="Wingdings" w:char="F09A"/>
      </w:r>
      <w:r w:rsidRPr="009938C8">
        <w:rPr>
          <w:sz w:val="26"/>
          <w:szCs w:val="26"/>
        </w:rPr>
        <w:sym w:font="Wingdings" w:char="F09B"/>
      </w:r>
      <w:r w:rsidRPr="009938C8">
        <w:rPr>
          <w:sz w:val="26"/>
          <w:szCs w:val="26"/>
        </w:rPr>
        <w:sym w:font="Wingdings" w:char="F026"/>
      </w:r>
      <w:r w:rsidRPr="009938C8">
        <w:rPr>
          <w:sz w:val="26"/>
          <w:szCs w:val="26"/>
        </w:rPr>
        <w:sym w:font="Wingdings" w:char="F09A"/>
      </w:r>
      <w:r w:rsidRPr="009938C8">
        <w:rPr>
          <w:sz w:val="26"/>
          <w:szCs w:val="26"/>
        </w:rPr>
        <w:sym w:font="Wingdings" w:char="F09B"/>
      </w:r>
      <w:r w:rsidRPr="009938C8">
        <w:rPr>
          <w:sz w:val="26"/>
          <w:szCs w:val="26"/>
        </w:rPr>
        <w:t>-----</w:t>
      </w:r>
    </w:p>
    <w:p w14:paraId="67DE82EB" w14:textId="77777777" w:rsidR="006D6414" w:rsidRPr="009938C8" w:rsidRDefault="006D6414" w:rsidP="006D6414">
      <w:pPr>
        <w:jc w:val="center"/>
        <w:rPr>
          <w:b/>
          <w:spacing w:val="15"/>
          <w:sz w:val="26"/>
          <w:szCs w:val="26"/>
        </w:rPr>
      </w:pPr>
    </w:p>
    <w:p w14:paraId="5E515B65" w14:textId="77777777" w:rsidR="006D6414" w:rsidRDefault="006D6414" w:rsidP="006D6414">
      <w:pPr>
        <w:ind w:left="-90"/>
        <w:jc w:val="center"/>
        <w:rPr>
          <w:rFonts w:ascii="Times New Roman" w:hAnsi="Times New Roman" w:cs="Times New Roman"/>
          <w:sz w:val="26"/>
          <w:szCs w:val="26"/>
        </w:rPr>
      </w:pPr>
      <w:r w:rsidRPr="009938C8">
        <w:rPr>
          <w:b/>
          <w:noProof/>
          <w:sz w:val="26"/>
          <w:szCs w:val="26"/>
        </w:rPr>
        <w:drawing>
          <wp:inline distT="0" distB="0" distL="0" distR="0" wp14:anchorId="1DC973A0" wp14:editId="54658349">
            <wp:extent cx="2343150" cy="2057400"/>
            <wp:effectExtent l="0" t="0" r="0" b="0"/>
            <wp:docPr id="85961538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43150" cy="2057400"/>
                    </a:xfrm>
                    <a:prstGeom prst="rect">
                      <a:avLst/>
                    </a:prstGeom>
                    <a:noFill/>
                    <a:ln>
                      <a:noFill/>
                    </a:ln>
                  </pic:spPr>
                </pic:pic>
              </a:graphicData>
            </a:graphic>
          </wp:inline>
        </w:drawing>
      </w:r>
    </w:p>
    <w:p w14:paraId="722C0C5A" w14:textId="77777777" w:rsidR="006D6414" w:rsidRDefault="006D6414" w:rsidP="006D6414">
      <w:pPr>
        <w:ind w:left="-90"/>
        <w:jc w:val="center"/>
        <w:rPr>
          <w:rFonts w:ascii="Times New Roman" w:hAnsi="Times New Roman" w:cs="Times New Roman"/>
          <w:sz w:val="26"/>
          <w:szCs w:val="26"/>
        </w:rPr>
      </w:pPr>
    </w:p>
    <w:p w14:paraId="1EE2D0A8" w14:textId="77777777" w:rsidR="006D6414" w:rsidRPr="00935A3C" w:rsidRDefault="006D6414" w:rsidP="006D6414">
      <w:pPr>
        <w:ind w:left="-90"/>
        <w:jc w:val="center"/>
        <w:rPr>
          <w:rFonts w:ascii="Times New Roman" w:hAnsi="Times New Roman" w:cs="Times New Roman"/>
          <w:b/>
          <w:bCs/>
          <w:sz w:val="36"/>
          <w:szCs w:val="36"/>
        </w:rPr>
      </w:pPr>
      <w:r w:rsidRPr="00935A3C">
        <w:rPr>
          <w:rFonts w:ascii="Times New Roman" w:hAnsi="Times New Roman" w:cs="Times New Roman"/>
          <w:b/>
          <w:bCs/>
          <w:sz w:val="36"/>
          <w:szCs w:val="36"/>
        </w:rPr>
        <w:t>KHÓA LUẬN TỐT NGHIỆP</w:t>
      </w:r>
    </w:p>
    <w:p w14:paraId="7E6B8F86" w14:textId="77777777" w:rsidR="006D6414" w:rsidRPr="00935A3C" w:rsidRDefault="006D6414" w:rsidP="006D6414">
      <w:pPr>
        <w:ind w:left="-90"/>
        <w:jc w:val="center"/>
        <w:rPr>
          <w:rFonts w:ascii="Times New Roman" w:hAnsi="Times New Roman" w:cs="Times New Roman"/>
          <w:b/>
          <w:bCs/>
          <w:sz w:val="26"/>
          <w:szCs w:val="26"/>
        </w:rPr>
      </w:pPr>
      <w:r w:rsidRPr="00935A3C">
        <w:rPr>
          <w:rFonts w:ascii="Times New Roman" w:hAnsi="Times New Roman" w:cs="Times New Roman"/>
          <w:b/>
          <w:bCs/>
          <w:sz w:val="26"/>
          <w:szCs w:val="26"/>
        </w:rPr>
        <w:t>ĐỀ TÀI: GIẢI PHÁP PHÁT TRIỂN HOẠT ĐỘNG HUY ĐỘNG VỐN ĐỐI VỚI KHÁCH HÀNG CÁ NHÂN TẠI NGÂN HÀNG THƯƠNG MẠI CỔ PHẦN NAM Á – CHI NHÁNH ĐÀ NẴNG – PHÒNG GIAO DỊCH CẨM LỆ</w:t>
      </w:r>
    </w:p>
    <w:p w14:paraId="7F6E075B" w14:textId="77777777" w:rsidR="006D6414" w:rsidRDefault="006D6414" w:rsidP="006D6414">
      <w:pPr>
        <w:rPr>
          <w:rFonts w:ascii="Times New Roman" w:hAnsi="Times New Roman" w:cs="Times New Roman"/>
          <w:b/>
          <w:bCs/>
          <w:sz w:val="32"/>
          <w:szCs w:val="32"/>
        </w:rPr>
      </w:pPr>
    </w:p>
    <w:p w14:paraId="3B1D1BAE" w14:textId="77777777" w:rsidR="006D6414" w:rsidRPr="00935A3C" w:rsidRDefault="006D6414" w:rsidP="006D6414">
      <w:pPr>
        <w:ind w:left="630" w:firstLine="810"/>
        <w:rPr>
          <w:rFonts w:ascii="Times New Roman" w:hAnsi="Times New Roman" w:cs="Times New Roman"/>
          <w:b/>
          <w:bCs/>
          <w:sz w:val="26"/>
          <w:szCs w:val="26"/>
        </w:rPr>
      </w:pPr>
      <w:r w:rsidRPr="00935A3C">
        <w:rPr>
          <w:rFonts w:ascii="Times New Roman" w:hAnsi="Times New Roman" w:cs="Times New Roman"/>
          <w:b/>
          <w:bCs/>
          <w:sz w:val="26"/>
          <w:szCs w:val="26"/>
        </w:rPr>
        <w:t>Giảng viên hướng dẫn: Th.S Trần Thị Yến Vinh</w:t>
      </w:r>
    </w:p>
    <w:p w14:paraId="66BBB228" w14:textId="77777777" w:rsidR="006D6414" w:rsidRPr="00935A3C" w:rsidRDefault="006D6414" w:rsidP="006D6414">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t>Sinh viên thực hiện     : Võ Thị Cẩm Lệ</w:t>
      </w:r>
    </w:p>
    <w:p w14:paraId="49AEA177" w14:textId="77777777" w:rsidR="006D6414" w:rsidRPr="00935A3C" w:rsidRDefault="006D6414" w:rsidP="006D6414">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t>Lớp                               : 22NH1</w:t>
      </w:r>
    </w:p>
    <w:p w14:paraId="4B753283" w14:textId="77777777" w:rsidR="006D6414" w:rsidRPr="00935A3C" w:rsidRDefault="006D6414" w:rsidP="006D6414">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t>Khóa học                      : 2022 – 2026</w:t>
      </w:r>
    </w:p>
    <w:p w14:paraId="6A1FB516" w14:textId="556A7045" w:rsidR="006D6414" w:rsidRDefault="006D6414" w:rsidP="006D6414">
      <w:pPr>
        <w:ind w:left="-90"/>
        <w:rPr>
          <w:rFonts w:ascii="Times New Roman" w:hAnsi="Times New Roman" w:cs="Times New Roman"/>
          <w:b/>
          <w:bCs/>
          <w:sz w:val="26"/>
          <w:szCs w:val="26"/>
        </w:rPr>
      </w:pP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r w:rsidRPr="00935A3C">
        <w:rPr>
          <w:rFonts w:ascii="Times New Roman" w:hAnsi="Times New Roman" w:cs="Times New Roman"/>
          <w:b/>
          <w:bCs/>
          <w:sz w:val="26"/>
          <w:szCs w:val="26"/>
        </w:rPr>
        <w:tab/>
      </w:r>
    </w:p>
    <w:p w14:paraId="5D73039A" w14:textId="77777777" w:rsidR="006D6414" w:rsidRDefault="006D6414" w:rsidP="006D6414">
      <w:pPr>
        <w:ind w:left="-90"/>
        <w:rPr>
          <w:rFonts w:ascii="Times New Roman" w:hAnsi="Times New Roman" w:cs="Times New Roman"/>
          <w:b/>
          <w:bCs/>
          <w:sz w:val="26"/>
          <w:szCs w:val="26"/>
        </w:rPr>
      </w:pPr>
    </w:p>
    <w:p w14:paraId="205E1964" w14:textId="77777777" w:rsidR="006D6414" w:rsidRDefault="006D6414" w:rsidP="006D6414">
      <w:pPr>
        <w:ind w:left="-90"/>
        <w:jc w:val="center"/>
        <w:rPr>
          <w:rFonts w:ascii="Times New Roman" w:hAnsi="Times New Roman" w:cs="Times New Roman"/>
          <w:b/>
          <w:bCs/>
          <w:sz w:val="26"/>
          <w:szCs w:val="26"/>
        </w:rPr>
      </w:pPr>
    </w:p>
    <w:p w14:paraId="5500E120" w14:textId="77777777" w:rsidR="006D6414" w:rsidRDefault="006D6414" w:rsidP="006D6414">
      <w:pPr>
        <w:ind w:left="-90"/>
        <w:jc w:val="center"/>
        <w:rPr>
          <w:rFonts w:ascii="Times New Roman" w:hAnsi="Times New Roman" w:cs="Times New Roman"/>
          <w:b/>
          <w:bCs/>
          <w:sz w:val="26"/>
          <w:szCs w:val="26"/>
        </w:rPr>
      </w:pPr>
      <w:r>
        <w:rPr>
          <w:rFonts w:ascii="Times New Roman" w:hAnsi="Times New Roman" w:cs="Times New Roman"/>
          <w:b/>
          <w:bCs/>
          <w:sz w:val="26"/>
          <w:szCs w:val="26"/>
        </w:rPr>
        <w:t>Đà Nẵng, tháng 5 năm 2026</w:t>
      </w:r>
    </w:p>
    <w:p w14:paraId="7E9FC8C1" w14:textId="77777777" w:rsidR="00566007" w:rsidRDefault="00566007" w:rsidP="006D768B">
      <w:pPr>
        <w:jc w:val="center"/>
        <w:rPr>
          <w:rFonts w:ascii="Times New Roman" w:hAnsi="Times New Roman" w:cs="Times New Roman"/>
          <w:b/>
          <w:sz w:val="26"/>
          <w:szCs w:val="26"/>
        </w:rPr>
      </w:pPr>
    </w:p>
    <w:p w14:paraId="55D63D6E" w14:textId="52E587BA" w:rsidR="006D768B" w:rsidRPr="006D768B" w:rsidRDefault="006D768B" w:rsidP="006D768B">
      <w:pPr>
        <w:jc w:val="center"/>
        <w:rPr>
          <w:rFonts w:ascii="Times New Roman" w:hAnsi="Times New Roman" w:cs="Times New Roman"/>
          <w:sz w:val="26"/>
          <w:szCs w:val="26"/>
        </w:rPr>
      </w:pPr>
      <w:r w:rsidRPr="006D768B">
        <w:rPr>
          <w:rFonts w:ascii="Times New Roman" w:hAnsi="Times New Roman" w:cs="Times New Roman"/>
          <w:b/>
          <w:sz w:val="26"/>
          <w:szCs w:val="26"/>
        </w:rPr>
        <w:lastRenderedPageBreak/>
        <w:t>TRƯỜNG ĐẠI HỌC KIẾN TRÚC ĐÀ NẴNG</w:t>
      </w:r>
    </w:p>
    <w:p w14:paraId="16FF9295" w14:textId="77777777" w:rsidR="006D768B" w:rsidRPr="006D768B" w:rsidRDefault="006D768B" w:rsidP="006D768B">
      <w:pPr>
        <w:jc w:val="center"/>
        <w:rPr>
          <w:rFonts w:ascii="Times New Roman" w:hAnsi="Times New Roman" w:cs="Times New Roman"/>
          <w:sz w:val="26"/>
          <w:szCs w:val="26"/>
        </w:rPr>
      </w:pPr>
      <w:r w:rsidRPr="006D768B">
        <w:rPr>
          <w:rFonts w:ascii="Times New Roman" w:hAnsi="Times New Roman" w:cs="Times New Roman"/>
          <w:b/>
          <w:sz w:val="26"/>
          <w:szCs w:val="26"/>
        </w:rPr>
        <w:t>KHOA KINH TẾ</w:t>
      </w:r>
      <w:r w:rsidRPr="006D768B">
        <w:rPr>
          <w:rFonts w:ascii="Times New Roman" w:hAnsi="Times New Roman" w:cs="Times New Roman"/>
          <w:b/>
          <w:sz w:val="26"/>
          <w:szCs w:val="26"/>
        </w:rPr>
        <w:br/>
        <w:t>BỘ MÔN TÀI CHÍNH - NGÂN HÀNG</w:t>
      </w:r>
    </w:p>
    <w:p w14:paraId="65A72E00" w14:textId="77777777" w:rsidR="006D768B" w:rsidRPr="006D768B" w:rsidRDefault="006D768B" w:rsidP="006D768B">
      <w:pPr>
        <w:jc w:val="right"/>
        <w:rPr>
          <w:rFonts w:ascii="Times New Roman" w:hAnsi="Times New Roman" w:cs="Times New Roman"/>
          <w:sz w:val="26"/>
          <w:szCs w:val="26"/>
        </w:rPr>
      </w:pPr>
      <w:r w:rsidRPr="006D768B">
        <w:rPr>
          <w:rFonts w:ascii="Times New Roman" w:hAnsi="Times New Roman" w:cs="Times New Roman"/>
          <w:i/>
          <w:sz w:val="26"/>
          <w:szCs w:val="26"/>
        </w:rPr>
        <w:t>Đà Nẵng, ngày 28 tháng 5 năm 2026</w:t>
      </w:r>
    </w:p>
    <w:p w14:paraId="599CA7F7" w14:textId="77777777" w:rsidR="006D768B" w:rsidRPr="006D768B" w:rsidRDefault="006D768B" w:rsidP="006D768B">
      <w:pPr>
        <w:jc w:val="center"/>
        <w:rPr>
          <w:rFonts w:ascii="Times New Roman" w:hAnsi="Times New Roman" w:cs="Times New Roman"/>
          <w:sz w:val="26"/>
          <w:szCs w:val="26"/>
        </w:rPr>
      </w:pPr>
      <w:r w:rsidRPr="006D768B">
        <w:rPr>
          <w:rFonts w:ascii="Times New Roman" w:hAnsi="Times New Roman" w:cs="Times New Roman"/>
          <w:b/>
          <w:sz w:val="26"/>
          <w:szCs w:val="26"/>
        </w:rPr>
        <w:t>NHIỆM VỤ KHÓA LUẬN TỐT NGHIỆP</w:t>
      </w:r>
    </w:p>
    <w:p w14:paraId="69E49322"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b/>
          <w:sz w:val="26"/>
          <w:szCs w:val="26"/>
        </w:rPr>
        <w:t>1. Thông tin sinh viên thực hiện:</w:t>
      </w:r>
    </w:p>
    <w:p w14:paraId="00ED687B" w14:textId="77777777"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Họ và tên sinh viên: Võ Thị Cẩm Lệ</w:t>
      </w:r>
    </w:p>
    <w:p w14:paraId="2ECDE417" w14:textId="77777777"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Ngành đào tạo: TÀI CHÍNH - NGÂN HÀNG</w:t>
      </w:r>
    </w:p>
    <w:p w14:paraId="2BB4230B" w14:textId="77777777"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Trình độ đào tạo: Đại học</w:t>
      </w:r>
    </w:p>
    <w:p w14:paraId="38B1366C" w14:textId="77777777"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Khóa học: 2022 -2026</w:t>
      </w:r>
    </w:p>
    <w:p w14:paraId="0181B221"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b/>
          <w:sz w:val="26"/>
          <w:szCs w:val="26"/>
        </w:rPr>
        <w:t>2. Tên đề tài khóa luận:</w:t>
      </w:r>
    </w:p>
    <w:p w14:paraId="679B5289" w14:textId="77777777"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GIẢI PHÁP PHÁT TRIỂN HOẠT ĐỘNG HUY ĐỘNG VỐN ĐỐI VỚI KHÁCH HÀNG CÁ NHÂN TẠI NGÂN HÀNG THƯƠNG MẠI CỔ PHẦN NAM Á – CHI NHÁNH ĐÀ NẴNG – PHÒNG GIAO DỊCH CẨM LỆ</w:t>
      </w:r>
    </w:p>
    <w:p w14:paraId="4CBA349A"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b/>
          <w:sz w:val="26"/>
          <w:szCs w:val="26"/>
        </w:rPr>
        <w:t>3. Các số liệu ban đầu thực hiện Khóa luận tốt nghiệp:</w:t>
      </w:r>
    </w:p>
    <w:p w14:paraId="1E80CD4A" w14:textId="77777777"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 Tình hình huy động vốn của Ngân hàng Thương mại Cổ phần Nam Á – Chi nhánh Đà Nẵng – Phòng giao dịch Cẩm Lệ giai đoạn 2023 – 2025.</w:t>
      </w:r>
    </w:p>
    <w:p w14:paraId="4E506573" w14:textId="18D59758"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 xml:space="preserve"> - Tình hình hoạt động cho vay của Ngân hàng Thương mại Cổ phần Nam Á – Chi nhánh Đà Nẵng – Phòng giao dịch Cẩm Lệ giai đoạn 2023 – 2025.</w:t>
      </w:r>
    </w:p>
    <w:p w14:paraId="7D50D73F" w14:textId="0EBB16EF" w:rsidR="006D768B" w:rsidRPr="006D768B" w:rsidRDefault="006D768B" w:rsidP="006D768B">
      <w:pPr>
        <w:ind w:firstLine="360"/>
        <w:rPr>
          <w:rFonts w:ascii="Times New Roman" w:hAnsi="Times New Roman" w:cs="Times New Roman"/>
          <w:sz w:val="26"/>
          <w:szCs w:val="26"/>
        </w:rPr>
      </w:pPr>
      <w:r w:rsidRPr="006D768B">
        <w:rPr>
          <w:rFonts w:ascii="Times New Roman" w:hAnsi="Times New Roman" w:cs="Times New Roman"/>
          <w:sz w:val="26"/>
          <w:szCs w:val="26"/>
        </w:rPr>
        <w:t>- Tình hình kết quả hoạt động kinh doanh của Ngân hàng Thương mại Cổ phần Nam Á – Chi nhánh Đà Nẵng – Phòng giao dịch Cẩm Lệ giai đoạn 2023 – 2025.</w:t>
      </w:r>
    </w:p>
    <w:p w14:paraId="215E905D"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b/>
          <w:sz w:val="26"/>
          <w:szCs w:val="26"/>
        </w:rPr>
        <w:t>4. Các bảng biểu, hình vẽ và đồ thị:</w:t>
      </w:r>
    </w:p>
    <w:p w14:paraId="43D4F8A8" w14:textId="7B8CF6A5" w:rsidR="006D768B" w:rsidRPr="006D768B" w:rsidRDefault="006D768B" w:rsidP="006D768B">
      <w:pPr>
        <w:ind w:firstLine="450"/>
        <w:rPr>
          <w:rFonts w:ascii="Times New Roman" w:hAnsi="Times New Roman" w:cs="Times New Roman"/>
          <w:sz w:val="26"/>
          <w:szCs w:val="26"/>
        </w:rPr>
      </w:pPr>
      <w:r w:rsidRPr="006D768B">
        <w:rPr>
          <w:rFonts w:ascii="Times New Roman" w:hAnsi="Times New Roman" w:cs="Times New Roman"/>
          <w:sz w:val="26"/>
          <w:szCs w:val="26"/>
        </w:rPr>
        <w:t xml:space="preserve">Bảng biểu, hình vẽ, đồ thị xem tại danh mục các bảng biểu, hình vẽ, đồ thị của Khóa luận tốt nghiệp. </w:t>
      </w:r>
    </w:p>
    <w:p w14:paraId="5C5419B3"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b/>
          <w:sz w:val="26"/>
          <w:szCs w:val="26"/>
        </w:rPr>
        <w:t>5. Giảng viên hướng dẫn</w:t>
      </w:r>
    </w:p>
    <w:p w14:paraId="216ACB9C" w14:textId="77777777" w:rsidR="006D768B" w:rsidRPr="006D768B" w:rsidRDefault="006D768B" w:rsidP="006D768B">
      <w:pPr>
        <w:tabs>
          <w:tab w:val="left" w:pos="450"/>
        </w:tabs>
        <w:ind w:firstLine="450"/>
        <w:rPr>
          <w:rFonts w:ascii="Times New Roman" w:hAnsi="Times New Roman" w:cs="Times New Roman"/>
          <w:sz w:val="26"/>
          <w:szCs w:val="26"/>
        </w:rPr>
      </w:pPr>
      <w:r w:rsidRPr="006D768B">
        <w:rPr>
          <w:rFonts w:ascii="Times New Roman" w:hAnsi="Times New Roman" w:cs="Times New Roman"/>
          <w:sz w:val="26"/>
          <w:szCs w:val="26"/>
        </w:rPr>
        <w:t>Tên giảng viên hướng dẫn: ThS. Trần Thị Yến Vinh, Khoa Kinh tế, Ngành Tài chính – Ngân hàng, Trường Đại học Kiến Trúc Đà Nẵng.</w:t>
      </w:r>
    </w:p>
    <w:p w14:paraId="1911E283"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b/>
          <w:sz w:val="26"/>
          <w:szCs w:val="26"/>
        </w:rPr>
        <w:t>6. Ngày giao nhiệm vụ Khóa luận tốt nghiệp:</w:t>
      </w:r>
    </w:p>
    <w:p w14:paraId="5E2B6FF7"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sz w:val="26"/>
          <w:szCs w:val="26"/>
        </w:rPr>
        <w:t>................................................................................</w:t>
      </w:r>
    </w:p>
    <w:p w14:paraId="43732F4C"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b/>
          <w:sz w:val="26"/>
          <w:szCs w:val="26"/>
        </w:rPr>
        <w:lastRenderedPageBreak/>
        <w:t>7. Ngày sinh viên hoàn thành khóa luận tốt nghiệp:</w:t>
      </w:r>
    </w:p>
    <w:p w14:paraId="34EA44E9"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sz w:val="26"/>
          <w:szCs w:val="26"/>
        </w:rPr>
        <w:t>................................................................................</w:t>
      </w:r>
    </w:p>
    <w:p w14:paraId="1A62715E"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sz w:val="26"/>
          <w:szCs w:val="26"/>
        </w:rPr>
        <w:br/>
      </w:r>
    </w:p>
    <w:tbl>
      <w:tblPr>
        <w:tblStyle w:val="TableGrid"/>
        <w:tblW w:w="0" w:type="auto"/>
        <w:tblLook w:val="04A0" w:firstRow="1" w:lastRow="0" w:firstColumn="1" w:lastColumn="0" w:noHBand="0" w:noVBand="1"/>
      </w:tblPr>
      <w:tblGrid>
        <w:gridCol w:w="4320"/>
        <w:gridCol w:w="4320"/>
      </w:tblGrid>
      <w:tr w:rsidR="006D768B" w:rsidRPr="006D768B" w14:paraId="2D1CB2C3" w14:textId="77777777" w:rsidTr="002F73B2">
        <w:tc>
          <w:tcPr>
            <w:tcW w:w="4320" w:type="dxa"/>
          </w:tcPr>
          <w:p w14:paraId="4DA3EB01" w14:textId="77777777" w:rsidR="006D768B" w:rsidRPr="006D768B" w:rsidRDefault="006D768B" w:rsidP="002F73B2">
            <w:pPr>
              <w:jc w:val="center"/>
              <w:rPr>
                <w:rFonts w:ascii="Times New Roman" w:hAnsi="Times New Roman" w:cs="Times New Roman"/>
                <w:sz w:val="26"/>
                <w:szCs w:val="26"/>
              </w:rPr>
            </w:pPr>
            <w:r w:rsidRPr="006D768B">
              <w:rPr>
                <w:rFonts w:ascii="Times New Roman" w:hAnsi="Times New Roman" w:cs="Times New Roman"/>
                <w:sz w:val="26"/>
                <w:szCs w:val="26"/>
              </w:rPr>
              <w:t>Trưởng bộ môn</w:t>
            </w:r>
            <w:r w:rsidRPr="006D768B">
              <w:rPr>
                <w:rFonts w:ascii="Times New Roman" w:hAnsi="Times New Roman" w:cs="Times New Roman"/>
                <w:sz w:val="26"/>
                <w:szCs w:val="26"/>
              </w:rPr>
              <w:br/>
              <w:t>(Ký và ghi rõ họ tên)</w:t>
            </w:r>
          </w:p>
        </w:tc>
        <w:tc>
          <w:tcPr>
            <w:tcW w:w="4320" w:type="dxa"/>
          </w:tcPr>
          <w:p w14:paraId="247B669F" w14:textId="77777777" w:rsidR="006D768B" w:rsidRPr="006D768B" w:rsidRDefault="006D768B" w:rsidP="002F73B2">
            <w:pPr>
              <w:jc w:val="center"/>
              <w:rPr>
                <w:rFonts w:ascii="Times New Roman" w:hAnsi="Times New Roman" w:cs="Times New Roman"/>
                <w:sz w:val="26"/>
                <w:szCs w:val="26"/>
              </w:rPr>
            </w:pPr>
            <w:r w:rsidRPr="006D768B">
              <w:rPr>
                <w:rFonts w:ascii="Times New Roman" w:hAnsi="Times New Roman" w:cs="Times New Roman"/>
                <w:sz w:val="26"/>
                <w:szCs w:val="26"/>
              </w:rPr>
              <w:t>Giảng viên hướng dẫn</w:t>
            </w:r>
            <w:r w:rsidRPr="006D768B">
              <w:rPr>
                <w:rFonts w:ascii="Times New Roman" w:hAnsi="Times New Roman" w:cs="Times New Roman"/>
                <w:sz w:val="26"/>
                <w:szCs w:val="26"/>
              </w:rPr>
              <w:br/>
              <w:t>(Ký và ghi rõ họ tên)</w:t>
            </w:r>
          </w:p>
        </w:tc>
      </w:tr>
      <w:tr w:rsidR="006D768B" w:rsidRPr="006D768B" w14:paraId="7D0E3DAE" w14:textId="77777777" w:rsidTr="002F73B2">
        <w:tc>
          <w:tcPr>
            <w:tcW w:w="4320" w:type="dxa"/>
          </w:tcPr>
          <w:p w14:paraId="4102A3E1" w14:textId="77777777" w:rsidR="006D768B" w:rsidRPr="006D768B" w:rsidRDefault="006D768B" w:rsidP="002F73B2">
            <w:pPr>
              <w:rPr>
                <w:rFonts w:ascii="Times New Roman" w:hAnsi="Times New Roman" w:cs="Times New Roman"/>
                <w:sz w:val="26"/>
                <w:szCs w:val="26"/>
              </w:rPr>
            </w:pPr>
            <w:r w:rsidRPr="006D768B">
              <w:rPr>
                <w:rFonts w:ascii="Times New Roman" w:hAnsi="Times New Roman" w:cs="Times New Roman"/>
                <w:sz w:val="26"/>
                <w:szCs w:val="26"/>
              </w:rPr>
              <w:br/>
            </w:r>
            <w:r w:rsidRPr="006D768B">
              <w:rPr>
                <w:rFonts w:ascii="Times New Roman" w:hAnsi="Times New Roman" w:cs="Times New Roman"/>
                <w:sz w:val="26"/>
                <w:szCs w:val="26"/>
              </w:rPr>
              <w:br/>
            </w:r>
            <w:r w:rsidRPr="006D768B">
              <w:rPr>
                <w:rFonts w:ascii="Times New Roman" w:hAnsi="Times New Roman" w:cs="Times New Roman"/>
                <w:sz w:val="26"/>
                <w:szCs w:val="26"/>
              </w:rPr>
              <w:br/>
            </w:r>
          </w:p>
        </w:tc>
        <w:tc>
          <w:tcPr>
            <w:tcW w:w="4320" w:type="dxa"/>
          </w:tcPr>
          <w:p w14:paraId="1D55BBB1" w14:textId="77777777" w:rsidR="006D768B" w:rsidRPr="006D768B" w:rsidRDefault="006D768B" w:rsidP="002F73B2">
            <w:pPr>
              <w:rPr>
                <w:rFonts w:ascii="Times New Roman" w:hAnsi="Times New Roman" w:cs="Times New Roman"/>
                <w:sz w:val="26"/>
                <w:szCs w:val="26"/>
              </w:rPr>
            </w:pPr>
            <w:r w:rsidRPr="006D768B">
              <w:rPr>
                <w:rFonts w:ascii="Times New Roman" w:hAnsi="Times New Roman" w:cs="Times New Roman"/>
                <w:sz w:val="26"/>
                <w:szCs w:val="26"/>
              </w:rPr>
              <w:br/>
            </w:r>
            <w:r w:rsidRPr="006D768B">
              <w:rPr>
                <w:rFonts w:ascii="Times New Roman" w:hAnsi="Times New Roman" w:cs="Times New Roman"/>
                <w:sz w:val="26"/>
                <w:szCs w:val="26"/>
              </w:rPr>
              <w:br/>
            </w:r>
            <w:r w:rsidRPr="006D768B">
              <w:rPr>
                <w:rFonts w:ascii="Times New Roman" w:hAnsi="Times New Roman" w:cs="Times New Roman"/>
                <w:sz w:val="26"/>
                <w:szCs w:val="26"/>
              </w:rPr>
              <w:br/>
            </w:r>
          </w:p>
        </w:tc>
      </w:tr>
    </w:tbl>
    <w:p w14:paraId="266127E3" w14:textId="77777777" w:rsidR="006D768B" w:rsidRPr="006D768B" w:rsidRDefault="006D768B" w:rsidP="006D768B">
      <w:pPr>
        <w:rPr>
          <w:rFonts w:ascii="Times New Roman" w:hAnsi="Times New Roman" w:cs="Times New Roman"/>
          <w:sz w:val="26"/>
          <w:szCs w:val="26"/>
        </w:rPr>
      </w:pPr>
      <w:r w:rsidRPr="006D768B">
        <w:rPr>
          <w:rFonts w:ascii="Times New Roman" w:hAnsi="Times New Roman" w:cs="Times New Roman"/>
          <w:sz w:val="26"/>
          <w:szCs w:val="26"/>
        </w:rPr>
        <w:br/>
        <w:t>Sinh viên đã hoàn thành và nộp khóa luận tốt nghiệp về cho bộ môn.</w:t>
      </w:r>
    </w:p>
    <w:p w14:paraId="7843E3B0" w14:textId="77777777" w:rsidR="006D768B" w:rsidRPr="006D768B" w:rsidRDefault="006D768B" w:rsidP="006D768B">
      <w:pPr>
        <w:jc w:val="center"/>
        <w:rPr>
          <w:rFonts w:ascii="Times New Roman" w:hAnsi="Times New Roman" w:cs="Times New Roman"/>
          <w:sz w:val="26"/>
          <w:szCs w:val="26"/>
        </w:rPr>
      </w:pPr>
      <w:r w:rsidRPr="006D768B">
        <w:rPr>
          <w:rFonts w:ascii="Times New Roman" w:hAnsi="Times New Roman" w:cs="Times New Roman"/>
          <w:sz w:val="26"/>
          <w:szCs w:val="26"/>
        </w:rPr>
        <w:t>Ngày ..... tháng ..... năm 20.....</w:t>
      </w:r>
    </w:p>
    <w:p w14:paraId="5F82C7EE" w14:textId="77777777" w:rsidR="006D768B" w:rsidRPr="006D768B" w:rsidRDefault="006D768B" w:rsidP="006D768B">
      <w:pPr>
        <w:jc w:val="center"/>
        <w:rPr>
          <w:rFonts w:ascii="Times New Roman" w:hAnsi="Times New Roman" w:cs="Times New Roman"/>
          <w:sz w:val="26"/>
          <w:szCs w:val="26"/>
        </w:rPr>
      </w:pPr>
      <w:r w:rsidRPr="006D768B">
        <w:rPr>
          <w:rFonts w:ascii="Times New Roman" w:hAnsi="Times New Roman" w:cs="Times New Roman"/>
          <w:b/>
          <w:sz w:val="26"/>
          <w:szCs w:val="26"/>
        </w:rPr>
        <w:t>Sinh viên thực hiện khóa luận</w:t>
      </w:r>
      <w:r w:rsidRPr="006D768B">
        <w:rPr>
          <w:rFonts w:ascii="Times New Roman" w:hAnsi="Times New Roman" w:cs="Times New Roman"/>
          <w:b/>
          <w:sz w:val="26"/>
          <w:szCs w:val="26"/>
        </w:rPr>
        <w:br/>
        <w:t>(Ký và ghi rõ họ tên)</w:t>
      </w:r>
    </w:p>
    <w:p w14:paraId="373CCC01" w14:textId="77777777" w:rsidR="006D768B" w:rsidRPr="006D768B" w:rsidRDefault="006D768B" w:rsidP="006D768B">
      <w:pPr>
        <w:rPr>
          <w:rFonts w:ascii="Times New Roman" w:hAnsi="Times New Roman" w:cs="Times New Roman"/>
          <w:sz w:val="26"/>
          <w:szCs w:val="26"/>
        </w:rPr>
      </w:pPr>
    </w:p>
    <w:p w14:paraId="1F01F398" w14:textId="77777777" w:rsidR="00490B2C" w:rsidRPr="006D768B" w:rsidRDefault="00490B2C" w:rsidP="00935A3C">
      <w:pPr>
        <w:ind w:left="-90"/>
        <w:jc w:val="center"/>
        <w:rPr>
          <w:rFonts w:ascii="Times New Roman" w:hAnsi="Times New Roman" w:cs="Times New Roman"/>
          <w:b/>
          <w:bCs/>
          <w:sz w:val="26"/>
          <w:szCs w:val="26"/>
        </w:rPr>
      </w:pPr>
    </w:p>
    <w:p w14:paraId="53576157" w14:textId="77777777" w:rsidR="00490B2C" w:rsidRDefault="00490B2C" w:rsidP="00935A3C">
      <w:pPr>
        <w:ind w:left="-90"/>
        <w:jc w:val="center"/>
        <w:rPr>
          <w:rFonts w:ascii="Times New Roman" w:hAnsi="Times New Roman" w:cs="Times New Roman"/>
          <w:b/>
          <w:bCs/>
          <w:sz w:val="26"/>
          <w:szCs w:val="26"/>
        </w:rPr>
      </w:pPr>
    </w:p>
    <w:p w14:paraId="092B20EB" w14:textId="77777777" w:rsidR="006D768B" w:rsidRDefault="006D768B" w:rsidP="00935A3C">
      <w:pPr>
        <w:ind w:left="-90"/>
        <w:jc w:val="center"/>
        <w:rPr>
          <w:rFonts w:ascii="Times New Roman" w:hAnsi="Times New Roman" w:cs="Times New Roman"/>
          <w:b/>
          <w:bCs/>
          <w:sz w:val="26"/>
          <w:szCs w:val="26"/>
        </w:rPr>
      </w:pPr>
    </w:p>
    <w:p w14:paraId="7F6EF3CA" w14:textId="77777777" w:rsidR="006D768B" w:rsidRDefault="006D768B" w:rsidP="00935A3C">
      <w:pPr>
        <w:ind w:left="-90"/>
        <w:jc w:val="center"/>
        <w:rPr>
          <w:rFonts w:ascii="Times New Roman" w:hAnsi="Times New Roman" w:cs="Times New Roman"/>
          <w:b/>
          <w:bCs/>
          <w:sz w:val="26"/>
          <w:szCs w:val="26"/>
        </w:rPr>
      </w:pPr>
    </w:p>
    <w:p w14:paraId="28A05F35" w14:textId="77777777" w:rsidR="006D768B" w:rsidRDefault="006D768B" w:rsidP="00935A3C">
      <w:pPr>
        <w:ind w:left="-90"/>
        <w:jc w:val="center"/>
        <w:rPr>
          <w:rFonts w:ascii="Times New Roman" w:hAnsi="Times New Roman" w:cs="Times New Roman"/>
          <w:b/>
          <w:bCs/>
          <w:sz w:val="26"/>
          <w:szCs w:val="26"/>
        </w:rPr>
      </w:pPr>
    </w:p>
    <w:p w14:paraId="31278A6C" w14:textId="77777777" w:rsidR="006D768B" w:rsidRDefault="006D768B" w:rsidP="00935A3C">
      <w:pPr>
        <w:ind w:left="-90"/>
        <w:jc w:val="center"/>
        <w:rPr>
          <w:rFonts w:ascii="Times New Roman" w:hAnsi="Times New Roman" w:cs="Times New Roman"/>
          <w:b/>
          <w:bCs/>
          <w:sz w:val="26"/>
          <w:szCs w:val="26"/>
        </w:rPr>
      </w:pPr>
    </w:p>
    <w:p w14:paraId="024CB02D" w14:textId="77777777" w:rsidR="006D768B" w:rsidRDefault="006D768B" w:rsidP="00935A3C">
      <w:pPr>
        <w:ind w:left="-90"/>
        <w:jc w:val="center"/>
        <w:rPr>
          <w:rFonts w:ascii="Times New Roman" w:hAnsi="Times New Roman" w:cs="Times New Roman"/>
          <w:b/>
          <w:bCs/>
          <w:sz w:val="26"/>
          <w:szCs w:val="26"/>
        </w:rPr>
      </w:pPr>
    </w:p>
    <w:p w14:paraId="0D17F0A3" w14:textId="77777777" w:rsidR="006D768B" w:rsidRDefault="006D768B" w:rsidP="00935A3C">
      <w:pPr>
        <w:ind w:left="-90"/>
        <w:jc w:val="center"/>
        <w:rPr>
          <w:rFonts w:ascii="Times New Roman" w:hAnsi="Times New Roman" w:cs="Times New Roman"/>
          <w:b/>
          <w:bCs/>
          <w:sz w:val="26"/>
          <w:szCs w:val="26"/>
        </w:rPr>
      </w:pPr>
    </w:p>
    <w:p w14:paraId="7DE0EDA9" w14:textId="77777777" w:rsidR="006D768B" w:rsidRDefault="006D768B" w:rsidP="00935A3C">
      <w:pPr>
        <w:ind w:left="-90"/>
        <w:jc w:val="center"/>
        <w:rPr>
          <w:rFonts w:ascii="Times New Roman" w:hAnsi="Times New Roman" w:cs="Times New Roman"/>
          <w:b/>
          <w:bCs/>
          <w:sz w:val="26"/>
          <w:szCs w:val="26"/>
        </w:rPr>
      </w:pPr>
    </w:p>
    <w:p w14:paraId="5E514E35" w14:textId="77777777" w:rsidR="006D768B" w:rsidRDefault="006D768B" w:rsidP="00935A3C">
      <w:pPr>
        <w:ind w:left="-90"/>
        <w:jc w:val="center"/>
        <w:rPr>
          <w:rFonts w:ascii="Times New Roman" w:hAnsi="Times New Roman" w:cs="Times New Roman"/>
          <w:b/>
          <w:bCs/>
          <w:sz w:val="26"/>
          <w:szCs w:val="26"/>
        </w:rPr>
      </w:pPr>
    </w:p>
    <w:p w14:paraId="53148EE0" w14:textId="77777777" w:rsidR="006D768B" w:rsidRDefault="006D768B" w:rsidP="00935A3C">
      <w:pPr>
        <w:ind w:left="-90"/>
        <w:jc w:val="center"/>
        <w:rPr>
          <w:rFonts w:ascii="Times New Roman" w:hAnsi="Times New Roman" w:cs="Times New Roman"/>
          <w:b/>
          <w:bCs/>
          <w:sz w:val="26"/>
          <w:szCs w:val="26"/>
        </w:rPr>
      </w:pPr>
    </w:p>
    <w:p w14:paraId="3912698D" w14:textId="77777777" w:rsidR="006D768B" w:rsidRDefault="006D768B" w:rsidP="00935A3C">
      <w:pPr>
        <w:ind w:left="-90"/>
        <w:jc w:val="center"/>
        <w:rPr>
          <w:rFonts w:ascii="Times New Roman" w:hAnsi="Times New Roman" w:cs="Times New Roman"/>
          <w:b/>
          <w:bCs/>
          <w:sz w:val="26"/>
          <w:szCs w:val="26"/>
        </w:rPr>
      </w:pPr>
    </w:p>
    <w:p w14:paraId="3C3EBE8B" w14:textId="494AC5A2" w:rsidR="006D768B" w:rsidRDefault="006D768B"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LỜI CẢM ƠN</w:t>
      </w:r>
    </w:p>
    <w:p w14:paraId="533C17E7" w14:textId="77777777" w:rsidR="00F20D78" w:rsidRPr="00F20D78" w:rsidRDefault="00F20D78" w:rsidP="00F20D78">
      <w:pPr>
        <w:spacing w:line="360" w:lineRule="auto"/>
        <w:ind w:left="-90" w:firstLine="450"/>
        <w:jc w:val="both"/>
        <w:rPr>
          <w:rFonts w:ascii="Times New Roman" w:hAnsi="Times New Roman" w:cs="Times New Roman"/>
          <w:sz w:val="26"/>
          <w:szCs w:val="26"/>
        </w:rPr>
      </w:pPr>
      <w:r w:rsidRPr="00F20D78">
        <w:rPr>
          <w:rFonts w:ascii="Times New Roman" w:hAnsi="Times New Roman" w:cs="Times New Roman"/>
          <w:sz w:val="26"/>
          <w:szCs w:val="26"/>
        </w:rPr>
        <w:lastRenderedPageBreak/>
        <w:t>Để hoàn thành khóa luận tốt nghiệp này, em đã nhận được nhiều sự quan tâm, hỗ trợ và giúp đỡ từ Quý Thầy Cô, đơn vị thực tập cùng các anh/chị trong quá trình học tập và nghiên cứu.</w:t>
      </w:r>
    </w:p>
    <w:p w14:paraId="436DE3D7" w14:textId="77777777" w:rsidR="00F20D78" w:rsidRPr="00F20D78" w:rsidRDefault="00F20D78" w:rsidP="00F20D78">
      <w:pPr>
        <w:spacing w:line="360" w:lineRule="auto"/>
        <w:ind w:left="-90" w:firstLine="450"/>
        <w:jc w:val="both"/>
        <w:rPr>
          <w:rFonts w:ascii="Times New Roman" w:hAnsi="Times New Roman" w:cs="Times New Roman"/>
          <w:sz w:val="26"/>
          <w:szCs w:val="26"/>
        </w:rPr>
      </w:pPr>
      <w:r w:rsidRPr="00F20D78">
        <w:rPr>
          <w:rFonts w:ascii="Times New Roman" w:hAnsi="Times New Roman" w:cs="Times New Roman"/>
          <w:sz w:val="26"/>
          <w:szCs w:val="26"/>
        </w:rPr>
        <w:t>Trước tiên, em xin chân thành cảm ơn Ban Giám hiệu Trường Đại học Kiến trúc Đà Nẵng cùng toàn thể Quý Thầy Cô đã tận tình giảng dạy, truyền đạt cho em những kiến thức quý báu trong suốt thời gian học tập tại trường. Đây là nền tảng quan trọng giúp em có thể vận dụng vào quá trình thực hiện khóa luận tốt nghiệp.</w:t>
      </w:r>
    </w:p>
    <w:p w14:paraId="69CA90A9" w14:textId="77777777" w:rsidR="00F20D78" w:rsidRPr="00F20D78" w:rsidRDefault="00F20D78" w:rsidP="00F20D78">
      <w:pPr>
        <w:spacing w:line="360" w:lineRule="auto"/>
        <w:ind w:left="-90" w:firstLine="450"/>
        <w:jc w:val="both"/>
        <w:rPr>
          <w:rFonts w:ascii="Times New Roman" w:hAnsi="Times New Roman" w:cs="Times New Roman"/>
          <w:sz w:val="26"/>
          <w:szCs w:val="26"/>
        </w:rPr>
      </w:pPr>
      <w:r w:rsidRPr="00F20D78">
        <w:rPr>
          <w:rFonts w:ascii="Times New Roman" w:hAnsi="Times New Roman" w:cs="Times New Roman"/>
          <w:sz w:val="26"/>
          <w:szCs w:val="26"/>
        </w:rPr>
        <w:t>Đặc biệt, em xin gửi lời cảm ơn sâu sắc đến Cô Trần Thị Yến Vinh – giảng viên hướng dẫn khóa luận, đã luôn tận tình hướng dẫn, góp ý và hỗ trợ em trong suốt quá trình thực hiện đề tài. Những ý kiến đóng góp của cô đã giúp em hoàn thiện bài khóa luận một cách tốt hơn cả về nội dung lẫn hình thức.</w:t>
      </w:r>
    </w:p>
    <w:p w14:paraId="1B1C9045" w14:textId="7FB9CC0F" w:rsidR="00F20D78" w:rsidRPr="00F20D78" w:rsidRDefault="00F20D78" w:rsidP="00F20D78">
      <w:pPr>
        <w:spacing w:line="360" w:lineRule="auto"/>
        <w:ind w:left="-90" w:firstLine="450"/>
        <w:jc w:val="both"/>
        <w:rPr>
          <w:rFonts w:ascii="Times New Roman" w:hAnsi="Times New Roman" w:cs="Times New Roman"/>
          <w:sz w:val="26"/>
          <w:szCs w:val="26"/>
        </w:rPr>
      </w:pPr>
      <w:r w:rsidRPr="00F20D78">
        <w:rPr>
          <w:rFonts w:ascii="Times New Roman" w:hAnsi="Times New Roman" w:cs="Times New Roman"/>
          <w:sz w:val="26"/>
          <w:szCs w:val="26"/>
        </w:rPr>
        <w:t xml:space="preserve">Em cũng xin chân thành cảm ơn Ban Lãnh đạo cùng các anh/chị cán bộ, nhân viên tại Ngân hàng Thương mại Cổ phần </w:t>
      </w:r>
      <w:r>
        <w:rPr>
          <w:rFonts w:ascii="Times New Roman" w:hAnsi="Times New Roman" w:cs="Times New Roman"/>
          <w:sz w:val="26"/>
          <w:szCs w:val="26"/>
        </w:rPr>
        <w:t xml:space="preserve">Nam Á </w:t>
      </w:r>
      <w:r w:rsidRPr="00F20D78">
        <w:rPr>
          <w:rFonts w:ascii="Times New Roman" w:hAnsi="Times New Roman" w:cs="Times New Roman"/>
          <w:sz w:val="26"/>
          <w:szCs w:val="26"/>
        </w:rPr>
        <w:t xml:space="preserve">– Chi nhánh Đà Nẵng, Phòng Giao dịch </w:t>
      </w:r>
      <w:r>
        <w:rPr>
          <w:rFonts w:ascii="Times New Roman" w:hAnsi="Times New Roman" w:cs="Times New Roman"/>
          <w:sz w:val="26"/>
          <w:szCs w:val="26"/>
        </w:rPr>
        <w:t>Cẩm Lệ</w:t>
      </w:r>
      <w:r w:rsidRPr="00F20D78">
        <w:rPr>
          <w:rFonts w:ascii="Times New Roman" w:hAnsi="Times New Roman" w:cs="Times New Roman"/>
          <w:sz w:val="26"/>
          <w:szCs w:val="26"/>
        </w:rPr>
        <w:t xml:space="preserve"> đã tạo điều kiện thuận lợi, nhiệt tình hỗ trợ và cung cấp những thông tin cần thiết trong thời gian em thực tập tại đơn vị.</w:t>
      </w:r>
    </w:p>
    <w:p w14:paraId="31D7579F" w14:textId="77777777" w:rsidR="00F20D78" w:rsidRPr="00F20D78" w:rsidRDefault="00F20D78" w:rsidP="00F20D78">
      <w:pPr>
        <w:spacing w:line="360" w:lineRule="auto"/>
        <w:ind w:left="-90" w:firstLine="450"/>
        <w:jc w:val="both"/>
        <w:rPr>
          <w:rFonts w:ascii="Times New Roman" w:hAnsi="Times New Roman" w:cs="Times New Roman"/>
          <w:sz w:val="26"/>
          <w:szCs w:val="26"/>
        </w:rPr>
      </w:pPr>
      <w:r w:rsidRPr="00F20D78">
        <w:rPr>
          <w:rFonts w:ascii="Times New Roman" w:hAnsi="Times New Roman" w:cs="Times New Roman"/>
          <w:sz w:val="26"/>
          <w:szCs w:val="26"/>
        </w:rPr>
        <w:t>Mặc dù đã có nhiều cố gắng trong quá trình thực hiện, tuy nhiên do hạn chế về kiến thức thực tiễn và kinh nghiệm nghiên cứu nên khóa luận khó tránh khỏi những thiếu sót nhất định. Em rất mong nhận được những ý kiến đóng góp từ Quý Thầy Cô để bài khóa luận được hoàn thiện hơn.</w:t>
      </w:r>
    </w:p>
    <w:p w14:paraId="2D493D37" w14:textId="77777777" w:rsidR="00F20D78" w:rsidRPr="00F20D78" w:rsidRDefault="00F20D78" w:rsidP="00F20D78">
      <w:pPr>
        <w:spacing w:line="360" w:lineRule="auto"/>
        <w:ind w:left="-90" w:firstLine="450"/>
        <w:jc w:val="both"/>
        <w:rPr>
          <w:rFonts w:ascii="Times New Roman" w:hAnsi="Times New Roman" w:cs="Times New Roman"/>
          <w:sz w:val="26"/>
          <w:szCs w:val="26"/>
        </w:rPr>
      </w:pPr>
      <w:r w:rsidRPr="00F20D78">
        <w:rPr>
          <w:rFonts w:ascii="Times New Roman" w:hAnsi="Times New Roman" w:cs="Times New Roman"/>
          <w:sz w:val="26"/>
          <w:szCs w:val="26"/>
        </w:rPr>
        <w:t>Em xin chân thành cảm ơn!</w:t>
      </w:r>
    </w:p>
    <w:p w14:paraId="35EE14F0" w14:textId="77777777" w:rsidR="006D768B" w:rsidRPr="006D768B" w:rsidRDefault="006D768B" w:rsidP="00F20D78">
      <w:pPr>
        <w:spacing w:line="360" w:lineRule="auto"/>
        <w:ind w:left="-90"/>
        <w:jc w:val="both"/>
        <w:rPr>
          <w:rFonts w:ascii="Times New Roman" w:hAnsi="Times New Roman" w:cs="Times New Roman"/>
          <w:sz w:val="26"/>
          <w:szCs w:val="26"/>
        </w:rPr>
      </w:pPr>
    </w:p>
    <w:p w14:paraId="546BBEAD" w14:textId="77777777" w:rsidR="006D768B" w:rsidRDefault="006D768B" w:rsidP="00935A3C">
      <w:pPr>
        <w:ind w:left="-90"/>
        <w:jc w:val="center"/>
        <w:rPr>
          <w:rFonts w:ascii="Times New Roman" w:hAnsi="Times New Roman" w:cs="Times New Roman"/>
          <w:b/>
          <w:bCs/>
          <w:sz w:val="26"/>
          <w:szCs w:val="26"/>
        </w:rPr>
      </w:pPr>
    </w:p>
    <w:p w14:paraId="518A7612" w14:textId="77777777" w:rsidR="006D768B" w:rsidRDefault="006D768B" w:rsidP="00935A3C">
      <w:pPr>
        <w:ind w:left="-90"/>
        <w:jc w:val="center"/>
        <w:rPr>
          <w:rFonts w:ascii="Times New Roman" w:hAnsi="Times New Roman" w:cs="Times New Roman"/>
          <w:b/>
          <w:bCs/>
          <w:sz w:val="26"/>
          <w:szCs w:val="26"/>
        </w:rPr>
      </w:pPr>
    </w:p>
    <w:p w14:paraId="09E1BFF2" w14:textId="77777777" w:rsidR="006D768B" w:rsidRDefault="006D768B" w:rsidP="00935A3C">
      <w:pPr>
        <w:ind w:left="-90"/>
        <w:jc w:val="center"/>
        <w:rPr>
          <w:rFonts w:ascii="Times New Roman" w:hAnsi="Times New Roman" w:cs="Times New Roman"/>
          <w:b/>
          <w:bCs/>
          <w:sz w:val="26"/>
          <w:szCs w:val="26"/>
        </w:rPr>
      </w:pPr>
    </w:p>
    <w:p w14:paraId="2D6444EA" w14:textId="77777777" w:rsidR="006D768B" w:rsidRDefault="006D768B" w:rsidP="00935A3C">
      <w:pPr>
        <w:ind w:left="-90"/>
        <w:jc w:val="center"/>
        <w:rPr>
          <w:rFonts w:ascii="Times New Roman" w:hAnsi="Times New Roman" w:cs="Times New Roman"/>
          <w:b/>
          <w:bCs/>
          <w:sz w:val="26"/>
          <w:szCs w:val="26"/>
        </w:rPr>
      </w:pPr>
    </w:p>
    <w:p w14:paraId="7EA637D8" w14:textId="651A597B" w:rsidR="006D768B" w:rsidRDefault="00F20D78"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NHẬN XÉT CỦA CƠ QUAN THỰC TẬP</w:t>
      </w:r>
    </w:p>
    <w:p w14:paraId="587019E2" w14:textId="1A62FC76" w:rsidR="00F20D78" w:rsidRDefault="00F20D78"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(Chèn bản scan vào sau khi in)</w:t>
      </w:r>
    </w:p>
    <w:p w14:paraId="48426E54" w14:textId="77777777" w:rsidR="00F20D78" w:rsidRDefault="00F20D78" w:rsidP="00935A3C">
      <w:pPr>
        <w:ind w:left="-90"/>
        <w:jc w:val="center"/>
        <w:rPr>
          <w:rFonts w:ascii="Times New Roman" w:hAnsi="Times New Roman" w:cs="Times New Roman"/>
          <w:b/>
          <w:bCs/>
          <w:sz w:val="26"/>
          <w:szCs w:val="26"/>
        </w:rPr>
      </w:pPr>
    </w:p>
    <w:p w14:paraId="14CC31EC" w14:textId="77777777" w:rsidR="00F20D78" w:rsidRDefault="00F20D78" w:rsidP="00935A3C">
      <w:pPr>
        <w:ind w:left="-90"/>
        <w:jc w:val="center"/>
        <w:rPr>
          <w:rFonts w:ascii="Times New Roman" w:hAnsi="Times New Roman" w:cs="Times New Roman"/>
          <w:b/>
          <w:bCs/>
          <w:sz w:val="26"/>
          <w:szCs w:val="26"/>
        </w:rPr>
      </w:pPr>
    </w:p>
    <w:p w14:paraId="41B30DBD" w14:textId="77777777" w:rsidR="00F20D78" w:rsidRDefault="00F20D78" w:rsidP="00935A3C">
      <w:pPr>
        <w:ind w:left="-90"/>
        <w:jc w:val="center"/>
        <w:rPr>
          <w:rFonts w:ascii="Times New Roman" w:hAnsi="Times New Roman" w:cs="Times New Roman"/>
          <w:b/>
          <w:bCs/>
          <w:sz w:val="26"/>
          <w:szCs w:val="26"/>
        </w:rPr>
      </w:pPr>
    </w:p>
    <w:p w14:paraId="0D1644D5" w14:textId="77777777" w:rsidR="00F20D78" w:rsidRDefault="00F20D78" w:rsidP="00935A3C">
      <w:pPr>
        <w:ind w:left="-90"/>
        <w:jc w:val="center"/>
        <w:rPr>
          <w:rFonts w:ascii="Times New Roman" w:hAnsi="Times New Roman" w:cs="Times New Roman"/>
          <w:b/>
          <w:bCs/>
          <w:sz w:val="26"/>
          <w:szCs w:val="26"/>
        </w:rPr>
      </w:pPr>
    </w:p>
    <w:p w14:paraId="0E581848" w14:textId="77777777" w:rsidR="00F20D78" w:rsidRDefault="00F20D78" w:rsidP="00935A3C">
      <w:pPr>
        <w:ind w:left="-90"/>
        <w:jc w:val="center"/>
        <w:rPr>
          <w:rFonts w:ascii="Times New Roman" w:hAnsi="Times New Roman" w:cs="Times New Roman"/>
          <w:b/>
          <w:bCs/>
          <w:sz w:val="26"/>
          <w:szCs w:val="26"/>
        </w:rPr>
      </w:pPr>
    </w:p>
    <w:p w14:paraId="277CB2BA" w14:textId="77777777" w:rsidR="00F20D78" w:rsidRDefault="00F20D78" w:rsidP="00935A3C">
      <w:pPr>
        <w:ind w:left="-90"/>
        <w:jc w:val="center"/>
        <w:rPr>
          <w:rFonts w:ascii="Times New Roman" w:hAnsi="Times New Roman" w:cs="Times New Roman"/>
          <w:b/>
          <w:bCs/>
          <w:sz w:val="26"/>
          <w:szCs w:val="26"/>
        </w:rPr>
      </w:pPr>
    </w:p>
    <w:p w14:paraId="6150D498" w14:textId="77777777" w:rsidR="00F20D78" w:rsidRDefault="00F20D78" w:rsidP="00935A3C">
      <w:pPr>
        <w:ind w:left="-90"/>
        <w:jc w:val="center"/>
        <w:rPr>
          <w:rFonts w:ascii="Times New Roman" w:hAnsi="Times New Roman" w:cs="Times New Roman"/>
          <w:b/>
          <w:bCs/>
          <w:sz w:val="26"/>
          <w:szCs w:val="26"/>
        </w:rPr>
      </w:pPr>
    </w:p>
    <w:p w14:paraId="026AFBEB" w14:textId="77777777" w:rsidR="00F20D78" w:rsidRDefault="00F20D78" w:rsidP="00935A3C">
      <w:pPr>
        <w:ind w:left="-90"/>
        <w:jc w:val="center"/>
        <w:rPr>
          <w:rFonts w:ascii="Times New Roman" w:hAnsi="Times New Roman" w:cs="Times New Roman"/>
          <w:b/>
          <w:bCs/>
          <w:sz w:val="26"/>
          <w:szCs w:val="26"/>
        </w:rPr>
      </w:pPr>
    </w:p>
    <w:p w14:paraId="3DADF65F" w14:textId="77777777" w:rsidR="00F20D78" w:rsidRDefault="00F20D78" w:rsidP="00935A3C">
      <w:pPr>
        <w:ind w:left="-90"/>
        <w:jc w:val="center"/>
        <w:rPr>
          <w:rFonts w:ascii="Times New Roman" w:hAnsi="Times New Roman" w:cs="Times New Roman"/>
          <w:b/>
          <w:bCs/>
          <w:sz w:val="26"/>
          <w:szCs w:val="26"/>
        </w:rPr>
      </w:pPr>
    </w:p>
    <w:p w14:paraId="5D2D6C1A" w14:textId="77777777" w:rsidR="00F20D78" w:rsidRDefault="00F20D78" w:rsidP="00935A3C">
      <w:pPr>
        <w:ind w:left="-90"/>
        <w:jc w:val="center"/>
        <w:rPr>
          <w:rFonts w:ascii="Times New Roman" w:hAnsi="Times New Roman" w:cs="Times New Roman"/>
          <w:b/>
          <w:bCs/>
          <w:sz w:val="26"/>
          <w:szCs w:val="26"/>
        </w:rPr>
      </w:pPr>
    </w:p>
    <w:p w14:paraId="34067902" w14:textId="77777777" w:rsidR="00F20D78" w:rsidRDefault="00F20D78" w:rsidP="00935A3C">
      <w:pPr>
        <w:ind w:left="-90"/>
        <w:jc w:val="center"/>
        <w:rPr>
          <w:rFonts w:ascii="Times New Roman" w:hAnsi="Times New Roman" w:cs="Times New Roman"/>
          <w:b/>
          <w:bCs/>
          <w:sz w:val="26"/>
          <w:szCs w:val="26"/>
        </w:rPr>
      </w:pPr>
    </w:p>
    <w:p w14:paraId="4964C1F1" w14:textId="77777777" w:rsidR="00F20D78" w:rsidRDefault="00F20D78" w:rsidP="00935A3C">
      <w:pPr>
        <w:ind w:left="-90"/>
        <w:jc w:val="center"/>
        <w:rPr>
          <w:rFonts w:ascii="Times New Roman" w:hAnsi="Times New Roman" w:cs="Times New Roman"/>
          <w:b/>
          <w:bCs/>
          <w:sz w:val="26"/>
          <w:szCs w:val="26"/>
        </w:rPr>
      </w:pPr>
    </w:p>
    <w:p w14:paraId="44D9F2F6" w14:textId="77777777" w:rsidR="00F20D78" w:rsidRDefault="00F20D78" w:rsidP="00935A3C">
      <w:pPr>
        <w:ind w:left="-90"/>
        <w:jc w:val="center"/>
        <w:rPr>
          <w:rFonts w:ascii="Times New Roman" w:hAnsi="Times New Roman" w:cs="Times New Roman"/>
          <w:b/>
          <w:bCs/>
          <w:sz w:val="26"/>
          <w:szCs w:val="26"/>
        </w:rPr>
      </w:pPr>
    </w:p>
    <w:p w14:paraId="6347F237" w14:textId="77777777" w:rsidR="00F20D78" w:rsidRDefault="00F20D78" w:rsidP="00935A3C">
      <w:pPr>
        <w:ind w:left="-90"/>
        <w:jc w:val="center"/>
        <w:rPr>
          <w:rFonts w:ascii="Times New Roman" w:hAnsi="Times New Roman" w:cs="Times New Roman"/>
          <w:b/>
          <w:bCs/>
          <w:sz w:val="26"/>
          <w:szCs w:val="26"/>
        </w:rPr>
      </w:pPr>
    </w:p>
    <w:p w14:paraId="35DBFF21" w14:textId="77777777" w:rsidR="00F20D78" w:rsidRDefault="00F20D78" w:rsidP="00935A3C">
      <w:pPr>
        <w:ind w:left="-90"/>
        <w:jc w:val="center"/>
        <w:rPr>
          <w:rFonts w:ascii="Times New Roman" w:hAnsi="Times New Roman" w:cs="Times New Roman"/>
          <w:b/>
          <w:bCs/>
          <w:sz w:val="26"/>
          <w:szCs w:val="26"/>
        </w:rPr>
      </w:pPr>
    </w:p>
    <w:p w14:paraId="0A33D328" w14:textId="77777777" w:rsidR="00F20D78" w:rsidRDefault="00F20D78" w:rsidP="00935A3C">
      <w:pPr>
        <w:ind w:left="-90"/>
        <w:jc w:val="center"/>
        <w:rPr>
          <w:rFonts w:ascii="Times New Roman" w:hAnsi="Times New Roman" w:cs="Times New Roman"/>
          <w:b/>
          <w:bCs/>
          <w:sz w:val="26"/>
          <w:szCs w:val="26"/>
        </w:rPr>
      </w:pPr>
    </w:p>
    <w:p w14:paraId="6BCC5B9A" w14:textId="77777777" w:rsidR="00F20D78" w:rsidRDefault="00F20D78" w:rsidP="00935A3C">
      <w:pPr>
        <w:ind w:left="-90"/>
        <w:jc w:val="center"/>
        <w:rPr>
          <w:rFonts w:ascii="Times New Roman" w:hAnsi="Times New Roman" w:cs="Times New Roman"/>
          <w:b/>
          <w:bCs/>
          <w:sz w:val="26"/>
          <w:szCs w:val="26"/>
        </w:rPr>
      </w:pPr>
    </w:p>
    <w:p w14:paraId="35503990" w14:textId="77777777" w:rsidR="00F20D78" w:rsidRDefault="00F20D78" w:rsidP="00935A3C">
      <w:pPr>
        <w:ind w:left="-90"/>
        <w:jc w:val="center"/>
        <w:rPr>
          <w:rFonts w:ascii="Times New Roman" w:hAnsi="Times New Roman" w:cs="Times New Roman"/>
          <w:b/>
          <w:bCs/>
          <w:sz w:val="26"/>
          <w:szCs w:val="26"/>
        </w:rPr>
      </w:pPr>
    </w:p>
    <w:p w14:paraId="2F6207B2" w14:textId="77777777" w:rsidR="00F20D78" w:rsidRDefault="00F20D78" w:rsidP="00935A3C">
      <w:pPr>
        <w:ind w:left="-90"/>
        <w:jc w:val="center"/>
        <w:rPr>
          <w:rFonts w:ascii="Times New Roman" w:hAnsi="Times New Roman" w:cs="Times New Roman"/>
          <w:b/>
          <w:bCs/>
          <w:sz w:val="26"/>
          <w:szCs w:val="26"/>
        </w:rPr>
      </w:pPr>
    </w:p>
    <w:p w14:paraId="20ADC89E" w14:textId="77777777" w:rsidR="00F20D78" w:rsidRDefault="00F20D78" w:rsidP="00935A3C">
      <w:pPr>
        <w:ind w:left="-90"/>
        <w:jc w:val="center"/>
        <w:rPr>
          <w:rFonts w:ascii="Times New Roman" w:hAnsi="Times New Roman" w:cs="Times New Roman"/>
          <w:b/>
          <w:bCs/>
          <w:sz w:val="26"/>
          <w:szCs w:val="26"/>
        </w:rPr>
      </w:pPr>
    </w:p>
    <w:p w14:paraId="0D9C4A12" w14:textId="77777777" w:rsidR="00F20D78" w:rsidRDefault="00F20D78" w:rsidP="00935A3C">
      <w:pPr>
        <w:ind w:left="-90"/>
        <w:jc w:val="center"/>
        <w:rPr>
          <w:rFonts w:ascii="Times New Roman" w:hAnsi="Times New Roman" w:cs="Times New Roman"/>
          <w:b/>
          <w:bCs/>
          <w:sz w:val="26"/>
          <w:szCs w:val="26"/>
        </w:rPr>
      </w:pPr>
    </w:p>
    <w:p w14:paraId="048E4BAF" w14:textId="77777777" w:rsidR="00F20D78" w:rsidRDefault="00F20D78" w:rsidP="00935A3C">
      <w:pPr>
        <w:ind w:left="-90"/>
        <w:jc w:val="center"/>
        <w:rPr>
          <w:rFonts w:ascii="Times New Roman" w:hAnsi="Times New Roman" w:cs="Times New Roman"/>
          <w:b/>
          <w:bCs/>
          <w:sz w:val="26"/>
          <w:szCs w:val="26"/>
        </w:rPr>
      </w:pPr>
    </w:p>
    <w:p w14:paraId="56C35185" w14:textId="77777777" w:rsidR="00F20D78" w:rsidRDefault="00F20D78" w:rsidP="00935A3C">
      <w:pPr>
        <w:ind w:left="-90"/>
        <w:jc w:val="center"/>
        <w:rPr>
          <w:rFonts w:ascii="Times New Roman" w:hAnsi="Times New Roman" w:cs="Times New Roman"/>
          <w:b/>
          <w:bCs/>
          <w:sz w:val="26"/>
          <w:szCs w:val="26"/>
        </w:rPr>
      </w:pPr>
    </w:p>
    <w:p w14:paraId="44A49B77" w14:textId="77777777" w:rsidR="00F20D78" w:rsidRDefault="00F20D78" w:rsidP="00935A3C">
      <w:pPr>
        <w:ind w:left="-90"/>
        <w:jc w:val="center"/>
        <w:rPr>
          <w:rFonts w:ascii="Times New Roman" w:hAnsi="Times New Roman" w:cs="Times New Roman"/>
          <w:b/>
          <w:bCs/>
          <w:sz w:val="26"/>
          <w:szCs w:val="26"/>
        </w:rPr>
      </w:pPr>
    </w:p>
    <w:p w14:paraId="12F014D2" w14:textId="79F0168E" w:rsidR="00F20D78" w:rsidRDefault="00F20D78"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NHẬN XÉT CỦA GVHD</w:t>
      </w:r>
    </w:p>
    <w:p w14:paraId="73E573C4" w14:textId="5116456B" w:rsidR="00F20D78" w:rsidRPr="00F20D78" w:rsidRDefault="00F20D78" w:rsidP="00F20D78">
      <w:pPr>
        <w:ind w:left="-90"/>
        <w:jc w:val="both"/>
        <w:rPr>
          <w:rFonts w:ascii="Times New Roman" w:hAnsi="Times New Roman" w:cs="Times New Roman"/>
          <w:sz w:val="26"/>
          <w:szCs w:val="26"/>
        </w:rPr>
      </w:pPr>
      <w:r w:rsidRPr="00F20D78">
        <w:rPr>
          <w:rFonts w:ascii="Times New Roman" w:hAnsi="Times New Roman" w:cs="Times New Roman"/>
          <w:sz w:val="26"/>
          <w:szCs w:val="26"/>
        </w:rPr>
        <w:t>………………………………………………………………………………………………………………………………………………………………………………………………</w:t>
      </w:r>
      <w:r w:rsidRPr="00F20D78">
        <w:rPr>
          <w:rFonts w:ascii="Times New Roman" w:hAnsi="Times New Roman" w:cs="Times New Roman"/>
          <w:sz w:val="26"/>
          <w:szCs w:val="26"/>
        </w:rPr>
        <w:lastRenderedPageBreak/>
        <w:t>………………………………………………………………………………………………………………………………………………………………………………………………………………………………………………………………………………………………………………………………………………………………………………………………</w:t>
      </w:r>
    </w:p>
    <w:p w14:paraId="44B200E0" w14:textId="77777777" w:rsidR="00F20D78" w:rsidRPr="00F20D78" w:rsidRDefault="00F20D78" w:rsidP="00F20D78">
      <w:pPr>
        <w:ind w:left="-90"/>
        <w:jc w:val="both"/>
        <w:rPr>
          <w:rFonts w:ascii="Times New Roman" w:hAnsi="Times New Roman" w:cs="Times New Roman"/>
          <w:sz w:val="26"/>
          <w:szCs w:val="26"/>
        </w:rPr>
      </w:pPr>
    </w:p>
    <w:p w14:paraId="3ADA9487" w14:textId="77777777" w:rsidR="00F20D78" w:rsidRPr="00F20D78" w:rsidRDefault="00F20D78" w:rsidP="00F20D78">
      <w:pPr>
        <w:ind w:left="-90"/>
        <w:jc w:val="both"/>
        <w:rPr>
          <w:rFonts w:ascii="Times New Roman" w:hAnsi="Times New Roman" w:cs="Times New Roman"/>
          <w:sz w:val="26"/>
          <w:szCs w:val="26"/>
        </w:rPr>
      </w:pPr>
    </w:p>
    <w:p w14:paraId="61B694A2" w14:textId="77777777" w:rsidR="00F20D78" w:rsidRPr="00F20D78" w:rsidRDefault="00F20D78" w:rsidP="00F20D78">
      <w:pPr>
        <w:ind w:left="-90"/>
        <w:jc w:val="both"/>
        <w:rPr>
          <w:rFonts w:ascii="Times New Roman" w:hAnsi="Times New Roman" w:cs="Times New Roman"/>
          <w:sz w:val="26"/>
          <w:szCs w:val="26"/>
        </w:rPr>
      </w:pPr>
    </w:p>
    <w:p w14:paraId="6A8C25C3" w14:textId="77777777" w:rsidR="00F20D78" w:rsidRDefault="00F20D78" w:rsidP="00935A3C">
      <w:pPr>
        <w:ind w:left="-90"/>
        <w:jc w:val="center"/>
        <w:rPr>
          <w:rFonts w:ascii="Times New Roman" w:hAnsi="Times New Roman" w:cs="Times New Roman"/>
          <w:b/>
          <w:bCs/>
          <w:sz w:val="26"/>
          <w:szCs w:val="26"/>
        </w:rPr>
      </w:pPr>
    </w:p>
    <w:p w14:paraId="5606AE9F" w14:textId="77777777" w:rsidR="00F20D78" w:rsidRDefault="00F20D78" w:rsidP="00935A3C">
      <w:pPr>
        <w:ind w:left="-90"/>
        <w:jc w:val="center"/>
        <w:rPr>
          <w:rFonts w:ascii="Times New Roman" w:hAnsi="Times New Roman" w:cs="Times New Roman"/>
          <w:b/>
          <w:bCs/>
          <w:sz w:val="26"/>
          <w:szCs w:val="26"/>
        </w:rPr>
      </w:pPr>
    </w:p>
    <w:p w14:paraId="38125780" w14:textId="77777777" w:rsidR="00F20D78" w:rsidRDefault="00F20D78" w:rsidP="00935A3C">
      <w:pPr>
        <w:ind w:left="-90"/>
        <w:jc w:val="center"/>
        <w:rPr>
          <w:rFonts w:ascii="Times New Roman" w:hAnsi="Times New Roman" w:cs="Times New Roman"/>
          <w:b/>
          <w:bCs/>
          <w:sz w:val="26"/>
          <w:szCs w:val="26"/>
        </w:rPr>
      </w:pPr>
    </w:p>
    <w:p w14:paraId="3176E7CE" w14:textId="77777777" w:rsidR="00F20D78" w:rsidRDefault="00F20D78" w:rsidP="00935A3C">
      <w:pPr>
        <w:ind w:left="-90"/>
        <w:jc w:val="center"/>
        <w:rPr>
          <w:rFonts w:ascii="Times New Roman" w:hAnsi="Times New Roman" w:cs="Times New Roman"/>
          <w:b/>
          <w:bCs/>
          <w:sz w:val="26"/>
          <w:szCs w:val="26"/>
        </w:rPr>
      </w:pPr>
    </w:p>
    <w:p w14:paraId="6B25C4B9" w14:textId="77777777" w:rsidR="00F20D78" w:rsidRDefault="00F20D78" w:rsidP="00935A3C">
      <w:pPr>
        <w:ind w:left="-90"/>
        <w:jc w:val="center"/>
        <w:rPr>
          <w:rFonts w:ascii="Times New Roman" w:hAnsi="Times New Roman" w:cs="Times New Roman"/>
          <w:b/>
          <w:bCs/>
          <w:sz w:val="26"/>
          <w:szCs w:val="26"/>
        </w:rPr>
      </w:pPr>
    </w:p>
    <w:p w14:paraId="3E1B3BF8" w14:textId="77777777" w:rsidR="00F20D78" w:rsidRDefault="00F20D78" w:rsidP="00935A3C">
      <w:pPr>
        <w:ind w:left="-90"/>
        <w:jc w:val="center"/>
        <w:rPr>
          <w:rFonts w:ascii="Times New Roman" w:hAnsi="Times New Roman" w:cs="Times New Roman"/>
          <w:b/>
          <w:bCs/>
          <w:sz w:val="26"/>
          <w:szCs w:val="26"/>
        </w:rPr>
      </w:pPr>
    </w:p>
    <w:p w14:paraId="4C8A2350" w14:textId="77777777" w:rsidR="00F20D78" w:rsidRDefault="00F20D78" w:rsidP="00935A3C">
      <w:pPr>
        <w:ind w:left="-90"/>
        <w:jc w:val="center"/>
        <w:rPr>
          <w:rFonts w:ascii="Times New Roman" w:hAnsi="Times New Roman" w:cs="Times New Roman"/>
          <w:b/>
          <w:bCs/>
          <w:sz w:val="26"/>
          <w:szCs w:val="26"/>
        </w:rPr>
      </w:pPr>
    </w:p>
    <w:p w14:paraId="565970AA" w14:textId="77777777" w:rsidR="00F20D78" w:rsidRDefault="00F20D78" w:rsidP="00935A3C">
      <w:pPr>
        <w:ind w:left="-90"/>
        <w:jc w:val="center"/>
        <w:rPr>
          <w:rFonts w:ascii="Times New Roman" w:hAnsi="Times New Roman" w:cs="Times New Roman"/>
          <w:b/>
          <w:bCs/>
          <w:sz w:val="26"/>
          <w:szCs w:val="26"/>
        </w:rPr>
      </w:pPr>
    </w:p>
    <w:p w14:paraId="0CF46EA1" w14:textId="77777777" w:rsidR="00F20D78" w:rsidRDefault="00F20D78" w:rsidP="00935A3C">
      <w:pPr>
        <w:ind w:left="-90"/>
        <w:jc w:val="center"/>
        <w:rPr>
          <w:rFonts w:ascii="Times New Roman" w:hAnsi="Times New Roman" w:cs="Times New Roman"/>
          <w:b/>
          <w:bCs/>
          <w:sz w:val="26"/>
          <w:szCs w:val="26"/>
        </w:rPr>
      </w:pPr>
    </w:p>
    <w:p w14:paraId="2002518E" w14:textId="77777777" w:rsidR="00F20D78" w:rsidRDefault="00F20D78" w:rsidP="00935A3C">
      <w:pPr>
        <w:ind w:left="-90"/>
        <w:jc w:val="center"/>
        <w:rPr>
          <w:rFonts w:ascii="Times New Roman" w:hAnsi="Times New Roman" w:cs="Times New Roman"/>
          <w:b/>
          <w:bCs/>
          <w:sz w:val="26"/>
          <w:szCs w:val="26"/>
        </w:rPr>
      </w:pPr>
    </w:p>
    <w:p w14:paraId="49871121" w14:textId="77777777" w:rsidR="00F20D78" w:rsidRDefault="00F20D78" w:rsidP="00935A3C">
      <w:pPr>
        <w:ind w:left="-90"/>
        <w:jc w:val="center"/>
        <w:rPr>
          <w:rFonts w:ascii="Times New Roman" w:hAnsi="Times New Roman" w:cs="Times New Roman"/>
          <w:b/>
          <w:bCs/>
          <w:sz w:val="26"/>
          <w:szCs w:val="26"/>
        </w:rPr>
      </w:pPr>
    </w:p>
    <w:p w14:paraId="36BD8A6C" w14:textId="77777777" w:rsidR="00F20D78" w:rsidRDefault="00F20D78" w:rsidP="00935A3C">
      <w:pPr>
        <w:ind w:left="-90"/>
        <w:jc w:val="center"/>
        <w:rPr>
          <w:rFonts w:ascii="Times New Roman" w:hAnsi="Times New Roman" w:cs="Times New Roman"/>
          <w:b/>
          <w:bCs/>
          <w:sz w:val="26"/>
          <w:szCs w:val="26"/>
        </w:rPr>
      </w:pPr>
    </w:p>
    <w:p w14:paraId="20720E6F" w14:textId="77777777" w:rsidR="00F20D78" w:rsidRDefault="00F20D78" w:rsidP="00935A3C">
      <w:pPr>
        <w:ind w:left="-90"/>
        <w:jc w:val="center"/>
        <w:rPr>
          <w:rFonts w:ascii="Times New Roman" w:hAnsi="Times New Roman" w:cs="Times New Roman"/>
          <w:b/>
          <w:bCs/>
          <w:sz w:val="26"/>
          <w:szCs w:val="26"/>
        </w:rPr>
      </w:pPr>
    </w:p>
    <w:p w14:paraId="72CCA12E" w14:textId="77777777" w:rsidR="00F20D78" w:rsidRDefault="00F20D78" w:rsidP="00935A3C">
      <w:pPr>
        <w:ind w:left="-90"/>
        <w:jc w:val="center"/>
        <w:rPr>
          <w:rFonts w:ascii="Times New Roman" w:hAnsi="Times New Roman" w:cs="Times New Roman"/>
          <w:b/>
          <w:bCs/>
          <w:sz w:val="26"/>
          <w:szCs w:val="26"/>
        </w:rPr>
      </w:pPr>
    </w:p>
    <w:p w14:paraId="389B4D69" w14:textId="77777777" w:rsidR="00F20D78" w:rsidRDefault="00F20D78" w:rsidP="00935A3C">
      <w:pPr>
        <w:ind w:left="-90"/>
        <w:jc w:val="center"/>
        <w:rPr>
          <w:rFonts w:ascii="Times New Roman" w:hAnsi="Times New Roman" w:cs="Times New Roman"/>
          <w:b/>
          <w:bCs/>
          <w:sz w:val="26"/>
          <w:szCs w:val="26"/>
        </w:rPr>
      </w:pPr>
    </w:p>
    <w:p w14:paraId="3D5BE3A9" w14:textId="77777777" w:rsidR="00F20D78" w:rsidRDefault="00F20D78" w:rsidP="00935A3C">
      <w:pPr>
        <w:ind w:left="-90"/>
        <w:jc w:val="center"/>
        <w:rPr>
          <w:rFonts w:ascii="Times New Roman" w:hAnsi="Times New Roman" w:cs="Times New Roman"/>
          <w:b/>
          <w:bCs/>
          <w:sz w:val="26"/>
          <w:szCs w:val="26"/>
        </w:rPr>
      </w:pPr>
    </w:p>
    <w:p w14:paraId="050AB034" w14:textId="77777777" w:rsidR="00F20D78" w:rsidRDefault="00F20D78" w:rsidP="00935A3C">
      <w:pPr>
        <w:ind w:left="-90"/>
        <w:jc w:val="center"/>
        <w:rPr>
          <w:rFonts w:ascii="Times New Roman" w:hAnsi="Times New Roman" w:cs="Times New Roman"/>
          <w:b/>
          <w:bCs/>
          <w:sz w:val="26"/>
          <w:szCs w:val="26"/>
        </w:rPr>
      </w:pPr>
    </w:p>
    <w:p w14:paraId="3CA2019D" w14:textId="59621C6F" w:rsidR="00F20D78" w:rsidRDefault="00F20D78"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MỤC LỤC</w:t>
      </w:r>
    </w:p>
    <w:p w14:paraId="550AAEC2" w14:textId="77777777" w:rsidR="00F20D78" w:rsidRDefault="00F20D78" w:rsidP="00935A3C">
      <w:pPr>
        <w:ind w:left="-90"/>
        <w:jc w:val="center"/>
        <w:rPr>
          <w:rFonts w:ascii="Times New Roman" w:hAnsi="Times New Roman" w:cs="Times New Roman"/>
          <w:b/>
          <w:bCs/>
          <w:sz w:val="26"/>
          <w:szCs w:val="26"/>
        </w:rPr>
      </w:pPr>
    </w:p>
    <w:p w14:paraId="2D148503" w14:textId="77777777" w:rsidR="00F20D78" w:rsidRDefault="00F20D78" w:rsidP="00935A3C">
      <w:pPr>
        <w:ind w:left="-90"/>
        <w:jc w:val="center"/>
        <w:rPr>
          <w:rFonts w:ascii="Times New Roman" w:hAnsi="Times New Roman" w:cs="Times New Roman"/>
          <w:b/>
          <w:bCs/>
          <w:sz w:val="26"/>
          <w:szCs w:val="26"/>
        </w:rPr>
      </w:pPr>
    </w:p>
    <w:p w14:paraId="2C5B9F00" w14:textId="77777777" w:rsidR="00F20D78" w:rsidRDefault="00F20D78" w:rsidP="00935A3C">
      <w:pPr>
        <w:ind w:left="-90"/>
        <w:jc w:val="center"/>
        <w:rPr>
          <w:rFonts w:ascii="Times New Roman" w:hAnsi="Times New Roman" w:cs="Times New Roman"/>
          <w:b/>
          <w:bCs/>
          <w:sz w:val="26"/>
          <w:szCs w:val="26"/>
        </w:rPr>
      </w:pPr>
    </w:p>
    <w:p w14:paraId="6D5898B1" w14:textId="77777777" w:rsidR="00F20D78" w:rsidRDefault="00F20D78" w:rsidP="00935A3C">
      <w:pPr>
        <w:ind w:left="-90"/>
        <w:jc w:val="center"/>
        <w:rPr>
          <w:rFonts w:ascii="Times New Roman" w:hAnsi="Times New Roman" w:cs="Times New Roman"/>
          <w:b/>
          <w:bCs/>
          <w:sz w:val="26"/>
          <w:szCs w:val="26"/>
        </w:rPr>
      </w:pPr>
    </w:p>
    <w:p w14:paraId="011BAD22" w14:textId="77777777" w:rsidR="00F20D78" w:rsidRDefault="00F20D78" w:rsidP="00935A3C">
      <w:pPr>
        <w:ind w:left="-90"/>
        <w:jc w:val="center"/>
        <w:rPr>
          <w:rFonts w:ascii="Times New Roman" w:hAnsi="Times New Roman" w:cs="Times New Roman"/>
          <w:b/>
          <w:bCs/>
          <w:sz w:val="26"/>
          <w:szCs w:val="26"/>
        </w:rPr>
      </w:pPr>
    </w:p>
    <w:p w14:paraId="72EEC511" w14:textId="77777777" w:rsidR="00F20D78" w:rsidRDefault="00F20D78" w:rsidP="00935A3C">
      <w:pPr>
        <w:ind w:left="-90"/>
        <w:jc w:val="center"/>
        <w:rPr>
          <w:rFonts w:ascii="Times New Roman" w:hAnsi="Times New Roman" w:cs="Times New Roman"/>
          <w:b/>
          <w:bCs/>
          <w:sz w:val="26"/>
          <w:szCs w:val="26"/>
        </w:rPr>
      </w:pPr>
    </w:p>
    <w:p w14:paraId="3F9C66A3" w14:textId="77777777" w:rsidR="00F20D78" w:rsidRDefault="00F20D78" w:rsidP="00935A3C">
      <w:pPr>
        <w:ind w:left="-90"/>
        <w:jc w:val="center"/>
        <w:rPr>
          <w:rFonts w:ascii="Times New Roman" w:hAnsi="Times New Roman" w:cs="Times New Roman"/>
          <w:b/>
          <w:bCs/>
          <w:sz w:val="26"/>
          <w:szCs w:val="26"/>
        </w:rPr>
      </w:pPr>
    </w:p>
    <w:p w14:paraId="040FA252" w14:textId="77777777" w:rsidR="00F20D78" w:rsidRDefault="00F20D78" w:rsidP="00935A3C">
      <w:pPr>
        <w:ind w:left="-90"/>
        <w:jc w:val="center"/>
        <w:rPr>
          <w:rFonts w:ascii="Times New Roman" w:hAnsi="Times New Roman" w:cs="Times New Roman"/>
          <w:b/>
          <w:bCs/>
          <w:sz w:val="26"/>
          <w:szCs w:val="26"/>
        </w:rPr>
      </w:pPr>
    </w:p>
    <w:p w14:paraId="4273938C" w14:textId="77777777" w:rsidR="00F20D78" w:rsidRDefault="00F20D78" w:rsidP="00935A3C">
      <w:pPr>
        <w:ind w:left="-90"/>
        <w:jc w:val="center"/>
        <w:rPr>
          <w:rFonts w:ascii="Times New Roman" w:hAnsi="Times New Roman" w:cs="Times New Roman"/>
          <w:b/>
          <w:bCs/>
          <w:sz w:val="26"/>
          <w:szCs w:val="26"/>
        </w:rPr>
      </w:pPr>
    </w:p>
    <w:p w14:paraId="282C5F57" w14:textId="77777777" w:rsidR="00F20D78" w:rsidRDefault="00F20D78" w:rsidP="00935A3C">
      <w:pPr>
        <w:ind w:left="-90"/>
        <w:jc w:val="center"/>
        <w:rPr>
          <w:rFonts w:ascii="Times New Roman" w:hAnsi="Times New Roman" w:cs="Times New Roman"/>
          <w:b/>
          <w:bCs/>
          <w:sz w:val="26"/>
          <w:szCs w:val="26"/>
        </w:rPr>
      </w:pPr>
    </w:p>
    <w:p w14:paraId="77370BD8" w14:textId="77777777" w:rsidR="00F20D78" w:rsidRDefault="00F20D78" w:rsidP="00935A3C">
      <w:pPr>
        <w:ind w:left="-90"/>
        <w:jc w:val="center"/>
        <w:rPr>
          <w:rFonts w:ascii="Times New Roman" w:hAnsi="Times New Roman" w:cs="Times New Roman"/>
          <w:b/>
          <w:bCs/>
          <w:sz w:val="26"/>
          <w:szCs w:val="26"/>
        </w:rPr>
      </w:pPr>
    </w:p>
    <w:p w14:paraId="28512837" w14:textId="77777777" w:rsidR="00F20D78" w:rsidRDefault="00F20D78" w:rsidP="00935A3C">
      <w:pPr>
        <w:ind w:left="-90"/>
        <w:jc w:val="center"/>
        <w:rPr>
          <w:rFonts w:ascii="Times New Roman" w:hAnsi="Times New Roman" w:cs="Times New Roman"/>
          <w:b/>
          <w:bCs/>
          <w:sz w:val="26"/>
          <w:szCs w:val="26"/>
        </w:rPr>
      </w:pPr>
    </w:p>
    <w:p w14:paraId="7D54EEE6" w14:textId="77777777" w:rsidR="00F20D78" w:rsidRDefault="00F20D78" w:rsidP="00935A3C">
      <w:pPr>
        <w:ind w:left="-90"/>
        <w:jc w:val="center"/>
        <w:rPr>
          <w:rFonts w:ascii="Times New Roman" w:hAnsi="Times New Roman" w:cs="Times New Roman"/>
          <w:b/>
          <w:bCs/>
          <w:sz w:val="26"/>
          <w:szCs w:val="26"/>
        </w:rPr>
      </w:pPr>
    </w:p>
    <w:p w14:paraId="3229B7D0" w14:textId="77777777" w:rsidR="00F20D78" w:rsidRDefault="00F20D78" w:rsidP="00935A3C">
      <w:pPr>
        <w:ind w:left="-90"/>
        <w:jc w:val="center"/>
        <w:rPr>
          <w:rFonts w:ascii="Times New Roman" w:hAnsi="Times New Roman" w:cs="Times New Roman"/>
          <w:b/>
          <w:bCs/>
          <w:sz w:val="26"/>
          <w:szCs w:val="26"/>
        </w:rPr>
      </w:pPr>
    </w:p>
    <w:p w14:paraId="37190A9B" w14:textId="77777777" w:rsidR="00F20D78" w:rsidRDefault="00F20D78" w:rsidP="00935A3C">
      <w:pPr>
        <w:ind w:left="-90"/>
        <w:jc w:val="center"/>
        <w:rPr>
          <w:rFonts w:ascii="Times New Roman" w:hAnsi="Times New Roman" w:cs="Times New Roman"/>
          <w:b/>
          <w:bCs/>
          <w:sz w:val="26"/>
          <w:szCs w:val="26"/>
        </w:rPr>
      </w:pPr>
    </w:p>
    <w:p w14:paraId="0425A487" w14:textId="77777777" w:rsidR="00F20D78" w:rsidRDefault="00F20D78" w:rsidP="00935A3C">
      <w:pPr>
        <w:ind w:left="-90"/>
        <w:jc w:val="center"/>
        <w:rPr>
          <w:rFonts w:ascii="Times New Roman" w:hAnsi="Times New Roman" w:cs="Times New Roman"/>
          <w:b/>
          <w:bCs/>
          <w:sz w:val="26"/>
          <w:szCs w:val="26"/>
        </w:rPr>
      </w:pPr>
    </w:p>
    <w:p w14:paraId="419F9365" w14:textId="77777777" w:rsidR="00F20D78" w:rsidRDefault="00F20D78" w:rsidP="00935A3C">
      <w:pPr>
        <w:ind w:left="-90"/>
        <w:jc w:val="center"/>
        <w:rPr>
          <w:rFonts w:ascii="Times New Roman" w:hAnsi="Times New Roman" w:cs="Times New Roman"/>
          <w:b/>
          <w:bCs/>
          <w:sz w:val="26"/>
          <w:szCs w:val="26"/>
        </w:rPr>
      </w:pPr>
    </w:p>
    <w:p w14:paraId="1BB3AA8B" w14:textId="77777777" w:rsidR="00F20D78" w:rsidRDefault="00F20D78" w:rsidP="00935A3C">
      <w:pPr>
        <w:ind w:left="-90"/>
        <w:jc w:val="center"/>
        <w:rPr>
          <w:rFonts w:ascii="Times New Roman" w:hAnsi="Times New Roman" w:cs="Times New Roman"/>
          <w:b/>
          <w:bCs/>
          <w:sz w:val="26"/>
          <w:szCs w:val="26"/>
        </w:rPr>
      </w:pPr>
    </w:p>
    <w:p w14:paraId="2AB4CA5D" w14:textId="77777777" w:rsidR="00F20D78" w:rsidRDefault="00F20D78" w:rsidP="00935A3C">
      <w:pPr>
        <w:ind w:left="-90"/>
        <w:jc w:val="center"/>
        <w:rPr>
          <w:rFonts w:ascii="Times New Roman" w:hAnsi="Times New Roman" w:cs="Times New Roman"/>
          <w:b/>
          <w:bCs/>
          <w:sz w:val="26"/>
          <w:szCs w:val="26"/>
        </w:rPr>
      </w:pPr>
    </w:p>
    <w:p w14:paraId="22EA6065" w14:textId="77777777" w:rsidR="00F20D78" w:rsidRDefault="00F20D78" w:rsidP="00935A3C">
      <w:pPr>
        <w:ind w:left="-90"/>
        <w:jc w:val="center"/>
        <w:rPr>
          <w:rFonts w:ascii="Times New Roman" w:hAnsi="Times New Roman" w:cs="Times New Roman"/>
          <w:b/>
          <w:bCs/>
          <w:sz w:val="26"/>
          <w:szCs w:val="26"/>
        </w:rPr>
      </w:pPr>
    </w:p>
    <w:p w14:paraId="2E31A3BC" w14:textId="77777777" w:rsidR="00F20D78" w:rsidRDefault="00F20D78" w:rsidP="00935A3C">
      <w:pPr>
        <w:ind w:left="-90"/>
        <w:jc w:val="center"/>
        <w:rPr>
          <w:rFonts w:ascii="Times New Roman" w:hAnsi="Times New Roman" w:cs="Times New Roman"/>
          <w:b/>
          <w:bCs/>
          <w:sz w:val="26"/>
          <w:szCs w:val="26"/>
        </w:rPr>
      </w:pPr>
    </w:p>
    <w:p w14:paraId="165882F6" w14:textId="77777777" w:rsidR="00F20D78" w:rsidRDefault="00F20D78" w:rsidP="00935A3C">
      <w:pPr>
        <w:ind w:left="-90"/>
        <w:jc w:val="center"/>
        <w:rPr>
          <w:rFonts w:ascii="Times New Roman" w:hAnsi="Times New Roman" w:cs="Times New Roman"/>
          <w:b/>
          <w:bCs/>
          <w:sz w:val="26"/>
          <w:szCs w:val="26"/>
        </w:rPr>
      </w:pPr>
    </w:p>
    <w:p w14:paraId="38AA9648" w14:textId="77777777" w:rsidR="00F20D78" w:rsidRDefault="00F20D78" w:rsidP="00935A3C">
      <w:pPr>
        <w:ind w:left="-90"/>
        <w:jc w:val="center"/>
        <w:rPr>
          <w:rFonts w:ascii="Times New Roman" w:hAnsi="Times New Roman" w:cs="Times New Roman"/>
          <w:b/>
          <w:bCs/>
          <w:sz w:val="26"/>
          <w:szCs w:val="26"/>
        </w:rPr>
      </w:pPr>
    </w:p>
    <w:p w14:paraId="4A5BEB54" w14:textId="77777777" w:rsidR="00F20D78" w:rsidRDefault="00F20D78" w:rsidP="00935A3C">
      <w:pPr>
        <w:ind w:left="-90"/>
        <w:jc w:val="center"/>
        <w:rPr>
          <w:rFonts w:ascii="Times New Roman" w:hAnsi="Times New Roman" w:cs="Times New Roman"/>
          <w:b/>
          <w:bCs/>
          <w:sz w:val="26"/>
          <w:szCs w:val="26"/>
        </w:rPr>
      </w:pPr>
    </w:p>
    <w:p w14:paraId="50EA18F8" w14:textId="77777777" w:rsidR="00F20D78" w:rsidRDefault="00F20D78" w:rsidP="00935A3C">
      <w:pPr>
        <w:ind w:left="-90"/>
        <w:jc w:val="center"/>
        <w:rPr>
          <w:rFonts w:ascii="Times New Roman" w:hAnsi="Times New Roman" w:cs="Times New Roman"/>
          <w:b/>
          <w:bCs/>
          <w:sz w:val="26"/>
          <w:szCs w:val="26"/>
        </w:rPr>
      </w:pPr>
    </w:p>
    <w:p w14:paraId="2E88D805" w14:textId="18923317" w:rsidR="00F20D78" w:rsidRDefault="00F20D78"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DANH SÁCH BẢNG BIỂU</w:t>
      </w:r>
    </w:p>
    <w:p w14:paraId="1FAB1A04" w14:textId="77777777" w:rsidR="00F20D78" w:rsidRDefault="00F20D78" w:rsidP="00935A3C">
      <w:pPr>
        <w:ind w:left="-90"/>
        <w:jc w:val="center"/>
        <w:rPr>
          <w:rFonts w:ascii="Times New Roman" w:hAnsi="Times New Roman" w:cs="Times New Roman"/>
          <w:b/>
          <w:bCs/>
          <w:sz w:val="26"/>
          <w:szCs w:val="26"/>
        </w:rPr>
      </w:pPr>
    </w:p>
    <w:p w14:paraId="7F07346C" w14:textId="77777777" w:rsidR="00F20D78" w:rsidRDefault="00F20D78" w:rsidP="00935A3C">
      <w:pPr>
        <w:ind w:left="-90"/>
        <w:jc w:val="center"/>
        <w:rPr>
          <w:rFonts w:ascii="Times New Roman" w:hAnsi="Times New Roman" w:cs="Times New Roman"/>
          <w:b/>
          <w:bCs/>
          <w:sz w:val="26"/>
          <w:szCs w:val="26"/>
        </w:rPr>
      </w:pPr>
    </w:p>
    <w:p w14:paraId="217332BF" w14:textId="77777777" w:rsidR="00F20D78" w:rsidRDefault="00F20D78" w:rsidP="00935A3C">
      <w:pPr>
        <w:ind w:left="-90"/>
        <w:jc w:val="center"/>
        <w:rPr>
          <w:rFonts w:ascii="Times New Roman" w:hAnsi="Times New Roman" w:cs="Times New Roman"/>
          <w:b/>
          <w:bCs/>
          <w:sz w:val="26"/>
          <w:szCs w:val="26"/>
        </w:rPr>
      </w:pPr>
    </w:p>
    <w:p w14:paraId="3C8D2FDB" w14:textId="77777777" w:rsidR="00F20D78" w:rsidRDefault="00F20D78" w:rsidP="00935A3C">
      <w:pPr>
        <w:ind w:left="-90"/>
        <w:jc w:val="center"/>
        <w:rPr>
          <w:rFonts w:ascii="Times New Roman" w:hAnsi="Times New Roman" w:cs="Times New Roman"/>
          <w:b/>
          <w:bCs/>
          <w:sz w:val="26"/>
          <w:szCs w:val="26"/>
        </w:rPr>
      </w:pPr>
    </w:p>
    <w:p w14:paraId="1BB02910" w14:textId="77777777" w:rsidR="00F20D78" w:rsidRDefault="00F20D78" w:rsidP="00935A3C">
      <w:pPr>
        <w:ind w:left="-90"/>
        <w:jc w:val="center"/>
        <w:rPr>
          <w:rFonts w:ascii="Times New Roman" w:hAnsi="Times New Roman" w:cs="Times New Roman"/>
          <w:b/>
          <w:bCs/>
          <w:sz w:val="26"/>
          <w:szCs w:val="26"/>
        </w:rPr>
      </w:pPr>
    </w:p>
    <w:p w14:paraId="11C4F8B4" w14:textId="77777777" w:rsidR="00F20D78" w:rsidRDefault="00F20D78" w:rsidP="00935A3C">
      <w:pPr>
        <w:ind w:left="-90"/>
        <w:jc w:val="center"/>
        <w:rPr>
          <w:rFonts w:ascii="Times New Roman" w:hAnsi="Times New Roman" w:cs="Times New Roman"/>
          <w:b/>
          <w:bCs/>
          <w:sz w:val="26"/>
          <w:szCs w:val="26"/>
        </w:rPr>
      </w:pPr>
    </w:p>
    <w:p w14:paraId="41E9F550" w14:textId="77777777" w:rsidR="00F20D78" w:rsidRDefault="00F20D78" w:rsidP="00935A3C">
      <w:pPr>
        <w:ind w:left="-90"/>
        <w:jc w:val="center"/>
        <w:rPr>
          <w:rFonts w:ascii="Times New Roman" w:hAnsi="Times New Roman" w:cs="Times New Roman"/>
          <w:b/>
          <w:bCs/>
          <w:sz w:val="26"/>
          <w:szCs w:val="26"/>
        </w:rPr>
      </w:pPr>
    </w:p>
    <w:p w14:paraId="693AE2B3" w14:textId="77777777" w:rsidR="00F20D78" w:rsidRDefault="00F20D78" w:rsidP="00935A3C">
      <w:pPr>
        <w:ind w:left="-90"/>
        <w:jc w:val="center"/>
        <w:rPr>
          <w:rFonts w:ascii="Times New Roman" w:hAnsi="Times New Roman" w:cs="Times New Roman"/>
          <w:b/>
          <w:bCs/>
          <w:sz w:val="26"/>
          <w:szCs w:val="26"/>
        </w:rPr>
      </w:pPr>
    </w:p>
    <w:p w14:paraId="14B6077C" w14:textId="77777777" w:rsidR="00F20D78" w:rsidRDefault="00F20D78" w:rsidP="00935A3C">
      <w:pPr>
        <w:ind w:left="-90"/>
        <w:jc w:val="center"/>
        <w:rPr>
          <w:rFonts w:ascii="Times New Roman" w:hAnsi="Times New Roman" w:cs="Times New Roman"/>
          <w:b/>
          <w:bCs/>
          <w:sz w:val="26"/>
          <w:szCs w:val="26"/>
        </w:rPr>
      </w:pPr>
    </w:p>
    <w:p w14:paraId="79756B26" w14:textId="77777777" w:rsidR="00F20D78" w:rsidRDefault="00F20D78" w:rsidP="00935A3C">
      <w:pPr>
        <w:ind w:left="-90"/>
        <w:jc w:val="center"/>
        <w:rPr>
          <w:rFonts w:ascii="Times New Roman" w:hAnsi="Times New Roman" w:cs="Times New Roman"/>
          <w:b/>
          <w:bCs/>
          <w:sz w:val="26"/>
          <w:szCs w:val="26"/>
        </w:rPr>
      </w:pPr>
    </w:p>
    <w:p w14:paraId="1A6260D1" w14:textId="77777777" w:rsidR="00F20D78" w:rsidRDefault="00F20D78" w:rsidP="00935A3C">
      <w:pPr>
        <w:ind w:left="-90"/>
        <w:jc w:val="center"/>
        <w:rPr>
          <w:rFonts w:ascii="Times New Roman" w:hAnsi="Times New Roman" w:cs="Times New Roman"/>
          <w:b/>
          <w:bCs/>
          <w:sz w:val="26"/>
          <w:szCs w:val="26"/>
        </w:rPr>
      </w:pPr>
    </w:p>
    <w:p w14:paraId="7D76753F" w14:textId="77777777" w:rsidR="00F20D78" w:rsidRDefault="00F20D78" w:rsidP="00935A3C">
      <w:pPr>
        <w:ind w:left="-90"/>
        <w:jc w:val="center"/>
        <w:rPr>
          <w:rFonts w:ascii="Times New Roman" w:hAnsi="Times New Roman" w:cs="Times New Roman"/>
          <w:b/>
          <w:bCs/>
          <w:sz w:val="26"/>
          <w:szCs w:val="26"/>
        </w:rPr>
      </w:pPr>
    </w:p>
    <w:p w14:paraId="08910BD5" w14:textId="77777777" w:rsidR="00F20D78" w:rsidRDefault="00F20D78" w:rsidP="00935A3C">
      <w:pPr>
        <w:ind w:left="-90"/>
        <w:jc w:val="center"/>
        <w:rPr>
          <w:rFonts w:ascii="Times New Roman" w:hAnsi="Times New Roman" w:cs="Times New Roman"/>
          <w:b/>
          <w:bCs/>
          <w:sz w:val="26"/>
          <w:szCs w:val="26"/>
        </w:rPr>
      </w:pPr>
    </w:p>
    <w:p w14:paraId="1EC64180" w14:textId="77777777" w:rsidR="00F20D78" w:rsidRDefault="00F20D78" w:rsidP="00935A3C">
      <w:pPr>
        <w:ind w:left="-90"/>
        <w:jc w:val="center"/>
        <w:rPr>
          <w:rFonts w:ascii="Times New Roman" w:hAnsi="Times New Roman" w:cs="Times New Roman"/>
          <w:b/>
          <w:bCs/>
          <w:sz w:val="26"/>
          <w:szCs w:val="26"/>
        </w:rPr>
      </w:pPr>
    </w:p>
    <w:p w14:paraId="383D69B5" w14:textId="77777777" w:rsidR="00F20D78" w:rsidRDefault="00F20D78" w:rsidP="00935A3C">
      <w:pPr>
        <w:ind w:left="-90"/>
        <w:jc w:val="center"/>
        <w:rPr>
          <w:rFonts w:ascii="Times New Roman" w:hAnsi="Times New Roman" w:cs="Times New Roman"/>
          <w:b/>
          <w:bCs/>
          <w:sz w:val="26"/>
          <w:szCs w:val="26"/>
        </w:rPr>
      </w:pPr>
    </w:p>
    <w:p w14:paraId="3D6F9DFC" w14:textId="77777777" w:rsidR="00F20D78" w:rsidRDefault="00F20D78" w:rsidP="00935A3C">
      <w:pPr>
        <w:ind w:left="-90"/>
        <w:jc w:val="center"/>
        <w:rPr>
          <w:rFonts w:ascii="Times New Roman" w:hAnsi="Times New Roman" w:cs="Times New Roman"/>
          <w:b/>
          <w:bCs/>
          <w:sz w:val="26"/>
          <w:szCs w:val="26"/>
        </w:rPr>
      </w:pPr>
    </w:p>
    <w:p w14:paraId="47B3C5FD" w14:textId="77777777" w:rsidR="00F20D78" w:rsidRDefault="00F20D78" w:rsidP="00935A3C">
      <w:pPr>
        <w:ind w:left="-90"/>
        <w:jc w:val="center"/>
        <w:rPr>
          <w:rFonts w:ascii="Times New Roman" w:hAnsi="Times New Roman" w:cs="Times New Roman"/>
          <w:b/>
          <w:bCs/>
          <w:sz w:val="26"/>
          <w:szCs w:val="26"/>
        </w:rPr>
      </w:pPr>
    </w:p>
    <w:p w14:paraId="05179BF1" w14:textId="77777777" w:rsidR="00F20D78" w:rsidRDefault="00F20D78" w:rsidP="00935A3C">
      <w:pPr>
        <w:ind w:left="-90"/>
        <w:jc w:val="center"/>
        <w:rPr>
          <w:rFonts w:ascii="Times New Roman" w:hAnsi="Times New Roman" w:cs="Times New Roman"/>
          <w:b/>
          <w:bCs/>
          <w:sz w:val="26"/>
          <w:szCs w:val="26"/>
        </w:rPr>
      </w:pPr>
    </w:p>
    <w:p w14:paraId="4F2EA28A" w14:textId="77777777" w:rsidR="00F20D78" w:rsidRDefault="00F20D78" w:rsidP="00935A3C">
      <w:pPr>
        <w:ind w:left="-90"/>
        <w:jc w:val="center"/>
        <w:rPr>
          <w:rFonts w:ascii="Times New Roman" w:hAnsi="Times New Roman" w:cs="Times New Roman"/>
          <w:b/>
          <w:bCs/>
          <w:sz w:val="26"/>
          <w:szCs w:val="26"/>
        </w:rPr>
      </w:pPr>
    </w:p>
    <w:p w14:paraId="67A15F20" w14:textId="77777777" w:rsidR="00F20D78" w:rsidRDefault="00F20D78" w:rsidP="00935A3C">
      <w:pPr>
        <w:ind w:left="-90"/>
        <w:jc w:val="center"/>
        <w:rPr>
          <w:rFonts w:ascii="Times New Roman" w:hAnsi="Times New Roman" w:cs="Times New Roman"/>
          <w:b/>
          <w:bCs/>
          <w:sz w:val="26"/>
          <w:szCs w:val="26"/>
        </w:rPr>
      </w:pPr>
    </w:p>
    <w:p w14:paraId="768AAD76" w14:textId="77777777" w:rsidR="00F20D78" w:rsidRDefault="00F20D78" w:rsidP="00935A3C">
      <w:pPr>
        <w:ind w:left="-90"/>
        <w:jc w:val="center"/>
        <w:rPr>
          <w:rFonts w:ascii="Times New Roman" w:hAnsi="Times New Roman" w:cs="Times New Roman"/>
          <w:b/>
          <w:bCs/>
          <w:sz w:val="26"/>
          <w:szCs w:val="26"/>
        </w:rPr>
      </w:pPr>
    </w:p>
    <w:p w14:paraId="08AD849A" w14:textId="77777777" w:rsidR="00F20D78" w:rsidRDefault="00F20D78" w:rsidP="00935A3C">
      <w:pPr>
        <w:ind w:left="-90"/>
        <w:jc w:val="center"/>
        <w:rPr>
          <w:rFonts w:ascii="Times New Roman" w:hAnsi="Times New Roman" w:cs="Times New Roman"/>
          <w:b/>
          <w:bCs/>
          <w:sz w:val="26"/>
          <w:szCs w:val="26"/>
        </w:rPr>
      </w:pPr>
    </w:p>
    <w:p w14:paraId="2F7077B9" w14:textId="77777777" w:rsidR="00F20D78" w:rsidRDefault="00F20D78" w:rsidP="00935A3C">
      <w:pPr>
        <w:ind w:left="-90"/>
        <w:jc w:val="center"/>
        <w:rPr>
          <w:rFonts w:ascii="Times New Roman" w:hAnsi="Times New Roman" w:cs="Times New Roman"/>
          <w:b/>
          <w:bCs/>
          <w:sz w:val="26"/>
          <w:szCs w:val="26"/>
        </w:rPr>
      </w:pPr>
    </w:p>
    <w:p w14:paraId="0E33DAA1" w14:textId="77777777" w:rsidR="00F20D78" w:rsidRDefault="00F20D78" w:rsidP="00935A3C">
      <w:pPr>
        <w:ind w:left="-90"/>
        <w:jc w:val="center"/>
        <w:rPr>
          <w:rFonts w:ascii="Times New Roman" w:hAnsi="Times New Roman" w:cs="Times New Roman"/>
          <w:b/>
          <w:bCs/>
          <w:sz w:val="26"/>
          <w:szCs w:val="26"/>
        </w:rPr>
      </w:pPr>
    </w:p>
    <w:p w14:paraId="443F14D8" w14:textId="77777777" w:rsidR="00F20D78" w:rsidRDefault="00F20D78" w:rsidP="00935A3C">
      <w:pPr>
        <w:ind w:left="-90"/>
        <w:jc w:val="center"/>
        <w:rPr>
          <w:rFonts w:ascii="Times New Roman" w:hAnsi="Times New Roman" w:cs="Times New Roman"/>
          <w:b/>
          <w:bCs/>
          <w:sz w:val="26"/>
          <w:szCs w:val="26"/>
        </w:rPr>
      </w:pPr>
    </w:p>
    <w:p w14:paraId="461A9D9C" w14:textId="5D48B198" w:rsidR="00F20D78" w:rsidRDefault="00F20D78"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DANH SÁCH CÁC HÌNH VẼ, ĐỒ THỊ</w:t>
      </w:r>
    </w:p>
    <w:p w14:paraId="3927E14D" w14:textId="77777777" w:rsidR="00F20D78" w:rsidRDefault="00F20D78" w:rsidP="00935A3C">
      <w:pPr>
        <w:ind w:left="-90"/>
        <w:jc w:val="center"/>
        <w:rPr>
          <w:rFonts w:ascii="Times New Roman" w:hAnsi="Times New Roman" w:cs="Times New Roman"/>
          <w:b/>
          <w:bCs/>
          <w:sz w:val="26"/>
          <w:szCs w:val="26"/>
        </w:rPr>
      </w:pPr>
    </w:p>
    <w:p w14:paraId="4309B305" w14:textId="77777777" w:rsidR="00F20D78" w:rsidRDefault="00F20D78" w:rsidP="00935A3C">
      <w:pPr>
        <w:ind w:left="-90"/>
        <w:jc w:val="center"/>
        <w:rPr>
          <w:rFonts w:ascii="Times New Roman" w:hAnsi="Times New Roman" w:cs="Times New Roman"/>
          <w:b/>
          <w:bCs/>
          <w:sz w:val="26"/>
          <w:szCs w:val="26"/>
        </w:rPr>
      </w:pPr>
    </w:p>
    <w:p w14:paraId="49B41FAE" w14:textId="77777777" w:rsidR="00F20D78" w:rsidRDefault="00F20D78" w:rsidP="00935A3C">
      <w:pPr>
        <w:ind w:left="-90"/>
        <w:jc w:val="center"/>
        <w:rPr>
          <w:rFonts w:ascii="Times New Roman" w:hAnsi="Times New Roman" w:cs="Times New Roman"/>
          <w:b/>
          <w:bCs/>
          <w:sz w:val="26"/>
          <w:szCs w:val="26"/>
        </w:rPr>
      </w:pPr>
    </w:p>
    <w:p w14:paraId="3BE0BB2D" w14:textId="77777777" w:rsidR="00F20D78" w:rsidRDefault="00F20D78" w:rsidP="00935A3C">
      <w:pPr>
        <w:ind w:left="-90"/>
        <w:jc w:val="center"/>
        <w:rPr>
          <w:rFonts w:ascii="Times New Roman" w:hAnsi="Times New Roman" w:cs="Times New Roman"/>
          <w:b/>
          <w:bCs/>
          <w:sz w:val="26"/>
          <w:szCs w:val="26"/>
        </w:rPr>
      </w:pPr>
    </w:p>
    <w:p w14:paraId="4C806B65" w14:textId="77777777" w:rsidR="00F20D78" w:rsidRDefault="00F20D78" w:rsidP="00935A3C">
      <w:pPr>
        <w:ind w:left="-90"/>
        <w:jc w:val="center"/>
        <w:rPr>
          <w:rFonts w:ascii="Times New Roman" w:hAnsi="Times New Roman" w:cs="Times New Roman"/>
          <w:b/>
          <w:bCs/>
          <w:sz w:val="26"/>
          <w:szCs w:val="26"/>
        </w:rPr>
      </w:pPr>
    </w:p>
    <w:p w14:paraId="4EFCF3CC" w14:textId="77777777" w:rsidR="00F20D78" w:rsidRDefault="00F20D78" w:rsidP="00935A3C">
      <w:pPr>
        <w:ind w:left="-90"/>
        <w:jc w:val="center"/>
        <w:rPr>
          <w:rFonts w:ascii="Times New Roman" w:hAnsi="Times New Roman" w:cs="Times New Roman"/>
          <w:b/>
          <w:bCs/>
          <w:sz w:val="26"/>
          <w:szCs w:val="26"/>
        </w:rPr>
      </w:pPr>
    </w:p>
    <w:p w14:paraId="7B2BB958" w14:textId="77777777" w:rsidR="00F20D78" w:rsidRDefault="00F20D78" w:rsidP="00935A3C">
      <w:pPr>
        <w:ind w:left="-90"/>
        <w:jc w:val="center"/>
        <w:rPr>
          <w:rFonts w:ascii="Times New Roman" w:hAnsi="Times New Roman" w:cs="Times New Roman"/>
          <w:b/>
          <w:bCs/>
          <w:sz w:val="26"/>
          <w:szCs w:val="26"/>
        </w:rPr>
      </w:pPr>
    </w:p>
    <w:p w14:paraId="5B359401" w14:textId="77777777" w:rsidR="00F20D78" w:rsidRDefault="00F20D78" w:rsidP="00935A3C">
      <w:pPr>
        <w:ind w:left="-90"/>
        <w:jc w:val="center"/>
        <w:rPr>
          <w:rFonts w:ascii="Times New Roman" w:hAnsi="Times New Roman" w:cs="Times New Roman"/>
          <w:b/>
          <w:bCs/>
          <w:sz w:val="26"/>
          <w:szCs w:val="26"/>
        </w:rPr>
      </w:pPr>
    </w:p>
    <w:p w14:paraId="777E49E4" w14:textId="77777777" w:rsidR="00F20D78" w:rsidRDefault="00F20D78" w:rsidP="00935A3C">
      <w:pPr>
        <w:ind w:left="-90"/>
        <w:jc w:val="center"/>
        <w:rPr>
          <w:rFonts w:ascii="Times New Roman" w:hAnsi="Times New Roman" w:cs="Times New Roman"/>
          <w:b/>
          <w:bCs/>
          <w:sz w:val="26"/>
          <w:szCs w:val="26"/>
        </w:rPr>
      </w:pPr>
    </w:p>
    <w:p w14:paraId="7FDE5D3D" w14:textId="77777777" w:rsidR="00F20D78" w:rsidRDefault="00F20D78" w:rsidP="00935A3C">
      <w:pPr>
        <w:ind w:left="-90"/>
        <w:jc w:val="center"/>
        <w:rPr>
          <w:rFonts w:ascii="Times New Roman" w:hAnsi="Times New Roman" w:cs="Times New Roman"/>
          <w:b/>
          <w:bCs/>
          <w:sz w:val="26"/>
          <w:szCs w:val="26"/>
        </w:rPr>
      </w:pPr>
    </w:p>
    <w:p w14:paraId="2FCEEE52" w14:textId="77777777" w:rsidR="00F20D78" w:rsidRDefault="00F20D78" w:rsidP="00935A3C">
      <w:pPr>
        <w:ind w:left="-90"/>
        <w:jc w:val="center"/>
        <w:rPr>
          <w:rFonts w:ascii="Times New Roman" w:hAnsi="Times New Roman" w:cs="Times New Roman"/>
          <w:b/>
          <w:bCs/>
          <w:sz w:val="26"/>
          <w:szCs w:val="26"/>
        </w:rPr>
      </w:pPr>
    </w:p>
    <w:p w14:paraId="107F1D77" w14:textId="77777777" w:rsidR="00F20D78" w:rsidRDefault="00F20D78" w:rsidP="00935A3C">
      <w:pPr>
        <w:ind w:left="-90"/>
        <w:jc w:val="center"/>
        <w:rPr>
          <w:rFonts w:ascii="Times New Roman" w:hAnsi="Times New Roman" w:cs="Times New Roman"/>
          <w:b/>
          <w:bCs/>
          <w:sz w:val="26"/>
          <w:szCs w:val="26"/>
        </w:rPr>
      </w:pPr>
    </w:p>
    <w:p w14:paraId="6C4182F3" w14:textId="77777777" w:rsidR="00F20D78" w:rsidRDefault="00F20D78" w:rsidP="00935A3C">
      <w:pPr>
        <w:ind w:left="-90"/>
        <w:jc w:val="center"/>
        <w:rPr>
          <w:rFonts w:ascii="Times New Roman" w:hAnsi="Times New Roman" w:cs="Times New Roman"/>
          <w:b/>
          <w:bCs/>
          <w:sz w:val="26"/>
          <w:szCs w:val="26"/>
        </w:rPr>
      </w:pPr>
    </w:p>
    <w:p w14:paraId="2AC7E4FC" w14:textId="77777777" w:rsidR="00F20D78" w:rsidRDefault="00F20D78" w:rsidP="00935A3C">
      <w:pPr>
        <w:ind w:left="-90"/>
        <w:jc w:val="center"/>
        <w:rPr>
          <w:rFonts w:ascii="Times New Roman" w:hAnsi="Times New Roman" w:cs="Times New Roman"/>
          <w:b/>
          <w:bCs/>
          <w:sz w:val="26"/>
          <w:szCs w:val="26"/>
        </w:rPr>
      </w:pPr>
    </w:p>
    <w:p w14:paraId="459CD9F0" w14:textId="77777777" w:rsidR="00F20D78" w:rsidRDefault="00F20D78" w:rsidP="00935A3C">
      <w:pPr>
        <w:ind w:left="-90"/>
        <w:jc w:val="center"/>
        <w:rPr>
          <w:rFonts w:ascii="Times New Roman" w:hAnsi="Times New Roman" w:cs="Times New Roman"/>
          <w:b/>
          <w:bCs/>
          <w:sz w:val="26"/>
          <w:szCs w:val="26"/>
        </w:rPr>
      </w:pPr>
    </w:p>
    <w:p w14:paraId="186CF239" w14:textId="77777777" w:rsidR="00F20D78" w:rsidRDefault="00F20D78" w:rsidP="00935A3C">
      <w:pPr>
        <w:ind w:left="-90"/>
        <w:jc w:val="center"/>
        <w:rPr>
          <w:rFonts w:ascii="Times New Roman" w:hAnsi="Times New Roman" w:cs="Times New Roman"/>
          <w:b/>
          <w:bCs/>
          <w:sz w:val="26"/>
          <w:szCs w:val="26"/>
        </w:rPr>
      </w:pPr>
    </w:p>
    <w:p w14:paraId="457AEA7E" w14:textId="77777777" w:rsidR="00F20D78" w:rsidRDefault="00F20D78" w:rsidP="00935A3C">
      <w:pPr>
        <w:ind w:left="-90"/>
        <w:jc w:val="center"/>
        <w:rPr>
          <w:rFonts w:ascii="Times New Roman" w:hAnsi="Times New Roman" w:cs="Times New Roman"/>
          <w:b/>
          <w:bCs/>
          <w:sz w:val="26"/>
          <w:szCs w:val="26"/>
        </w:rPr>
      </w:pPr>
    </w:p>
    <w:p w14:paraId="0EBC55AF" w14:textId="77777777" w:rsidR="00F20D78" w:rsidRDefault="00F20D78" w:rsidP="00935A3C">
      <w:pPr>
        <w:ind w:left="-90"/>
        <w:jc w:val="center"/>
        <w:rPr>
          <w:rFonts w:ascii="Times New Roman" w:hAnsi="Times New Roman" w:cs="Times New Roman"/>
          <w:b/>
          <w:bCs/>
          <w:sz w:val="26"/>
          <w:szCs w:val="26"/>
        </w:rPr>
      </w:pPr>
    </w:p>
    <w:p w14:paraId="46FDBA86" w14:textId="77777777" w:rsidR="00F20D78" w:rsidRDefault="00F20D78" w:rsidP="00935A3C">
      <w:pPr>
        <w:ind w:left="-90"/>
        <w:jc w:val="center"/>
        <w:rPr>
          <w:rFonts w:ascii="Times New Roman" w:hAnsi="Times New Roman" w:cs="Times New Roman"/>
          <w:b/>
          <w:bCs/>
          <w:sz w:val="26"/>
          <w:szCs w:val="26"/>
        </w:rPr>
      </w:pPr>
    </w:p>
    <w:p w14:paraId="2F8119A7" w14:textId="77777777" w:rsidR="00F20D78" w:rsidRDefault="00F20D78" w:rsidP="00935A3C">
      <w:pPr>
        <w:ind w:left="-90"/>
        <w:jc w:val="center"/>
        <w:rPr>
          <w:rFonts w:ascii="Times New Roman" w:hAnsi="Times New Roman" w:cs="Times New Roman"/>
          <w:b/>
          <w:bCs/>
          <w:sz w:val="26"/>
          <w:szCs w:val="26"/>
        </w:rPr>
      </w:pPr>
    </w:p>
    <w:p w14:paraId="585F0022" w14:textId="77777777" w:rsidR="00F20D78" w:rsidRDefault="00F20D78" w:rsidP="00935A3C">
      <w:pPr>
        <w:ind w:left="-90"/>
        <w:jc w:val="center"/>
        <w:rPr>
          <w:rFonts w:ascii="Times New Roman" w:hAnsi="Times New Roman" w:cs="Times New Roman"/>
          <w:b/>
          <w:bCs/>
          <w:sz w:val="26"/>
          <w:szCs w:val="26"/>
        </w:rPr>
      </w:pPr>
    </w:p>
    <w:p w14:paraId="20E26A8D" w14:textId="77777777" w:rsidR="00F20D78" w:rsidRDefault="00F20D78" w:rsidP="00935A3C">
      <w:pPr>
        <w:ind w:left="-90"/>
        <w:jc w:val="center"/>
        <w:rPr>
          <w:rFonts w:ascii="Times New Roman" w:hAnsi="Times New Roman" w:cs="Times New Roman"/>
          <w:b/>
          <w:bCs/>
          <w:sz w:val="26"/>
          <w:szCs w:val="26"/>
        </w:rPr>
      </w:pPr>
    </w:p>
    <w:p w14:paraId="0F40DC8D" w14:textId="77777777" w:rsidR="00F20D78" w:rsidRDefault="00F20D78" w:rsidP="00935A3C">
      <w:pPr>
        <w:ind w:left="-90"/>
        <w:jc w:val="center"/>
        <w:rPr>
          <w:rFonts w:ascii="Times New Roman" w:hAnsi="Times New Roman" w:cs="Times New Roman"/>
          <w:b/>
          <w:bCs/>
          <w:sz w:val="26"/>
          <w:szCs w:val="26"/>
        </w:rPr>
      </w:pPr>
    </w:p>
    <w:p w14:paraId="7DFA30E9" w14:textId="77777777" w:rsidR="00F20D78" w:rsidRDefault="00F20D78" w:rsidP="00935A3C">
      <w:pPr>
        <w:ind w:left="-90"/>
        <w:jc w:val="center"/>
        <w:rPr>
          <w:rFonts w:ascii="Times New Roman" w:hAnsi="Times New Roman" w:cs="Times New Roman"/>
          <w:b/>
          <w:bCs/>
          <w:sz w:val="26"/>
          <w:szCs w:val="26"/>
        </w:rPr>
      </w:pPr>
    </w:p>
    <w:p w14:paraId="049EC646" w14:textId="77777777" w:rsidR="00F20D78" w:rsidRDefault="00F20D78" w:rsidP="00935A3C">
      <w:pPr>
        <w:ind w:left="-90"/>
        <w:jc w:val="center"/>
        <w:rPr>
          <w:rFonts w:ascii="Times New Roman" w:hAnsi="Times New Roman" w:cs="Times New Roman"/>
          <w:b/>
          <w:bCs/>
          <w:sz w:val="26"/>
          <w:szCs w:val="26"/>
        </w:rPr>
      </w:pPr>
    </w:p>
    <w:p w14:paraId="708B5C61" w14:textId="6C6172E0" w:rsidR="00F20D78" w:rsidRDefault="00F20D78"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DANH MỤC TỪ VIẾT TẮT</w:t>
      </w:r>
    </w:p>
    <w:p w14:paraId="7991E55E" w14:textId="77777777" w:rsidR="00F20D78" w:rsidRDefault="00F20D78" w:rsidP="00935A3C">
      <w:pPr>
        <w:ind w:left="-90"/>
        <w:jc w:val="center"/>
        <w:rPr>
          <w:rFonts w:ascii="Times New Roman" w:hAnsi="Times New Roman" w:cs="Times New Roman"/>
          <w:b/>
          <w:bCs/>
          <w:sz w:val="26"/>
          <w:szCs w:val="26"/>
        </w:rPr>
      </w:pPr>
    </w:p>
    <w:p w14:paraId="7C85A871" w14:textId="77777777" w:rsidR="00F20D78" w:rsidRDefault="00F20D78" w:rsidP="00935A3C">
      <w:pPr>
        <w:ind w:left="-90"/>
        <w:jc w:val="center"/>
        <w:rPr>
          <w:rFonts w:ascii="Times New Roman" w:hAnsi="Times New Roman" w:cs="Times New Roman"/>
          <w:b/>
          <w:bCs/>
          <w:sz w:val="26"/>
          <w:szCs w:val="26"/>
        </w:rPr>
      </w:pPr>
    </w:p>
    <w:p w14:paraId="2E4CE2AD" w14:textId="77777777" w:rsidR="00F20D78" w:rsidRDefault="00F20D78" w:rsidP="00935A3C">
      <w:pPr>
        <w:ind w:left="-90"/>
        <w:jc w:val="center"/>
        <w:rPr>
          <w:rFonts w:ascii="Times New Roman" w:hAnsi="Times New Roman" w:cs="Times New Roman"/>
          <w:b/>
          <w:bCs/>
          <w:sz w:val="26"/>
          <w:szCs w:val="26"/>
        </w:rPr>
      </w:pPr>
    </w:p>
    <w:p w14:paraId="71325BA3" w14:textId="77777777" w:rsidR="00F20D78" w:rsidRDefault="00F20D78" w:rsidP="00935A3C">
      <w:pPr>
        <w:ind w:left="-90"/>
        <w:jc w:val="center"/>
        <w:rPr>
          <w:rFonts w:ascii="Times New Roman" w:hAnsi="Times New Roman" w:cs="Times New Roman"/>
          <w:b/>
          <w:bCs/>
          <w:sz w:val="26"/>
          <w:szCs w:val="26"/>
        </w:rPr>
      </w:pPr>
    </w:p>
    <w:p w14:paraId="78094D23" w14:textId="77777777" w:rsidR="00F20D78" w:rsidRDefault="00F20D78" w:rsidP="00935A3C">
      <w:pPr>
        <w:ind w:left="-90"/>
        <w:jc w:val="center"/>
        <w:rPr>
          <w:rFonts w:ascii="Times New Roman" w:hAnsi="Times New Roman" w:cs="Times New Roman"/>
          <w:b/>
          <w:bCs/>
          <w:sz w:val="26"/>
          <w:szCs w:val="26"/>
        </w:rPr>
      </w:pPr>
    </w:p>
    <w:p w14:paraId="331A4780" w14:textId="77777777" w:rsidR="00F20D78" w:rsidRDefault="00F20D78" w:rsidP="00935A3C">
      <w:pPr>
        <w:ind w:left="-90"/>
        <w:jc w:val="center"/>
        <w:rPr>
          <w:rFonts w:ascii="Times New Roman" w:hAnsi="Times New Roman" w:cs="Times New Roman"/>
          <w:b/>
          <w:bCs/>
          <w:sz w:val="26"/>
          <w:szCs w:val="26"/>
        </w:rPr>
      </w:pPr>
    </w:p>
    <w:p w14:paraId="341F379E" w14:textId="77777777" w:rsidR="00F20D78" w:rsidRDefault="00F20D78" w:rsidP="00935A3C">
      <w:pPr>
        <w:ind w:left="-90"/>
        <w:jc w:val="center"/>
        <w:rPr>
          <w:rFonts w:ascii="Times New Roman" w:hAnsi="Times New Roman" w:cs="Times New Roman"/>
          <w:b/>
          <w:bCs/>
          <w:sz w:val="26"/>
          <w:szCs w:val="26"/>
        </w:rPr>
      </w:pPr>
    </w:p>
    <w:p w14:paraId="62DBA2D7" w14:textId="77777777" w:rsidR="00F20D78" w:rsidRDefault="00F20D78" w:rsidP="00935A3C">
      <w:pPr>
        <w:ind w:left="-90"/>
        <w:jc w:val="center"/>
        <w:rPr>
          <w:rFonts w:ascii="Times New Roman" w:hAnsi="Times New Roman" w:cs="Times New Roman"/>
          <w:b/>
          <w:bCs/>
          <w:sz w:val="26"/>
          <w:szCs w:val="26"/>
        </w:rPr>
      </w:pPr>
    </w:p>
    <w:p w14:paraId="529D60FC" w14:textId="77777777" w:rsidR="00F20D78" w:rsidRDefault="00F20D78" w:rsidP="00935A3C">
      <w:pPr>
        <w:ind w:left="-90"/>
        <w:jc w:val="center"/>
        <w:rPr>
          <w:rFonts w:ascii="Times New Roman" w:hAnsi="Times New Roman" w:cs="Times New Roman"/>
          <w:b/>
          <w:bCs/>
          <w:sz w:val="26"/>
          <w:szCs w:val="26"/>
        </w:rPr>
      </w:pPr>
    </w:p>
    <w:p w14:paraId="2DF7E83B" w14:textId="77777777" w:rsidR="00F20D78" w:rsidRDefault="00F20D78" w:rsidP="00935A3C">
      <w:pPr>
        <w:ind w:left="-90"/>
        <w:jc w:val="center"/>
        <w:rPr>
          <w:rFonts w:ascii="Times New Roman" w:hAnsi="Times New Roman" w:cs="Times New Roman"/>
          <w:b/>
          <w:bCs/>
          <w:sz w:val="26"/>
          <w:szCs w:val="26"/>
        </w:rPr>
      </w:pPr>
    </w:p>
    <w:p w14:paraId="60374395" w14:textId="77777777" w:rsidR="00F20D78" w:rsidRDefault="00F20D78" w:rsidP="00935A3C">
      <w:pPr>
        <w:ind w:left="-90"/>
        <w:jc w:val="center"/>
        <w:rPr>
          <w:rFonts w:ascii="Times New Roman" w:hAnsi="Times New Roman" w:cs="Times New Roman"/>
          <w:b/>
          <w:bCs/>
          <w:sz w:val="26"/>
          <w:szCs w:val="26"/>
        </w:rPr>
      </w:pPr>
    </w:p>
    <w:p w14:paraId="07B80AC8" w14:textId="77777777" w:rsidR="00F20D78" w:rsidRDefault="00F20D78" w:rsidP="00935A3C">
      <w:pPr>
        <w:ind w:left="-90"/>
        <w:jc w:val="center"/>
        <w:rPr>
          <w:rFonts w:ascii="Times New Roman" w:hAnsi="Times New Roman" w:cs="Times New Roman"/>
          <w:b/>
          <w:bCs/>
          <w:sz w:val="26"/>
          <w:szCs w:val="26"/>
        </w:rPr>
      </w:pPr>
    </w:p>
    <w:p w14:paraId="35832E70" w14:textId="77777777" w:rsidR="00F20D78" w:rsidRDefault="00F20D78" w:rsidP="00935A3C">
      <w:pPr>
        <w:ind w:left="-90"/>
        <w:jc w:val="center"/>
        <w:rPr>
          <w:rFonts w:ascii="Times New Roman" w:hAnsi="Times New Roman" w:cs="Times New Roman"/>
          <w:b/>
          <w:bCs/>
          <w:sz w:val="26"/>
          <w:szCs w:val="26"/>
        </w:rPr>
      </w:pPr>
    </w:p>
    <w:p w14:paraId="0653EDD8" w14:textId="77777777" w:rsidR="00F20D78" w:rsidRDefault="00F20D78" w:rsidP="00935A3C">
      <w:pPr>
        <w:ind w:left="-90"/>
        <w:jc w:val="center"/>
        <w:rPr>
          <w:rFonts w:ascii="Times New Roman" w:hAnsi="Times New Roman" w:cs="Times New Roman"/>
          <w:b/>
          <w:bCs/>
          <w:sz w:val="26"/>
          <w:szCs w:val="26"/>
        </w:rPr>
      </w:pPr>
    </w:p>
    <w:p w14:paraId="6CCECDC1" w14:textId="77777777" w:rsidR="00F20D78" w:rsidRDefault="00F20D78" w:rsidP="00935A3C">
      <w:pPr>
        <w:ind w:left="-90"/>
        <w:jc w:val="center"/>
        <w:rPr>
          <w:rFonts w:ascii="Times New Roman" w:hAnsi="Times New Roman" w:cs="Times New Roman"/>
          <w:b/>
          <w:bCs/>
          <w:sz w:val="26"/>
          <w:szCs w:val="26"/>
        </w:rPr>
      </w:pPr>
    </w:p>
    <w:p w14:paraId="4010F1D0" w14:textId="77777777" w:rsidR="00F20D78" w:rsidRDefault="00F20D78" w:rsidP="00935A3C">
      <w:pPr>
        <w:ind w:left="-90"/>
        <w:jc w:val="center"/>
        <w:rPr>
          <w:rFonts w:ascii="Times New Roman" w:hAnsi="Times New Roman" w:cs="Times New Roman"/>
          <w:b/>
          <w:bCs/>
          <w:sz w:val="26"/>
          <w:szCs w:val="26"/>
        </w:rPr>
      </w:pPr>
    </w:p>
    <w:p w14:paraId="2023B5D3" w14:textId="77777777" w:rsidR="00F20D78" w:rsidRDefault="00F20D78" w:rsidP="00935A3C">
      <w:pPr>
        <w:ind w:left="-90"/>
        <w:jc w:val="center"/>
        <w:rPr>
          <w:rFonts w:ascii="Times New Roman" w:hAnsi="Times New Roman" w:cs="Times New Roman"/>
          <w:b/>
          <w:bCs/>
          <w:sz w:val="26"/>
          <w:szCs w:val="26"/>
        </w:rPr>
      </w:pPr>
    </w:p>
    <w:p w14:paraId="37348EC8" w14:textId="77777777" w:rsidR="00F20D78" w:rsidRDefault="00F20D78" w:rsidP="00935A3C">
      <w:pPr>
        <w:ind w:left="-90"/>
        <w:jc w:val="center"/>
        <w:rPr>
          <w:rFonts w:ascii="Times New Roman" w:hAnsi="Times New Roman" w:cs="Times New Roman"/>
          <w:b/>
          <w:bCs/>
          <w:sz w:val="26"/>
          <w:szCs w:val="26"/>
        </w:rPr>
      </w:pPr>
    </w:p>
    <w:p w14:paraId="6D667120" w14:textId="77777777" w:rsidR="00F20D78" w:rsidRDefault="00F20D78" w:rsidP="00935A3C">
      <w:pPr>
        <w:ind w:left="-90"/>
        <w:jc w:val="center"/>
        <w:rPr>
          <w:rFonts w:ascii="Times New Roman" w:hAnsi="Times New Roman" w:cs="Times New Roman"/>
          <w:b/>
          <w:bCs/>
          <w:sz w:val="26"/>
          <w:szCs w:val="26"/>
        </w:rPr>
      </w:pPr>
    </w:p>
    <w:p w14:paraId="65A4C82E" w14:textId="77777777" w:rsidR="00F20D78" w:rsidRDefault="00F20D78" w:rsidP="00935A3C">
      <w:pPr>
        <w:ind w:left="-90"/>
        <w:jc w:val="center"/>
        <w:rPr>
          <w:rFonts w:ascii="Times New Roman" w:hAnsi="Times New Roman" w:cs="Times New Roman"/>
          <w:b/>
          <w:bCs/>
          <w:sz w:val="26"/>
          <w:szCs w:val="26"/>
        </w:rPr>
      </w:pPr>
    </w:p>
    <w:p w14:paraId="1284679B" w14:textId="77777777" w:rsidR="00F20D78" w:rsidRDefault="00F20D78" w:rsidP="00935A3C">
      <w:pPr>
        <w:ind w:left="-90"/>
        <w:jc w:val="center"/>
        <w:rPr>
          <w:rFonts w:ascii="Times New Roman" w:hAnsi="Times New Roman" w:cs="Times New Roman"/>
          <w:b/>
          <w:bCs/>
          <w:sz w:val="26"/>
          <w:szCs w:val="26"/>
        </w:rPr>
      </w:pPr>
    </w:p>
    <w:p w14:paraId="71B60E0C" w14:textId="77777777" w:rsidR="00F20D78" w:rsidRDefault="00F20D78" w:rsidP="00935A3C">
      <w:pPr>
        <w:ind w:left="-90"/>
        <w:jc w:val="center"/>
        <w:rPr>
          <w:rFonts w:ascii="Times New Roman" w:hAnsi="Times New Roman" w:cs="Times New Roman"/>
          <w:b/>
          <w:bCs/>
          <w:sz w:val="26"/>
          <w:szCs w:val="26"/>
        </w:rPr>
      </w:pPr>
    </w:p>
    <w:p w14:paraId="4342895F" w14:textId="77777777" w:rsidR="00F20D78" w:rsidRDefault="00F20D78" w:rsidP="00935A3C">
      <w:pPr>
        <w:ind w:left="-90"/>
        <w:jc w:val="center"/>
        <w:rPr>
          <w:rFonts w:ascii="Times New Roman" w:hAnsi="Times New Roman" w:cs="Times New Roman"/>
          <w:b/>
          <w:bCs/>
          <w:sz w:val="26"/>
          <w:szCs w:val="26"/>
        </w:rPr>
      </w:pPr>
    </w:p>
    <w:p w14:paraId="1E0DE394" w14:textId="77777777" w:rsidR="00F20D78" w:rsidRDefault="00F20D78" w:rsidP="00935A3C">
      <w:pPr>
        <w:ind w:left="-90"/>
        <w:jc w:val="center"/>
        <w:rPr>
          <w:rFonts w:ascii="Times New Roman" w:hAnsi="Times New Roman" w:cs="Times New Roman"/>
          <w:b/>
          <w:bCs/>
          <w:sz w:val="26"/>
          <w:szCs w:val="26"/>
        </w:rPr>
      </w:pPr>
    </w:p>
    <w:p w14:paraId="31184FCA" w14:textId="77777777" w:rsidR="00F20D78" w:rsidRDefault="00F20D78" w:rsidP="00935A3C">
      <w:pPr>
        <w:ind w:left="-90"/>
        <w:jc w:val="center"/>
        <w:rPr>
          <w:rFonts w:ascii="Times New Roman" w:hAnsi="Times New Roman" w:cs="Times New Roman"/>
          <w:b/>
          <w:bCs/>
          <w:sz w:val="26"/>
          <w:szCs w:val="26"/>
        </w:rPr>
      </w:pPr>
    </w:p>
    <w:p w14:paraId="505DDF65" w14:textId="094C763D" w:rsidR="00F20D78" w:rsidRDefault="0043677B"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t>LỜI MỞ ĐẦU</w:t>
      </w:r>
    </w:p>
    <w:p w14:paraId="4DF21313" w14:textId="77777777" w:rsidR="0043677B" w:rsidRPr="005C12E7" w:rsidRDefault="0043677B" w:rsidP="0043677B">
      <w:pPr>
        <w:rPr>
          <w:rFonts w:ascii="Times New Roman" w:hAnsi="Times New Roman" w:cs="Times New Roman"/>
          <w:sz w:val="26"/>
          <w:szCs w:val="26"/>
        </w:rPr>
      </w:pPr>
      <w:r>
        <w:rPr>
          <w:rFonts w:ascii="Times New Roman" w:hAnsi="Times New Roman" w:cs="Times New Roman"/>
          <w:b/>
          <w:bCs/>
          <w:sz w:val="26"/>
          <w:szCs w:val="26"/>
        </w:rPr>
        <w:t>1</w:t>
      </w:r>
      <w:r w:rsidRPr="005F025F">
        <w:rPr>
          <w:rFonts w:ascii="Times New Roman" w:hAnsi="Times New Roman" w:cs="Times New Roman"/>
          <w:b/>
          <w:bCs/>
          <w:sz w:val="26"/>
          <w:szCs w:val="26"/>
        </w:rPr>
        <w:t>. Lý do chọn đề tài</w:t>
      </w:r>
    </w:p>
    <w:p w14:paraId="5AD295D8" w14:textId="77777777" w:rsidR="0043677B" w:rsidRPr="00E41B18" w:rsidRDefault="0043677B" w:rsidP="0043677B">
      <w:pPr>
        <w:spacing w:line="360" w:lineRule="auto"/>
        <w:jc w:val="both"/>
        <w:rPr>
          <w:rFonts w:ascii="Times New Roman" w:hAnsi="Times New Roman" w:cs="Times New Roman"/>
          <w:sz w:val="26"/>
          <w:szCs w:val="26"/>
        </w:rPr>
      </w:pPr>
      <w:r>
        <w:rPr>
          <w:rFonts w:ascii="Times New Roman" w:hAnsi="Times New Roman" w:cs="Times New Roman"/>
          <w:sz w:val="26"/>
          <w:szCs w:val="26"/>
        </w:rPr>
        <w:tab/>
      </w:r>
      <w:r w:rsidRPr="00951AB7">
        <w:rPr>
          <w:rFonts w:ascii="Times New Roman" w:hAnsi="Times New Roman" w:cs="Times New Roman"/>
          <w:sz w:val="26"/>
          <w:szCs w:val="26"/>
        </w:rPr>
        <w:t>Ngân hàng thương mại là một trong những định chế tài chính quan trọng của nền kinh tế, giữ vai trò trung gian trong việc huy động và phân phối nguồn vốn, qua đó góp phần thúc đẩy sự phát triển kinh tế – xã hội.</w:t>
      </w:r>
      <w:r>
        <w:rPr>
          <w:rFonts w:ascii="Times New Roman" w:hAnsi="Times New Roman" w:cs="Times New Roman"/>
          <w:sz w:val="26"/>
          <w:szCs w:val="26"/>
        </w:rPr>
        <w:t xml:space="preserve"> </w:t>
      </w:r>
      <w:r w:rsidRPr="00BE2DB4">
        <w:rPr>
          <w:rFonts w:ascii="Times New Roman" w:hAnsi="Times New Roman" w:cs="Times New Roman"/>
          <w:sz w:val="26"/>
          <w:szCs w:val="26"/>
        </w:rPr>
        <w:t>Để thực hiện tốt chức năng trung gian tài chính, các ngân hàng cần có nguồn vốn ổn định và bền vững, trong đó hoạt động huy động vốn đóng vai trò then chốt, quyết định quy mô và hiệu quả hoạt động của ngân hàng.</w:t>
      </w:r>
      <w:r>
        <w:rPr>
          <w:rFonts w:ascii="Times New Roman" w:hAnsi="Times New Roman" w:cs="Times New Roman"/>
          <w:sz w:val="26"/>
          <w:szCs w:val="26"/>
        </w:rPr>
        <w:t xml:space="preserve"> Nguồn vốn huy động không chỉ là cơ sở để ngân hàng mở rộng hoạt động tín dụng, đầu tư mà còn </w:t>
      </w:r>
      <w:r>
        <w:rPr>
          <w:rFonts w:ascii="Times New Roman" w:hAnsi="Times New Roman" w:cs="Times New Roman"/>
          <w:sz w:val="26"/>
          <w:szCs w:val="26"/>
        </w:rPr>
        <w:lastRenderedPageBreak/>
        <w:t xml:space="preserve">góp phần nâng cao khả năng thanh khoản và hiệu quả kinh doanh của ngân hàng. Đặc biệt, nguồn vốn huy động từ khách hàng cá nhân được xem là nguồn vốn ổn định, </w:t>
      </w:r>
      <w:r w:rsidRPr="0061047E">
        <w:rPr>
          <w:rFonts w:ascii="Times New Roman" w:hAnsi="Times New Roman" w:cs="Times New Roman"/>
          <w:sz w:val="26"/>
          <w:szCs w:val="26"/>
        </w:rPr>
        <w:t>có tiềm năng lớn và góp phần đảm bảo tính bền vững trong hoạt động kinh doanh của ngân hàng</w:t>
      </w:r>
      <w:r>
        <w:rPr>
          <w:rFonts w:ascii="Times New Roman" w:hAnsi="Times New Roman" w:cs="Times New Roman"/>
          <w:sz w:val="26"/>
          <w:szCs w:val="26"/>
        </w:rPr>
        <w:t xml:space="preserve">. </w:t>
      </w:r>
      <w:r w:rsidRPr="000453CA">
        <w:rPr>
          <w:rFonts w:ascii="Times New Roman" w:hAnsi="Times New Roman" w:cs="Times New Roman"/>
          <w:sz w:val="26"/>
          <w:szCs w:val="26"/>
        </w:rPr>
        <w:t>Tuy nhiên, trước sự đa dạng của các kênh đầu tư hiện nay cũng như sự cạnh tranh giữa các ngân hàng thương mại, việc thu hút nguồn vốn từ khách hàng cá nhân ngày càng trở nên khó khăn, đòi hỏi các ngân hàng phải không ngừng cải tiến sản phẩm, nâng cao chất lượng dịch vụ và xây dựng các chính sách huy động vốn hiệu quả hơn.</w:t>
      </w:r>
    </w:p>
    <w:p w14:paraId="5BCB666B" w14:textId="77777777" w:rsidR="0043677B" w:rsidRDefault="0043677B" w:rsidP="0043677B">
      <w:pPr>
        <w:spacing w:line="360"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Xuất phát từ quá trình tìm hiểu thực tế hoạt động tại Ngân hàng TMCP Nam Á – Chi nhánh Đà Nẵng – Phòng giao dịch Cẩm Lệ, em đã nhận thấy hoạt động huy động vốn từ khách hàng các nhân trong thời gian qua đã được một số kết quả tích cực, góp phần quan trọng vào sự phát triển chung của ngân hàng. Tuy nhiên, trong bối cảnh thị trường tài chính – ngân hàng ngày càng cạnh tranh gay gắt, cùng với sự phát triển của các kênh đầu tư và ngân hàng số, hoạt động huy động vốn từ khách hàng cá ngân tại Phòng giao dịch Cẩm Lệ vẫn có một số hạn chế nhất định. Cụ thể, quy mô nguồn vốn huy động từ khách hàng cá nhân chưa thực sự tương xứng với tiềm năng của khu vực, các sản phẩm huy động vốn còn chưa đa dạng, chủ yếu tập trung vào cách tiếp cận truyền thống, công tác tiếp cận và thu hút khách hàng mới còn nhiều khó khan và việc ứng dụng các kênh ngân hàng số trong hoạt động huy động vốn chưa được khai thác hiệu quả. </w:t>
      </w:r>
      <w:r w:rsidRPr="00B369B3">
        <w:rPr>
          <w:rFonts w:ascii="Times New Roman" w:hAnsi="Times New Roman" w:cs="Times New Roman"/>
          <w:sz w:val="26"/>
          <w:szCs w:val="26"/>
        </w:rPr>
        <w:t xml:space="preserve">Do đó, việc nghiên cứu và đề xuất các giải pháp phù hợp nhằm </w:t>
      </w:r>
      <w:r>
        <w:rPr>
          <w:rFonts w:ascii="Times New Roman" w:hAnsi="Times New Roman" w:cs="Times New Roman"/>
          <w:sz w:val="26"/>
          <w:szCs w:val="26"/>
        </w:rPr>
        <w:t xml:space="preserve">phát triển hoạt động </w:t>
      </w:r>
      <w:r w:rsidRPr="00B369B3">
        <w:rPr>
          <w:rFonts w:ascii="Times New Roman" w:hAnsi="Times New Roman" w:cs="Times New Roman"/>
          <w:sz w:val="26"/>
          <w:szCs w:val="26"/>
        </w:rPr>
        <w:t xml:space="preserve">huy động vốn </w:t>
      </w:r>
      <w:r>
        <w:rPr>
          <w:rFonts w:ascii="Times New Roman" w:hAnsi="Times New Roman" w:cs="Times New Roman"/>
          <w:sz w:val="26"/>
          <w:szCs w:val="26"/>
        </w:rPr>
        <w:t>đối với</w:t>
      </w:r>
      <w:r w:rsidRPr="00B369B3">
        <w:rPr>
          <w:rFonts w:ascii="Times New Roman" w:hAnsi="Times New Roman" w:cs="Times New Roman"/>
          <w:sz w:val="26"/>
          <w:szCs w:val="26"/>
        </w:rPr>
        <w:t xml:space="preserve"> khách hàng cá nhân là vấn đề cần thiết.</w:t>
      </w:r>
    </w:p>
    <w:p w14:paraId="252506BE" w14:textId="77777777" w:rsidR="0043677B" w:rsidRDefault="0043677B" w:rsidP="0043677B">
      <w:pPr>
        <w:spacing w:line="360" w:lineRule="auto"/>
        <w:ind w:firstLine="720"/>
        <w:jc w:val="both"/>
        <w:rPr>
          <w:rFonts w:ascii="Times New Roman" w:hAnsi="Times New Roman" w:cs="Times New Roman"/>
          <w:sz w:val="26"/>
          <w:szCs w:val="26"/>
        </w:rPr>
      </w:pPr>
      <w:r w:rsidRPr="009E1BB9">
        <w:rPr>
          <w:rFonts w:ascii="Times New Roman" w:hAnsi="Times New Roman" w:cs="Times New Roman"/>
          <w:sz w:val="26"/>
          <w:szCs w:val="26"/>
        </w:rPr>
        <w:t xml:space="preserve">Chính vì vậy, việc nghiên cứu và đề xuất các giải pháp nhằm phát triển hoạt động huy động vốn </w:t>
      </w:r>
      <w:r>
        <w:rPr>
          <w:rFonts w:ascii="Times New Roman" w:hAnsi="Times New Roman" w:cs="Times New Roman"/>
          <w:sz w:val="26"/>
          <w:szCs w:val="26"/>
        </w:rPr>
        <w:t>đối với</w:t>
      </w:r>
      <w:r w:rsidRPr="009E1BB9">
        <w:rPr>
          <w:rFonts w:ascii="Times New Roman" w:hAnsi="Times New Roman" w:cs="Times New Roman"/>
          <w:sz w:val="26"/>
          <w:szCs w:val="26"/>
        </w:rPr>
        <w:t xml:space="preserve"> khách hàng cá nhân tại đơn vị là vấn đề mang tính cần thiết và có ý nghĩa thực tiễn. Xuất phát từ những lý do trên, </w:t>
      </w:r>
      <w:r>
        <w:rPr>
          <w:rFonts w:ascii="Times New Roman" w:hAnsi="Times New Roman" w:cs="Times New Roman"/>
          <w:sz w:val="26"/>
          <w:szCs w:val="26"/>
        </w:rPr>
        <w:t xml:space="preserve">em </w:t>
      </w:r>
      <w:r w:rsidRPr="009E1BB9">
        <w:rPr>
          <w:rFonts w:ascii="Times New Roman" w:hAnsi="Times New Roman" w:cs="Times New Roman"/>
          <w:sz w:val="26"/>
          <w:szCs w:val="26"/>
        </w:rPr>
        <w:t xml:space="preserve">lựa chọn đề tài “Giải pháp phát triển hoạt động huy động vốn </w:t>
      </w:r>
      <w:r>
        <w:rPr>
          <w:rFonts w:ascii="Times New Roman" w:hAnsi="Times New Roman" w:cs="Times New Roman"/>
          <w:sz w:val="26"/>
          <w:szCs w:val="26"/>
        </w:rPr>
        <w:t xml:space="preserve">đối với </w:t>
      </w:r>
      <w:r w:rsidRPr="009E1BB9">
        <w:rPr>
          <w:rFonts w:ascii="Times New Roman" w:hAnsi="Times New Roman" w:cs="Times New Roman"/>
          <w:sz w:val="26"/>
          <w:szCs w:val="26"/>
        </w:rPr>
        <w:t>khách hàng cá nhân tại Ngân hàng TMCP Nam Á - Chi nhánh Đà Nẵng - Phòng giao dịch Cẩm Lệ” làm đề tài nghiên cứu.</w:t>
      </w:r>
    </w:p>
    <w:p w14:paraId="188061C5" w14:textId="77777777" w:rsidR="0043677B" w:rsidRPr="005F025F" w:rsidRDefault="0043677B" w:rsidP="0043677B">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2</w:t>
      </w:r>
      <w:r w:rsidRPr="005F025F">
        <w:rPr>
          <w:rFonts w:ascii="Times New Roman" w:hAnsi="Times New Roman" w:cs="Times New Roman"/>
          <w:b/>
          <w:bCs/>
          <w:sz w:val="26"/>
          <w:szCs w:val="26"/>
        </w:rPr>
        <w:t>. Mục tiêu nghiên cứu</w:t>
      </w:r>
    </w:p>
    <w:p w14:paraId="103385A1" w14:textId="77777777" w:rsidR="0043677B" w:rsidRPr="00586235" w:rsidRDefault="0043677B" w:rsidP="0043677B">
      <w:pPr>
        <w:pStyle w:val="ListParagraph"/>
        <w:numPr>
          <w:ilvl w:val="0"/>
          <w:numId w:val="1"/>
        </w:numPr>
        <w:spacing w:line="360" w:lineRule="auto"/>
        <w:jc w:val="both"/>
        <w:rPr>
          <w:rFonts w:ascii="Times New Roman" w:hAnsi="Times New Roman" w:cs="Times New Roman"/>
          <w:i/>
          <w:iCs/>
          <w:sz w:val="26"/>
          <w:szCs w:val="26"/>
        </w:rPr>
      </w:pPr>
      <w:r w:rsidRPr="00586235">
        <w:rPr>
          <w:rFonts w:ascii="Times New Roman" w:hAnsi="Times New Roman" w:cs="Times New Roman"/>
          <w:i/>
          <w:iCs/>
          <w:sz w:val="26"/>
          <w:szCs w:val="26"/>
        </w:rPr>
        <w:t>Mục tiêu chung</w:t>
      </w:r>
    </w:p>
    <w:p w14:paraId="239A3AC5" w14:textId="77777777" w:rsidR="0043677B" w:rsidRDefault="0043677B" w:rsidP="0043677B">
      <w:pPr>
        <w:spacing w:line="360" w:lineRule="auto"/>
        <w:ind w:firstLine="360"/>
        <w:jc w:val="both"/>
        <w:rPr>
          <w:rFonts w:ascii="Times New Roman" w:hAnsi="Times New Roman" w:cs="Times New Roman"/>
          <w:sz w:val="26"/>
          <w:szCs w:val="26"/>
        </w:rPr>
      </w:pPr>
      <w:r w:rsidRPr="004C185C">
        <w:rPr>
          <w:rFonts w:ascii="Times New Roman" w:hAnsi="Times New Roman" w:cs="Times New Roman"/>
          <w:sz w:val="26"/>
          <w:szCs w:val="26"/>
        </w:rPr>
        <w:lastRenderedPageBreak/>
        <w:t xml:space="preserve">Mục tiêu của đề tài là phân tích và đánh giá thực trạng hoạt động huy động vốn </w:t>
      </w:r>
      <w:r>
        <w:rPr>
          <w:rFonts w:ascii="Times New Roman" w:hAnsi="Times New Roman" w:cs="Times New Roman"/>
          <w:sz w:val="26"/>
          <w:szCs w:val="26"/>
        </w:rPr>
        <w:t>đối với</w:t>
      </w:r>
      <w:r w:rsidRPr="004C185C">
        <w:rPr>
          <w:rFonts w:ascii="Times New Roman" w:hAnsi="Times New Roman" w:cs="Times New Roman"/>
          <w:sz w:val="26"/>
          <w:szCs w:val="26"/>
        </w:rPr>
        <w:t xml:space="preserve"> khách hàng cá nhân tại Ngân hàng TMCP Nam Á – Chi nhánh Đà Nẵng – Phòng giao dịch Cẩm Lệ, từ đó đề xuất các giải pháp phù hợp nhằm phát triển hoạt động huy động vốn từ khách hàng cá nhân tại đơn vị trong thời gian tới.</w:t>
      </w:r>
    </w:p>
    <w:p w14:paraId="6ECD63C4" w14:textId="77777777" w:rsidR="0043677B" w:rsidRPr="00586235" w:rsidRDefault="0043677B" w:rsidP="0043677B">
      <w:pPr>
        <w:pStyle w:val="ListParagraph"/>
        <w:numPr>
          <w:ilvl w:val="0"/>
          <w:numId w:val="1"/>
        </w:numPr>
        <w:spacing w:line="360" w:lineRule="auto"/>
        <w:jc w:val="both"/>
        <w:rPr>
          <w:rFonts w:ascii="Times New Roman" w:hAnsi="Times New Roman" w:cs="Times New Roman"/>
          <w:i/>
          <w:iCs/>
          <w:sz w:val="26"/>
          <w:szCs w:val="26"/>
        </w:rPr>
      </w:pPr>
      <w:r w:rsidRPr="00586235">
        <w:rPr>
          <w:rFonts w:ascii="Times New Roman" w:hAnsi="Times New Roman" w:cs="Times New Roman"/>
          <w:i/>
          <w:iCs/>
          <w:sz w:val="26"/>
          <w:szCs w:val="26"/>
        </w:rPr>
        <w:t>Mục tiêu cụ thể</w:t>
      </w:r>
    </w:p>
    <w:p w14:paraId="58794BFD" w14:textId="77777777" w:rsidR="0043677B" w:rsidRPr="00AA204F" w:rsidRDefault="0043677B" w:rsidP="0043677B">
      <w:pPr>
        <w:pStyle w:val="NormalWeb"/>
        <w:spacing w:line="360" w:lineRule="auto"/>
        <w:jc w:val="both"/>
        <w:rPr>
          <w:sz w:val="26"/>
          <w:szCs w:val="26"/>
        </w:rPr>
      </w:pPr>
      <w:r>
        <w:rPr>
          <w:rFonts w:hAnsi="Symbol"/>
        </w:rPr>
        <w:t xml:space="preserve">- </w:t>
      </w:r>
      <w:r w:rsidRPr="00AA204F">
        <w:rPr>
          <w:sz w:val="26"/>
          <w:szCs w:val="26"/>
        </w:rPr>
        <w:t xml:space="preserve">Hệ thống hóa các vấn đề lý luận cơ bản về hoạt động huy động vốn </w:t>
      </w:r>
      <w:r>
        <w:rPr>
          <w:sz w:val="26"/>
          <w:szCs w:val="26"/>
        </w:rPr>
        <w:t>đối với</w:t>
      </w:r>
      <w:r w:rsidRPr="00AA204F">
        <w:rPr>
          <w:sz w:val="26"/>
          <w:szCs w:val="26"/>
        </w:rPr>
        <w:t xml:space="preserve"> khách hàng cá nhân tại ngân hàng thương mại.</w:t>
      </w:r>
    </w:p>
    <w:p w14:paraId="4065176E" w14:textId="77777777" w:rsidR="0043677B" w:rsidRPr="00AA204F" w:rsidRDefault="0043677B" w:rsidP="0043677B">
      <w:pPr>
        <w:pStyle w:val="NormalWeb"/>
        <w:spacing w:line="360" w:lineRule="auto"/>
        <w:jc w:val="both"/>
        <w:rPr>
          <w:sz w:val="26"/>
          <w:szCs w:val="26"/>
        </w:rPr>
      </w:pPr>
      <w:r w:rsidRPr="00AA204F">
        <w:rPr>
          <w:sz w:val="26"/>
          <w:szCs w:val="26"/>
        </w:rPr>
        <w:t xml:space="preserve"> -  Phân tích và đánh giá thực trạng hoạt động huy động vốn </w:t>
      </w:r>
      <w:r>
        <w:rPr>
          <w:sz w:val="26"/>
          <w:szCs w:val="26"/>
        </w:rPr>
        <w:t xml:space="preserve">đối với </w:t>
      </w:r>
      <w:r w:rsidRPr="00AA204F">
        <w:rPr>
          <w:sz w:val="26"/>
          <w:szCs w:val="26"/>
        </w:rPr>
        <w:t>khách hàng cá nhân tại Ngân hàng TMCP Nam Á – Chi nhánh Đà Nẵng – Phòng giao dịch Cẩm Lệ trong giai đoạn nghiên cứu.</w:t>
      </w:r>
    </w:p>
    <w:p w14:paraId="0140ADBB" w14:textId="77777777" w:rsidR="0043677B" w:rsidRDefault="0043677B" w:rsidP="0043677B">
      <w:pPr>
        <w:pStyle w:val="NormalWeb"/>
        <w:spacing w:line="360" w:lineRule="auto"/>
        <w:jc w:val="both"/>
        <w:rPr>
          <w:sz w:val="26"/>
          <w:szCs w:val="26"/>
        </w:rPr>
      </w:pPr>
      <w:r w:rsidRPr="00AA204F">
        <w:rPr>
          <w:rFonts w:hAnsi="Symbol"/>
          <w:sz w:val="26"/>
          <w:szCs w:val="26"/>
        </w:rPr>
        <w:t xml:space="preserve">- </w:t>
      </w:r>
      <w:r w:rsidRPr="00AA204F">
        <w:rPr>
          <w:sz w:val="26"/>
          <w:szCs w:val="26"/>
        </w:rPr>
        <w:t xml:space="preserve"> Đề xuất một số giải pháp nhằm phát triển hoạt động huy động vốn từ khách hàng cá nhân tại Ngân hàng TMCP Nam Á – Chi nhánh Đà Nẵng – Phòng giao dịch Cẩm Lệ trong thời gian tới.</w:t>
      </w:r>
    </w:p>
    <w:p w14:paraId="29559F73" w14:textId="77777777" w:rsidR="0043677B" w:rsidRPr="005F025F" w:rsidRDefault="0043677B" w:rsidP="0043677B">
      <w:pPr>
        <w:pStyle w:val="NormalWeb"/>
        <w:spacing w:line="360" w:lineRule="auto"/>
        <w:jc w:val="both"/>
        <w:rPr>
          <w:b/>
          <w:bCs/>
          <w:sz w:val="26"/>
          <w:szCs w:val="26"/>
        </w:rPr>
      </w:pPr>
      <w:r>
        <w:rPr>
          <w:b/>
          <w:bCs/>
          <w:sz w:val="26"/>
          <w:szCs w:val="26"/>
        </w:rPr>
        <w:t>3</w:t>
      </w:r>
      <w:r w:rsidRPr="005F025F">
        <w:rPr>
          <w:b/>
          <w:bCs/>
          <w:sz w:val="26"/>
          <w:szCs w:val="26"/>
        </w:rPr>
        <w:t>. Câu hỏi nghiên cứu</w:t>
      </w:r>
    </w:p>
    <w:p w14:paraId="54D2C150" w14:textId="77777777" w:rsidR="0043677B" w:rsidRDefault="0043677B" w:rsidP="0043677B">
      <w:pPr>
        <w:pStyle w:val="NormalWeb"/>
        <w:spacing w:line="360" w:lineRule="auto"/>
        <w:jc w:val="both"/>
        <w:rPr>
          <w:sz w:val="26"/>
          <w:szCs w:val="26"/>
        </w:rPr>
      </w:pPr>
      <w:r>
        <w:rPr>
          <w:sz w:val="26"/>
          <w:szCs w:val="26"/>
        </w:rPr>
        <w:t xml:space="preserve">  - </w:t>
      </w:r>
      <w:r w:rsidRPr="00167CAF">
        <w:rPr>
          <w:sz w:val="26"/>
          <w:szCs w:val="26"/>
        </w:rPr>
        <w:t xml:space="preserve"> Hoạt động huy động vốn từ khách hàng cá nhân tại ngân hàng thương mại có những đặc điểm và vai trò như thế nào?</w:t>
      </w:r>
    </w:p>
    <w:p w14:paraId="344F0ACB" w14:textId="77777777" w:rsidR="0043677B" w:rsidRPr="00167CAF" w:rsidRDefault="0043677B" w:rsidP="0043677B">
      <w:pPr>
        <w:pStyle w:val="NormalWeb"/>
        <w:spacing w:line="360" w:lineRule="auto"/>
        <w:jc w:val="both"/>
        <w:rPr>
          <w:sz w:val="26"/>
          <w:szCs w:val="26"/>
        </w:rPr>
      </w:pPr>
      <w:r>
        <w:rPr>
          <w:sz w:val="26"/>
          <w:szCs w:val="26"/>
        </w:rPr>
        <w:t xml:space="preserve">  - </w:t>
      </w:r>
      <w:r w:rsidRPr="00167CAF">
        <w:rPr>
          <w:sz w:val="26"/>
          <w:szCs w:val="26"/>
        </w:rPr>
        <w:t>Thực trạng hoạt động huy động vốn từ khách hàng cá nhân tại Ngân hàng TMCP Nam Á</w:t>
      </w:r>
      <w:r>
        <w:rPr>
          <w:sz w:val="26"/>
          <w:szCs w:val="26"/>
        </w:rPr>
        <w:t xml:space="preserve"> -</w:t>
      </w:r>
      <w:r w:rsidRPr="00167CAF">
        <w:rPr>
          <w:sz w:val="26"/>
          <w:szCs w:val="26"/>
        </w:rPr>
        <w:t xml:space="preserve"> Chi nhánh Đà Nẵng </w:t>
      </w:r>
      <w:r>
        <w:rPr>
          <w:sz w:val="26"/>
          <w:szCs w:val="26"/>
        </w:rPr>
        <w:t xml:space="preserve">- </w:t>
      </w:r>
      <w:r w:rsidRPr="00167CAF">
        <w:rPr>
          <w:sz w:val="26"/>
          <w:szCs w:val="26"/>
        </w:rPr>
        <w:t>Phòng giao dịch Cẩm Lệ trong giai đoạn nghiên cứu như thế nào?</w:t>
      </w:r>
    </w:p>
    <w:p w14:paraId="575DDF1E" w14:textId="77777777" w:rsidR="0043677B" w:rsidRDefault="0043677B" w:rsidP="0043677B">
      <w:pPr>
        <w:pStyle w:val="NormalWeb"/>
        <w:spacing w:line="360" w:lineRule="auto"/>
        <w:jc w:val="both"/>
        <w:rPr>
          <w:sz w:val="26"/>
          <w:szCs w:val="26"/>
        </w:rPr>
      </w:pPr>
      <w:r>
        <w:rPr>
          <w:sz w:val="26"/>
          <w:szCs w:val="26"/>
        </w:rPr>
        <w:t xml:space="preserve">  -</w:t>
      </w:r>
      <w:r w:rsidRPr="00167CAF">
        <w:rPr>
          <w:sz w:val="26"/>
          <w:szCs w:val="26"/>
        </w:rPr>
        <w:t xml:space="preserve"> Cần có những giải pháp nào để phát triển hoạt động huy động vốn từ khách hàng cá nhân tại Ngân hàng TMCP Nam Á </w:t>
      </w:r>
      <w:r>
        <w:rPr>
          <w:sz w:val="26"/>
          <w:szCs w:val="26"/>
        </w:rPr>
        <w:t>-</w:t>
      </w:r>
      <w:r w:rsidRPr="00167CAF">
        <w:rPr>
          <w:sz w:val="26"/>
          <w:szCs w:val="26"/>
        </w:rPr>
        <w:t xml:space="preserve"> Chi nhánh Đà Nẵng </w:t>
      </w:r>
      <w:r>
        <w:rPr>
          <w:sz w:val="26"/>
          <w:szCs w:val="26"/>
        </w:rPr>
        <w:t>-</w:t>
      </w:r>
      <w:r w:rsidRPr="00167CAF">
        <w:rPr>
          <w:sz w:val="26"/>
          <w:szCs w:val="26"/>
        </w:rPr>
        <w:t xml:space="preserve"> Phòng giao dịch Cẩm Lệ trong thời gian tới?</w:t>
      </w:r>
    </w:p>
    <w:p w14:paraId="474565C7" w14:textId="77777777" w:rsidR="0043677B" w:rsidRDefault="0043677B" w:rsidP="0043677B">
      <w:pPr>
        <w:pStyle w:val="NormalWeb"/>
        <w:spacing w:line="360" w:lineRule="auto"/>
        <w:jc w:val="both"/>
        <w:rPr>
          <w:b/>
          <w:bCs/>
          <w:sz w:val="26"/>
          <w:szCs w:val="26"/>
        </w:rPr>
      </w:pPr>
      <w:r>
        <w:rPr>
          <w:b/>
          <w:bCs/>
          <w:sz w:val="26"/>
          <w:szCs w:val="26"/>
        </w:rPr>
        <w:t>4</w:t>
      </w:r>
      <w:r w:rsidRPr="00905C0D">
        <w:rPr>
          <w:b/>
          <w:bCs/>
          <w:sz w:val="26"/>
          <w:szCs w:val="26"/>
        </w:rPr>
        <w:t>. Đối tượng và phạm vi nghiên cứu</w:t>
      </w:r>
    </w:p>
    <w:p w14:paraId="4C5E6200" w14:textId="77777777" w:rsidR="0043677B" w:rsidRDefault="0043677B" w:rsidP="0043677B">
      <w:pPr>
        <w:pStyle w:val="NormalWeb"/>
        <w:numPr>
          <w:ilvl w:val="0"/>
          <w:numId w:val="2"/>
        </w:numPr>
        <w:spacing w:line="360" w:lineRule="auto"/>
        <w:jc w:val="both"/>
        <w:rPr>
          <w:i/>
          <w:iCs/>
          <w:sz w:val="26"/>
          <w:szCs w:val="26"/>
        </w:rPr>
      </w:pPr>
      <w:r w:rsidRPr="00586235">
        <w:rPr>
          <w:i/>
          <w:iCs/>
          <w:sz w:val="26"/>
          <w:szCs w:val="26"/>
        </w:rPr>
        <w:t>Đối tượng nghiên cứu</w:t>
      </w:r>
    </w:p>
    <w:p w14:paraId="5BE28A9E" w14:textId="77777777" w:rsidR="0043677B" w:rsidRDefault="0043677B" w:rsidP="0043677B">
      <w:pPr>
        <w:pStyle w:val="NormalWeb"/>
        <w:spacing w:line="360" w:lineRule="auto"/>
        <w:ind w:firstLine="360"/>
        <w:jc w:val="both"/>
        <w:rPr>
          <w:sz w:val="26"/>
          <w:szCs w:val="26"/>
        </w:rPr>
      </w:pPr>
      <w:r w:rsidRPr="00A17B03">
        <w:rPr>
          <w:sz w:val="26"/>
          <w:szCs w:val="26"/>
        </w:rPr>
        <w:lastRenderedPageBreak/>
        <w:t xml:space="preserve">Đối tượng nghiên cứu của đề tài là hoạt động huy động vốn </w:t>
      </w:r>
      <w:r>
        <w:rPr>
          <w:sz w:val="26"/>
          <w:szCs w:val="26"/>
        </w:rPr>
        <w:t>đối với</w:t>
      </w:r>
      <w:r w:rsidRPr="00A17B03">
        <w:rPr>
          <w:sz w:val="26"/>
          <w:szCs w:val="26"/>
        </w:rPr>
        <w:t xml:space="preserve"> khách hàng cá nhân tại Ngân hàng TMCP Nam Á – Chi nhánh Đà Nẵng – Phòng giao dịch Cẩm Lệ.</w:t>
      </w:r>
    </w:p>
    <w:p w14:paraId="1CECA977" w14:textId="77777777" w:rsidR="0043677B" w:rsidRPr="00AA7098" w:rsidRDefault="0043677B" w:rsidP="0043677B">
      <w:pPr>
        <w:pStyle w:val="NormalWeb"/>
        <w:numPr>
          <w:ilvl w:val="0"/>
          <w:numId w:val="2"/>
        </w:numPr>
        <w:spacing w:line="360" w:lineRule="auto"/>
        <w:jc w:val="both"/>
        <w:rPr>
          <w:i/>
          <w:iCs/>
          <w:sz w:val="26"/>
          <w:szCs w:val="26"/>
        </w:rPr>
      </w:pPr>
      <w:r w:rsidRPr="00AA7098">
        <w:rPr>
          <w:i/>
          <w:iCs/>
          <w:sz w:val="26"/>
          <w:szCs w:val="26"/>
        </w:rPr>
        <w:t>Phạm vi nghiên cứu</w:t>
      </w:r>
    </w:p>
    <w:p w14:paraId="3E2DFA72" w14:textId="77777777" w:rsidR="0043677B" w:rsidRPr="00E20281" w:rsidRDefault="0043677B" w:rsidP="0043677B">
      <w:pPr>
        <w:pStyle w:val="NormalWeb"/>
        <w:spacing w:line="360" w:lineRule="auto"/>
        <w:jc w:val="both"/>
        <w:rPr>
          <w:sz w:val="26"/>
          <w:szCs w:val="26"/>
        </w:rPr>
      </w:pPr>
      <w:r>
        <w:rPr>
          <w:rFonts w:hAnsi="Symbol"/>
          <w:sz w:val="26"/>
          <w:szCs w:val="26"/>
        </w:rPr>
        <w:t xml:space="preserve"> </w:t>
      </w:r>
      <w:r w:rsidRPr="00F21C8D">
        <w:rPr>
          <w:rFonts w:hAnsi="Symbol"/>
          <w:sz w:val="26"/>
          <w:szCs w:val="26"/>
        </w:rPr>
        <w:t xml:space="preserve">- </w:t>
      </w:r>
      <w:r w:rsidRPr="00F21C8D">
        <w:rPr>
          <w:rStyle w:val="Strong"/>
          <w:rFonts w:eastAsiaTheme="majorEastAsia"/>
          <w:b w:val="0"/>
          <w:bCs w:val="0"/>
          <w:sz w:val="26"/>
          <w:szCs w:val="26"/>
        </w:rPr>
        <w:t>Về nội dung</w:t>
      </w:r>
      <w:r w:rsidRPr="00F21C8D">
        <w:rPr>
          <w:rStyle w:val="Strong"/>
          <w:rFonts w:eastAsiaTheme="majorEastAsia"/>
          <w:sz w:val="26"/>
          <w:szCs w:val="26"/>
        </w:rPr>
        <w:t>:</w:t>
      </w:r>
      <w:r w:rsidRPr="00F21C8D">
        <w:rPr>
          <w:sz w:val="26"/>
          <w:szCs w:val="26"/>
        </w:rPr>
        <w:t xml:space="preserve"> Đề tài tập trung nghiên cứu và phân tích thực trạng hoạt động huy động vốn từ </w:t>
      </w:r>
      <w:r w:rsidRPr="00F21C8D">
        <w:rPr>
          <w:rStyle w:val="Strong"/>
          <w:rFonts w:eastAsiaTheme="majorEastAsia"/>
          <w:b w:val="0"/>
          <w:bCs w:val="0"/>
          <w:sz w:val="26"/>
          <w:szCs w:val="26"/>
        </w:rPr>
        <w:t>khách hàng cá nhân</w:t>
      </w:r>
      <w:r w:rsidRPr="00F21C8D">
        <w:rPr>
          <w:sz w:val="26"/>
          <w:szCs w:val="26"/>
        </w:rPr>
        <w:t>, từ đó đề xuất các giải pháp nhằm phát triển hoạt động huy động vốn tại đơn vị.</w:t>
      </w:r>
    </w:p>
    <w:p w14:paraId="04EDB472" w14:textId="77777777" w:rsidR="0043677B" w:rsidRPr="00F21C8D" w:rsidRDefault="0043677B" w:rsidP="0043677B">
      <w:pPr>
        <w:pStyle w:val="NormalWeb"/>
        <w:spacing w:line="360" w:lineRule="auto"/>
        <w:jc w:val="both"/>
        <w:rPr>
          <w:sz w:val="26"/>
          <w:szCs w:val="26"/>
        </w:rPr>
      </w:pPr>
      <w:r>
        <w:rPr>
          <w:rFonts w:hAnsi="Symbol"/>
          <w:sz w:val="26"/>
          <w:szCs w:val="26"/>
        </w:rPr>
        <w:t xml:space="preserve"> </w:t>
      </w:r>
      <w:r w:rsidRPr="00F21C8D">
        <w:rPr>
          <w:rFonts w:hAnsi="Symbol"/>
          <w:sz w:val="26"/>
          <w:szCs w:val="26"/>
        </w:rPr>
        <w:t xml:space="preserve">- </w:t>
      </w:r>
      <w:r w:rsidRPr="00F21C8D">
        <w:rPr>
          <w:rStyle w:val="Strong"/>
          <w:rFonts w:eastAsiaTheme="majorEastAsia"/>
          <w:b w:val="0"/>
          <w:bCs w:val="0"/>
          <w:sz w:val="26"/>
          <w:szCs w:val="26"/>
        </w:rPr>
        <w:t>Về không gian</w:t>
      </w:r>
      <w:r w:rsidRPr="00F21C8D">
        <w:rPr>
          <w:rStyle w:val="Strong"/>
          <w:rFonts w:eastAsiaTheme="majorEastAsia"/>
          <w:sz w:val="26"/>
          <w:szCs w:val="26"/>
        </w:rPr>
        <w:t>:</w:t>
      </w:r>
      <w:r w:rsidRPr="00F21C8D">
        <w:rPr>
          <w:sz w:val="26"/>
          <w:szCs w:val="26"/>
        </w:rPr>
        <w:t xml:space="preserve"> Nghiên cứu được thực hiện tại Ngân hàng TMCP Nam Á - Chi nhánh Đà Nẵng - Phòng giao dịch Cẩm Lệ.</w:t>
      </w:r>
    </w:p>
    <w:p w14:paraId="2E302267" w14:textId="77777777" w:rsidR="0043677B" w:rsidRPr="00E20281" w:rsidRDefault="0043677B" w:rsidP="0043677B">
      <w:pPr>
        <w:pStyle w:val="NormalWeb"/>
        <w:spacing w:line="360" w:lineRule="auto"/>
        <w:jc w:val="both"/>
        <w:rPr>
          <w:b/>
          <w:bCs/>
          <w:sz w:val="26"/>
          <w:szCs w:val="26"/>
        </w:rPr>
      </w:pPr>
      <w:r>
        <w:rPr>
          <w:rFonts w:hAnsi="Symbol"/>
          <w:sz w:val="26"/>
          <w:szCs w:val="26"/>
        </w:rPr>
        <w:t xml:space="preserve">  </w:t>
      </w:r>
      <w:r w:rsidRPr="00F21C8D">
        <w:rPr>
          <w:rFonts w:hAnsi="Symbol"/>
          <w:sz w:val="26"/>
          <w:szCs w:val="26"/>
        </w:rPr>
        <w:t xml:space="preserve">- </w:t>
      </w:r>
      <w:r w:rsidRPr="00F21C8D">
        <w:rPr>
          <w:rStyle w:val="Strong"/>
          <w:rFonts w:eastAsiaTheme="majorEastAsia"/>
          <w:b w:val="0"/>
          <w:bCs w:val="0"/>
          <w:sz w:val="26"/>
          <w:szCs w:val="26"/>
        </w:rPr>
        <w:t>Về thời gian</w:t>
      </w:r>
      <w:r w:rsidRPr="00F21C8D">
        <w:rPr>
          <w:rStyle w:val="Strong"/>
          <w:rFonts w:eastAsiaTheme="majorEastAsia"/>
          <w:sz w:val="26"/>
          <w:szCs w:val="26"/>
        </w:rPr>
        <w:t>:</w:t>
      </w:r>
      <w:r w:rsidRPr="00F21C8D">
        <w:rPr>
          <w:sz w:val="26"/>
          <w:szCs w:val="26"/>
        </w:rPr>
        <w:t xml:space="preserve"> Dữ liệu và thông tin phục vụ nghiên cứu được thu thập trong giai đoạn </w:t>
      </w:r>
      <w:r w:rsidRPr="00F21C8D">
        <w:rPr>
          <w:rStyle w:val="Strong"/>
          <w:rFonts w:eastAsiaTheme="majorEastAsia"/>
          <w:b w:val="0"/>
          <w:bCs w:val="0"/>
          <w:sz w:val="26"/>
          <w:szCs w:val="26"/>
        </w:rPr>
        <w:t>202</w:t>
      </w:r>
      <w:r>
        <w:rPr>
          <w:rStyle w:val="Strong"/>
          <w:rFonts w:eastAsiaTheme="majorEastAsia"/>
          <w:b w:val="0"/>
          <w:bCs w:val="0"/>
          <w:sz w:val="26"/>
          <w:szCs w:val="26"/>
        </w:rPr>
        <w:t>3</w:t>
      </w:r>
      <w:r w:rsidRPr="00F21C8D">
        <w:rPr>
          <w:rStyle w:val="Strong"/>
          <w:rFonts w:eastAsiaTheme="majorEastAsia"/>
          <w:b w:val="0"/>
          <w:bCs w:val="0"/>
          <w:sz w:val="26"/>
          <w:szCs w:val="26"/>
        </w:rPr>
        <w:t xml:space="preserve"> - 202</w:t>
      </w:r>
      <w:r>
        <w:rPr>
          <w:rStyle w:val="Strong"/>
          <w:rFonts w:eastAsiaTheme="majorEastAsia"/>
          <w:b w:val="0"/>
          <w:bCs w:val="0"/>
          <w:sz w:val="26"/>
          <w:szCs w:val="26"/>
        </w:rPr>
        <w:t>5</w:t>
      </w:r>
      <w:r w:rsidRPr="00F21C8D">
        <w:rPr>
          <w:b/>
          <w:bCs/>
          <w:sz w:val="26"/>
          <w:szCs w:val="26"/>
        </w:rPr>
        <w:t>.</w:t>
      </w:r>
    </w:p>
    <w:p w14:paraId="07A48A9C" w14:textId="77777777" w:rsidR="0043677B" w:rsidRPr="006824A9" w:rsidRDefault="0043677B" w:rsidP="0043677B">
      <w:pPr>
        <w:pStyle w:val="NormalWeb"/>
        <w:spacing w:line="360" w:lineRule="auto"/>
        <w:jc w:val="both"/>
        <w:rPr>
          <w:b/>
          <w:bCs/>
          <w:sz w:val="26"/>
          <w:szCs w:val="26"/>
        </w:rPr>
      </w:pPr>
      <w:r>
        <w:rPr>
          <w:b/>
          <w:bCs/>
          <w:sz w:val="26"/>
          <w:szCs w:val="26"/>
        </w:rPr>
        <w:t>5</w:t>
      </w:r>
      <w:r w:rsidRPr="006824A9">
        <w:rPr>
          <w:b/>
          <w:bCs/>
          <w:sz w:val="26"/>
          <w:szCs w:val="26"/>
        </w:rPr>
        <w:t>. Phương pháp nghiên cứu</w:t>
      </w:r>
    </w:p>
    <w:p w14:paraId="4E663732" w14:textId="77777777" w:rsidR="0043677B" w:rsidRDefault="0043677B" w:rsidP="0043677B">
      <w:pPr>
        <w:pStyle w:val="NormalWeb"/>
        <w:spacing w:line="360" w:lineRule="auto"/>
        <w:ind w:firstLine="720"/>
        <w:jc w:val="both"/>
        <w:rPr>
          <w:sz w:val="26"/>
          <w:szCs w:val="26"/>
        </w:rPr>
      </w:pPr>
      <w:r w:rsidRPr="006824A9">
        <w:rPr>
          <w:sz w:val="26"/>
          <w:szCs w:val="26"/>
        </w:rPr>
        <w:t>Đề tài sử dụng các phương pháp nghiên cứu chủ yếu như: phương pháp thu thập dữ liệu, phương pháp thống kê và tổng hợp, phương pháp phân tích – so sánh và phương pháp suy luận – đánh giá. Các phương pháp này được sử dụng nhằm thu thập và xử lý số liệu liên quan đến hoạt động huy động vốn từ khách hàng cá nhân tại Ngân hàng TMCP Nam Á – Chi nhánh Đà Nẵng – Phòng giao dịch Cẩm Lệ, từ đó phân tích thực trạng và đề xuất các giải pháp phù hợp.</w:t>
      </w:r>
    </w:p>
    <w:p w14:paraId="42605FAB" w14:textId="77777777" w:rsidR="0043677B" w:rsidRDefault="0043677B" w:rsidP="0043677B">
      <w:pPr>
        <w:pStyle w:val="NormalWeb"/>
        <w:spacing w:line="360" w:lineRule="auto"/>
        <w:jc w:val="both"/>
        <w:rPr>
          <w:b/>
          <w:bCs/>
          <w:sz w:val="26"/>
          <w:szCs w:val="26"/>
        </w:rPr>
      </w:pPr>
      <w:r>
        <w:rPr>
          <w:b/>
          <w:bCs/>
          <w:sz w:val="26"/>
          <w:szCs w:val="26"/>
        </w:rPr>
        <w:t>6</w:t>
      </w:r>
      <w:r w:rsidRPr="00D143EE">
        <w:rPr>
          <w:b/>
          <w:bCs/>
          <w:sz w:val="26"/>
          <w:szCs w:val="26"/>
        </w:rPr>
        <w:t>. Ý nghĩa của đề tài</w:t>
      </w:r>
    </w:p>
    <w:p w14:paraId="0642E92F" w14:textId="77777777" w:rsidR="0043677B" w:rsidRDefault="0043677B" w:rsidP="0043677B">
      <w:pPr>
        <w:pStyle w:val="NormalWeb"/>
        <w:spacing w:line="360" w:lineRule="auto"/>
        <w:jc w:val="both"/>
        <w:rPr>
          <w:i/>
          <w:iCs/>
          <w:sz w:val="26"/>
          <w:szCs w:val="26"/>
        </w:rPr>
      </w:pPr>
      <w:r w:rsidRPr="00D143EE">
        <w:rPr>
          <w:i/>
          <w:iCs/>
          <w:sz w:val="26"/>
          <w:szCs w:val="26"/>
        </w:rPr>
        <w:t>1. Về mặt lý luận</w:t>
      </w:r>
    </w:p>
    <w:p w14:paraId="4FF85D2E" w14:textId="77777777" w:rsidR="0043677B" w:rsidRDefault="0043677B" w:rsidP="0043677B">
      <w:pPr>
        <w:pStyle w:val="NormalWeb"/>
        <w:spacing w:line="360" w:lineRule="auto"/>
        <w:jc w:val="both"/>
        <w:rPr>
          <w:sz w:val="26"/>
          <w:szCs w:val="26"/>
        </w:rPr>
      </w:pPr>
      <w:r>
        <w:rPr>
          <w:sz w:val="26"/>
          <w:szCs w:val="26"/>
        </w:rPr>
        <w:tab/>
      </w:r>
      <w:r w:rsidRPr="00A0440E">
        <w:rPr>
          <w:sz w:val="26"/>
          <w:szCs w:val="26"/>
        </w:rPr>
        <w:t>Đề tài góp phần hệ thống hóa và làm rõ các vấn đề lý luận liên quan đến hoạt động huy động vốn từ khách hàng cá nhân tại ngân hàng thương mại, bao gồm khái niệm, vai trò và các yếu tố ảnh hưởng đến hoạt động huy động vốn. Qua đó giúp làm rõ cơ sở lý luận phục vụ cho việc phân tích và đánh giá hoạt động huy động vốn trong lĩnh vực ngân hàng.</w:t>
      </w:r>
    </w:p>
    <w:p w14:paraId="061B94E4" w14:textId="77777777" w:rsidR="0043677B" w:rsidRPr="00180770" w:rsidRDefault="0043677B" w:rsidP="0043677B">
      <w:pPr>
        <w:pStyle w:val="NormalWeb"/>
        <w:spacing w:line="360" w:lineRule="auto"/>
        <w:jc w:val="both"/>
        <w:rPr>
          <w:i/>
          <w:iCs/>
          <w:sz w:val="26"/>
          <w:szCs w:val="26"/>
        </w:rPr>
      </w:pPr>
      <w:r w:rsidRPr="00180770">
        <w:rPr>
          <w:i/>
          <w:iCs/>
          <w:sz w:val="26"/>
          <w:szCs w:val="26"/>
        </w:rPr>
        <w:t>2. Về mặt thực tiễn</w:t>
      </w:r>
    </w:p>
    <w:p w14:paraId="6B2BA6DF" w14:textId="77777777" w:rsidR="0043677B" w:rsidRPr="00804CB2" w:rsidRDefault="0043677B" w:rsidP="0043677B">
      <w:pPr>
        <w:pStyle w:val="NormalWeb"/>
        <w:spacing w:line="360" w:lineRule="auto"/>
        <w:jc w:val="both"/>
        <w:rPr>
          <w:sz w:val="26"/>
          <w:szCs w:val="26"/>
        </w:rPr>
      </w:pPr>
      <w:r>
        <w:rPr>
          <w:sz w:val="26"/>
          <w:szCs w:val="26"/>
        </w:rPr>
        <w:lastRenderedPageBreak/>
        <w:tab/>
      </w:r>
      <w:r w:rsidRPr="00180770">
        <w:rPr>
          <w:sz w:val="26"/>
          <w:szCs w:val="26"/>
        </w:rPr>
        <w:t xml:space="preserve">Thông qua việc phân tích và đánh giá thực trạng hoạt động huy động vốn từ khách hàng cá nhân tại Ngân hàng TMCP Nam Á – Chi nhánh Đà Nẵng – Phòng giao dịch Cẩm Lệ, đề tài chỉ ra những kết quả đạt được, những hạn chế còn tồn tại và nguyên nhân của các hạn chế đó. Trên cơ sở đó, đề tài đề xuất một số giải pháp nhằm phát triển hoạt động huy động vốn từ khách hàng cá nhân tại </w:t>
      </w:r>
      <w:r>
        <w:rPr>
          <w:sz w:val="26"/>
          <w:szCs w:val="26"/>
        </w:rPr>
        <w:t>Ngân hàng TMCP Nam Á – Chi nhánh Đà Nẵng – Phòng giao dịch Cẩm Lệ.</w:t>
      </w:r>
    </w:p>
    <w:p w14:paraId="79D76360" w14:textId="77777777" w:rsidR="0043677B" w:rsidRDefault="0043677B" w:rsidP="0043677B">
      <w:pPr>
        <w:ind w:left="-90"/>
        <w:rPr>
          <w:rFonts w:ascii="Times New Roman" w:hAnsi="Times New Roman" w:cs="Times New Roman"/>
          <w:b/>
          <w:bCs/>
          <w:sz w:val="26"/>
          <w:szCs w:val="26"/>
        </w:rPr>
      </w:pPr>
    </w:p>
    <w:p w14:paraId="296C7715" w14:textId="77777777" w:rsidR="0043677B" w:rsidRDefault="0043677B" w:rsidP="0043677B">
      <w:pPr>
        <w:ind w:left="-90"/>
        <w:rPr>
          <w:rFonts w:ascii="Times New Roman" w:hAnsi="Times New Roman" w:cs="Times New Roman"/>
          <w:b/>
          <w:bCs/>
          <w:sz w:val="26"/>
          <w:szCs w:val="26"/>
        </w:rPr>
      </w:pPr>
    </w:p>
    <w:p w14:paraId="2E4F12FF" w14:textId="77777777" w:rsidR="0043677B" w:rsidRDefault="0043677B" w:rsidP="0043677B">
      <w:pPr>
        <w:ind w:left="-90"/>
        <w:rPr>
          <w:rFonts w:ascii="Times New Roman" w:hAnsi="Times New Roman" w:cs="Times New Roman"/>
          <w:b/>
          <w:bCs/>
          <w:sz w:val="26"/>
          <w:szCs w:val="26"/>
        </w:rPr>
      </w:pPr>
    </w:p>
    <w:p w14:paraId="3B2BCED7" w14:textId="77777777" w:rsidR="0043677B" w:rsidRDefault="0043677B" w:rsidP="0043677B">
      <w:pPr>
        <w:ind w:left="-90"/>
        <w:rPr>
          <w:rFonts w:ascii="Times New Roman" w:hAnsi="Times New Roman" w:cs="Times New Roman"/>
          <w:b/>
          <w:bCs/>
          <w:sz w:val="26"/>
          <w:szCs w:val="26"/>
        </w:rPr>
      </w:pPr>
    </w:p>
    <w:p w14:paraId="25D6AB86" w14:textId="77777777" w:rsidR="0043677B" w:rsidRDefault="0043677B" w:rsidP="0043677B">
      <w:pPr>
        <w:ind w:left="-90"/>
        <w:rPr>
          <w:rFonts w:ascii="Times New Roman" w:hAnsi="Times New Roman" w:cs="Times New Roman"/>
          <w:b/>
          <w:bCs/>
          <w:sz w:val="26"/>
          <w:szCs w:val="26"/>
        </w:rPr>
      </w:pPr>
    </w:p>
    <w:p w14:paraId="1E36D003" w14:textId="77777777" w:rsidR="0043677B" w:rsidRDefault="0043677B" w:rsidP="0043677B">
      <w:pPr>
        <w:ind w:left="-90"/>
        <w:rPr>
          <w:rFonts w:ascii="Times New Roman" w:hAnsi="Times New Roman" w:cs="Times New Roman"/>
          <w:b/>
          <w:bCs/>
          <w:sz w:val="26"/>
          <w:szCs w:val="26"/>
        </w:rPr>
      </w:pPr>
    </w:p>
    <w:p w14:paraId="43C7A31B" w14:textId="77777777" w:rsidR="0043677B" w:rsidRDefault="0043677B" w:rsidP="0043677B">
      <w:pPr>
        <w:ind w:left="-90"/>
        <w:rPr>
          <w:rFonts w:ascii="Times New Roman" w:hAnsi="Times New Roman" w:cs="Times New Roman"/>
          <w:b/>
          <w:bCs/>
          <w:sz w:val="26"/>
          <w:szCs w:val="26"/>
        </w:rPr>
      </w:pPr>
    </w:p>
    <w:p w14:paraId="2A349FCA" w14:textId="77777777" w:rsidR="0043677B" w:rsidRDefault="0043677B" w:rsidP="0043677B">
      <w:pPr>
        <w:ind w:left="-90"/>
        <w:rPr>
          <w:rFonts w:ascii="Times New Roman" w:hAnsi="Times New Roman" w:cs="Times New Roman"/>
          <w:b/>
          <w:bCs/>
          <w:sz w:val="26"/>
          <w:szCs w:val="26"/>
        </w:rPr>
      </w:pPr>
    </w:p>
    <w:p w14:paraId="7B221800" w14:textId="77777777" w:rsidR="0043677B" w:rsidRDefault="0043677B" w:rsidP="0043677B">
      <w:pPr>
        <w:ind w:left="-90"/>
        <w:rPr>
          <w:rFonts w:ascii="Times New Roman" w:hAnsi="Times New Roman" w:cs="Times New Roman"/>
          <w:b/>
          <w:bCs/>
          <w:sz w:val="26"/>
          <w:szCs w:val="26"/>
        </w:rPr>
      </w:pPr>
    </w:p>
    <w:p w14:paraId="234107AD" w14:textId="77777777" w:rsidR="00766A84" w:rsidRPr="00D33CFB" w:rsidRDefault="00766A84" w:rsidP="00766A84">
      <w:pPr>
        <w:pStyle w:val="NormalWeb"/>
        <w:spacing w:line="360" w:lineRule="auto"/>
        <w:jc w:val="both"/>
        <w:rPr>
          <w:b/>
          <w:bCs/>
          <w:sz w:val="26"/>
          <w:szCs w:val="26"/>
        </w:rPr>
      </w:pPr>
      <w:r w:rsidRPr="00D33CFB">
        <w:rPr>
          <w:b/>
          <w:bCs/>
          <w:sz w:val="26"/>
          <w:szCs w:val="26"/>
        </w:rPr>
        <w:t xml:space="preserve">CHƯƠNG 1: </w:t>
      </w:r>
      <w:r>
        <w:rPr>
          <w:b/>
          <w:bCs/>
          <w:sz w:val="26"/>
          <w:szCs w:val="26"/>
        </w:rPr>
        <w:t>CƠ SỞ LÝ LUẬN</w:t>
      </w:r>
      <w:r w:rsidRPr="00D33CFB">
        <w:rPr>
          <w:b/>
          <w:bCs/>
          <w:sz w:val="26"/>
          <w:szCs w:val="26"/>
        </w:rPr>
        <w:t xml:space="preserve"> VỀ PHÁT TRIỂN HOẠT ĐỘNG HUY ĐỘNG VỐN ĐỐI VỚI KHÁCH HÀNG CÁ NHÂN TẠI NGÂN HÀNG THƯƠNG MẠI</w:t>
      </w:r>
    </w:p>
    <w:p w14:paraId="10D04A32" w14:textId="77777777" w:rsidR="00766A84" w:rsidRPr="00D33CFB" w:rsidRDefault="00766A84" w:rsidP="00766A84">
      <w:pPr>
        <w:pStyle w:val="NormalWeb"/>
        <w:numPr>
          <w:ilvl w:val="1"/>
          <w:numId w:val="3"/>
        </w:numPr>
        <w:spacing w:line="360" w:lineRule="auto"/>
        <w:jc w:val="both"/>
        <w:rPr>
          <w:b/>
          <w:bCs/>
          <w:sz w:val="26"/>
          <w:szCs w:val="26"/>
        </w:rPr>
      </w:pPr>
      <w:r w:rsidRPr="00D33CFB">
        <w:rPr>
          <w:b/>
          <w:bCs/>
          <w:sz w:val="26"/>
          <w:szCs w:val="26"/>
        </w:rPr>
        <w:t>T</w:t>
      </w:r>
      <w:r>
        <w:rPr>
          <w:b/>
          <w:bCs/>
          <w:sz w:val="26"/>
          <w:szCs w:val="26"/>
        </w:rPr>
        <w:t>ỔNG QUAN VỀ NGÂN HÀNG THƯƠNG MẠI</w:t>
      </w:r>
    </w:p>
    <w:p w14:paraId="21BB2B8B" w14:textId="77777777" w:rsidR="00766A84" w:rsidRPr="002D527B" w:rsidRDefault="00766A84" w:rsidP="00766A84">
      <w:pPr>
        <w:pStyle w:val="NormalWeb"/>
        <w:numPr>
          <w:ilvl w:val="2"/>
          <w:numId w:val="3"/>
        </w:numPr>
        <w:spacing w:line="360" w:lineRule="auto"/>
        <w:jc w:val="both"/>
        <w:rPr>
          <w:b/>
          <w:bCs/>
          <w:sz w:val="26"/>
          <w:szCs w:val="26"/>
        </w:rPr>
      </w:pPr>
      <w:r w:rsidRPr="002D527B">
        <w:rPr>
          <w:b/>
          <w:bCs/>
          <w:sz w:val="26"/>
          <w:szCs w:val="26"/>
        </w:rPr>
        <w:t>Khái niệm về ngân hàng thương mại</w:t>
      </w:r>
    </w:p>
    <w:p w14:paraId="248242FF" w14:textId="77777777" w:rsidR="00766A84" w:rsidRDefault="00766A84" w:rsidP="00766A84">
      <w:pPr>
        <w:pStyle w:val="NormalWeb"/>
        <w:spacing w:line="360" w:lineRule="auto"/>
        <w:ind w:firstLine="720"/>
        <w:jc w:val="both"/>
        <w:rPr>
          <w:sz w:val="26"/>
          <w:szCs w:val="26"/>
        </w:rPr>
      </w:pPr>
      <w:r>
        <w:rPr>
          <w:sz w:val="26"/>
          <w:szCs w:val="26"/>
        </w:rPr>
        <w:t xml:space="preserve">Ngân hàng thương mại là định chế tài chính trung gian đóng vai trò quan trọng trong nền kinh tế thị trường. Ngân hàng có lịch sử ra đời rất lâu, 3000 năm trước công nguyên. Từ nghề đổi tiền của một số thương nhân dần dần hình thành nên các tổ chức nhận tiền gửi, cho vay, chuyển tiền, thanh toán,… hoạt động như các ngân hàng thương mại. Cùng với sự phát triển của nền kinh tế thị trường theo xu hướng hội nhập quốc tế hiện nay, các NHTM không ngừng phát triển hình thành mạng lưới rộng khắp toàn cầu, hoạt động ngân hàng có tính hệ thống cao, được xem như một kênh chu chuyển vốn quan trọng và cung ứng dịch </w:t>
      </w:r>
      <w:r>
        <w:rPr>
          <w:sz w:val="26"/>
          <w:szCs w:val="26"/>
        </w:rPr>
        <w:lastRenderedPageBreak/>
        <w:t>vụ tài chính ngày càng đa dạng và phong phú tác động đáng kể đến sự phát triển của nền kinh tế thị trường.</w:t>
      </w:r>
    </w:p>
    <w:p w14:paraId="3450FFC3" w14:textId="77777777" w:rsidR="00766A84" w:rsidRDefault="00766A84" w:rsidP="00766A84">
      <w:pPr>
        <w:pStyle w:val="NormalWeb"/>
        <w:spacing w:line="360" w:lineRule="auto"/>
        <w:ind w:firstLine="720"/>
        <w:jc w:val="both"/>
        <w:rPr>
          <w:sz w:val="26"/>
          <w:szCs w:val="26"/>
        </w:rPr>
      </w:pPr>
      <w:r>
        <w:rPr>
          <w:sz w:val="26"/>
          <w:szCs w:val="26"/>
        </w:rPr>
        <w:t xml:space="preserve">Hiện nay, theo quy định tại </w:t>
      </w:r>
      <w:r w:rsidRPr="008006E4">
        <w:rPr>
          <w:i/>
          <w:iCs/>
          <w:sz w:val="26"/>
          <w:szCs w:val="26"/>
        </w:rPr>
        <w:t xml:space="preserve">khoản 23 Điều 4 Luật các tổ chức tín dụng </w:t>
      </w:r>
      <w:r>
        <w:rPr>
          <w:i/>
          <w:iCs/>
          <w:sz w:val="26"/>
          <w:szCs w:val="26"/>
        </w:rPr>
        <w:t xml:space="preserve">năm </w:t>
      </w:r>
      <w:r w:rsidRPr="008006E4">
        <w:rPr>
          <w:i/>
          <w:iCs/>
          <w:sz w:val="26"/>
          <w:szCs w:val="26"/>
        </w:rPr>
        <w:t>2024</w:t>
      </w:r>
      <w:r>
        <w:rPr>
          <w:i/>
          <w:iCs/>
          <w:sz w:val="26"/>
          <w:szCs w:val="26"/>
        </w:rPr>
        <w:t xml:space="preserve"> sửa đổi, bổ sung năm 2025</w:t>
      </w:r>
      <w:r>
        <w:rPr>
          <w:sz w:val="26"/>
          <w:szCs w:val="26"/>
        </w:rPr>
        <w:t xml:space="preserve">, ngân hàng thương mại </w:t>
      </w:r>
      <w:r w:rsidRPr="008319AA">
        <w:rPr>
          <w:sz w:val="26"/>
          <w:szCs w:val="26"/>
        </w:rPr>
        <w:t>có thể được hiểu là loại hình ngân hàng được thực hiện tất cả hoạt động ngân hàng và hoạt động kinh doanh khác theo quy định củ</w:t>
      </w:r>
      <w:r>
        <w:rPr>
          <w:sz w:val="26"/>
          <w:szCs w:val="26"/>
        </w:rPr>
        <w:t>a Luật các tổ chức tín dụng năm 2024</w:t>
      </w:r>
      <w:r w:rsidRPr="008319AA">
        <w:rPr>
          <w:sz w:val="26"/>
          <w:szCs w:val="26"/>
        </w:rPr>
        <w:t xml:space="preserve"> nhằm mục tiêu lợi nhuận.</w:t>
      </w:r>
      <w:r>
        <w:rPr>
          <w:sz w:val="26"/>
          <w:szCs w:val="26"/>
        </w:rPr>
        <w:t xml:space="preserve"> Là tổ chức kinh doanh tiền tệ, nhận tiền gửi, cấp tín dụng và cung ứng dịch vụ thanh toán.</w:t>
      </w:r>
    </w:p>
    <w:p w14:paraId="2270AE7D" w14:textId="77777777" w:rsidR="00766A84" w:rsidRPr="00A60C2C" w:rsidRDefault="00766A84" w:rsidP="00766A84">
      <w:pPr>
        <w:pStyle w:val="NormalWeb"/>
        <w:numPr>
          <w:ilvl w:val="2"/>
          <w:numId w:val="3"/>
        </w:numPr>
        <w:spacing w:line="360" w:lineRule="auto"/>
        <w:jc w:val="both"/>
        <w:rPr>
          <w:b/>
          <w:bCs/>
          <w:sz w:val="26"/>
          <w:szCs w:val="26"/>
        </w:rPr>
      </w:pPr>
      <w:r w:rsidRPr="00A60C2C">
        <w:rPr>
          <w:b/>
          <w:bCs/>
          <w:sz w:val="26"/>
          <w:szCs w:val="26"/>
        </w:rPr>
        <w:t>Chức năng của ngân hàng thương mại</w:t>
      </w:r>
    </w:p>
    <w:p w14:paraId="57E2B24C" w14:textId="77777777" w:rsidR="00766A84" w:rsidRDefault="00766A84" w:rsidP="00766A84">
      <w:pPr>
        <w:pStyle w:val="NormalWeb"/>
        <w:spacing w:line="360" w:lineRule="auto"/>
        <w:jc w:val="both"/>
        <w:rPr>
          <w:sz w:val="26"/>
          <w:szCs w:val="26"/>
        </w:rPr>
      </w:pPr>
      <w:r>
        <w:rPr>
          <w:sz w:val="26"/>
          <w:szCs w:val="26"/>
        </w:rPr>
        <w:t>Trong cơ chế thị trường, NHTM thực hiện 3 chức năng cơ bản sau:</w:t>
      </w:r>
    </w:p>
    <w:p w14:paraId="2EDEF2FD" w14:textId="77777777" w:rsidR="00766A84" w:rsidRDefault="00766A84" w:rsidP="00766A84">
      <w:pPr>
        <w:pStyle w:val="NormalWeb"/>
        <w:spacing w:line="360" w:lineRule="auto"/>
        <w:ind w:firstLine="720"/>
        <w:jc w:val="both"/>
        <w:rPr>
          <w:sz w:val="26"/>
          <w:szCs w:val="26"/>
        </w:rPr>
      </w:pPr>
      <w:r>
        <w:rPr>
          <w:sz w:val="26"/>
          <w:szCs w:val="26"/>
        </w:rPr>
        <w:t>- Trung gian tài chính: Đây là chức năng quan trọng nhất của ngân hàng thương mại, quyết định sự phát triển và mở rộng quy mô hoạt động kinh doanh của ngân hàng. Trong chức năng này NHTM đóng vai trò là một định chế tài chính trung gian đứng ra tập trung nguồn vốn tạm thời nhàn rỗi từ các tổ chức và cá nhân trong nền kinh tế để điều chuyển cho các tổ chức và cá nhân có nhu cầu về vốn, góp phần đẩy nhanh tốc độ luân chuyển vốn, góp phần điều tiết nguồn vốn cho nền kinh tế. Mặt khác, NHTM cũng là một chủ thể tham gia trên thị trường tài chính bằng các hoạt động đầu tư sinh lời, cung cấp các dịch vụ tài chính khác cho các chủ thể trong nền kinh tế, như vậy NHTM cũng là 1 trong những chủ thể tham gia vào việc phân phối tài chính cho nền kinh tế.</w:t>
      </w:r>
    </w:p>
    <w:p w14:paraId="3A1CA489" w14:textId="77777777" w:rsidR="00766A84" w:rsidRDefault="00766A84" w:rsidP="00766A84">
      <w:pPr>
        <w:pStyle w:val="NormalWeb"/>
        <w:spacing w:line="360" w:lineRule="auto"/>
        <w:ind w:firstLine="720"/>
        <w:jc w:val="both"/>
        <w:rPr>
          <w:sz w:val="26"/>
          <w:szCs w:val="26"/>
        </w:rPr>
      </w:pPr>
      <w:r>
        <w:rPr>
          <w:sz w:val="26"/>
          <w:szCs w:val="26"/>
        </w:rPr>
        <w:t xml:space="preserve">- Trung gian thanh toán: NHTM là người quản lý tiền trên tài khoản tiền gửi thanh toán của khách hàng. Trong chức năng này, NHTM đóng vai trò là một tổ chức trung gian thực hiện việc thanh toán, chi trả thay cho những khách hàng có nhu cầu thanh toán qua ngân hàng theo sự ủy nhiệm của khách hàng. Để thực hiện chức năng này, NHTM phải tổ chức mở tài khoản tiền gửi thanh toán cho khách hàng, phát hành và quản lý các phương tiện thanh toán, tổ chức thực hiện thanh toán khi nhận được lệnh thanh toán của khách hàng. Chức năng trung gian thanh toán mang lại sự tiện lợi cho khách hàng trong hoạt động thanh toán, đồng thời góp phần thu hút lượng tiền nhàn rỗi trong nền kinh tế, nâng cao uy tín thương hiệu ngân hàng trên thị trường. </w:t>
      </w:r>
    </w:p>
    <w:p w14:paraId="77E0E053" w14:textId="77777777" w:rsidR="00766A84" w:rsidRDefault="00766A84" w:rsidP="00766A84">
      <w:pPr>
        <w:pStyle w:val="NormalWeb"/>
        <w:spacing w:line="360" w:lineRule="auto"/>
        <w:ind w:firstLine="720"/>
        <w:jc w:val="both"/>
        <w:rPr>
          <w:sz w:val="26"/>
          <w:szCs w:val="26"/>
        </w:rPr>
      </w:pPr>
      <w:r>
        <w:rPr>
          <w:sz w:val="26"/>
          <w:szCs w:val="26"/>
        </w:rPr>
        <w:lastRenderedPageBreak/>
        <w:t>- Tạo tiền: Trong chức năng này đòi hỏi phải có sự tham gia của nhiều ngân hàng, và nhiều khách hàng. Khi kết hợp chức năng trung gian tín dụng và chức năng trung gian thanh toán, NHTM có khả năng tạo ra một lượng tiền trên tài khoản tiền gửi thanh toán của khách hàng lớn hơn gấp nhiều lần so với lượng tiền gửi ban đầu của khách hàng. Lượng tiền ghi sổ do NHTM tạo ra phụ thuộc vào số tiền gửi ban đầu của khách hàng, số lượng ngân hàng tham gia vào quá trình tạo tiền và tỷ lệ dự trữ bắt buộc.</w:t>
      </w:r>
    </w:p>
    <w:p w14:paraId="090AD813" w14:textId="77777777" w:rsidR="00766A84" w:rsidRDefault="00766A84" w:rsidP="00766A84">
      <w:pPr>
        <w:pStyle w:val="NormalWeb"/>
        <w:spacing w:line="360" w:lineRule="auto"/>
        <w:jc w:val="both"/>
        <w:rPr>
          <w:b/>
          <w:bCs/>
          <w:sz w:val="26"/>
          <w:szCs w:val="26"/>
        </w:rPr>
      </w:pPr>
      <w:r w:rsidRPr="00A60C2C">
        <w:rPr>
          <w:b/>
          <w:bCs/>
          <w:sz w:val="26"/>
          <w:szCs w:val="26"/>
        </w:rPr>
        <w:t>1.1.3</w:t>
      </w:r>
      <w:r>
        <w:rPr>
          <w:b/>
          <w:bCs/>
          <w:sz w:val="26"/>
          <w:szCs w:val="26"/>
        </w:rPr>
        <w:t xml:space="preserve"> </w:t>
      </w:r>
      <w:r w:rsidRPr="00A60C2C">
        <w:rPr>
          <w:b/>
          <w:bCs/>
          <w:sz w:val="26"/>
          <w:szCs w:val="26"/>
        </w:rPr>
        <w:t>Các hoạt động chính của ngân hàng thương mại</w:t>
      </w:r>
    </w:p>
    <w:p w14:paraId="00101790" w14:textId="77777777" w:rsidR="00766A84" w:rsidRPr="007C5D85" w:rsidRDefault="00766A84" w:rsidP="00766A84">
      <w:pPr>
        <w:pStyle w:val="NormalWeb"/>
        <w:spacing w:line="360" w:lineRule="auto"/>
        <w:jc w:val="both"/>
        <w:rPr>
          <w:sz w:val="26"/>
          <w:szCs w:val="26"/>
        </w:rPr>
      </w:pPr>
      <w:r>
        <w:rPr>
          <w:b/>
          <w:bCs/>
          <w:sz w:val="26"/>
          <w:szCs w:val="26"/>
        </w:rPr>
        <w:tab/>
      </w:r>
      <w:r>
        <w:rPr>
          <w:sz w:val="26"/>
          <w:szCs w:val="26"/>
        </w:rPr>
        <w:t xml:space="preserve">Theo </w:t>
      </w:r>
      <w:r w:rsidRPr="007C5D85">
        <w:rPr>
          <w:i/>
          <w:iCs/>
          <w:sz w:val="26"/>
          <w:szCs w:val="26"/>
        </w:rPr>
        <w:t>khoản 17 Điều 4 Luật Tổ chức tín dụng 2024</w:t>
      </w:r>
      <w:r>
        <w:rPr>
          <w:i/>
          <w:iCs/>
          <w:sz w:val="26"/>
          <w:szCs w:val="26"/>
        </w:rPr>
        <w:t xml:space="preserve"> (sửa đổi,bổ sung 2025) </w:t>
      </w:r>
      <w:r>
        <w:rPr>
          <w:sz w:val="26"/>
          <w:szCs w:val="26"/>
        </w:rPr>
        <w:t>các hoạt động của ngân hàng thương mại được pháp luật quy định rõ ràng và cụ thể. Trên cơ sở đó, các hoạt động chính của ngân hàng thương mại bao gồm:</w:t>
      </w:r>
    </w:p>
    <w:p w14:paraId="0464ADCF" w14:textId="77777777" w:rsidR="00766A84" w:rsidRPr="00AE795D" w:rsidRDefault="00766A84" w:rsidP="00766A84">
      <w:pPr>
        <w:pStyle w:val="NormalWeb"/>
        <w:spacing w:line="360" w:lineRule="auto"/>
        <w:jc w:val="both"/>
        <w:rPr>
          <w:i/>
          <w:iCs/>
          <w:sz w:val="26"/>
          <w:szCs w:val="26"/>
        </w:rPr>
      </w:pPr>
      <w:r w:rsidRPr="00AE795D">
        <w:rPr>
          <w:i/>
          <w:iCs/>
          <w:sz w:val="26"/>
          <w:szCs w:val="26"/>
        </w:rPr>
        <w:t>a) Hoạt động huy động vốn</w:t>
      </w:r>
    </w:p>
    <w:p w14:paraId="256C7E0C" w14:textId="77777777" w:rsidR="00766A84" w:rsidRPr="00A04722" w:rsidRDefault="00766A84" w:rsidP="00766A84">
      <w:pPr>
        <w:pStyle w:val="NormalWeb"/>
        <w:spacing w:line="360" w:lineRule="auto"/>
        <w:jc w:val="both"/>
        <w:rPr>
          <w:sz w:val="26"/>
          <w:szCs w:val="26"/>
        </w:rPr>
      </w:pPr>
      <w:r>
        <w:rPr>
          <w:sz w:val="26"/>
          <w:szCs w:val="26"/>
        </w:rPr>
        <w:tab/>
        <w:t xml:space="preserve">Hoạt động huy động vốn là hoạt động cơ bản và có ý nghĩa </w:t>
      </w:r>
      <w:r w:rsidRPr="00A04722">
        <w:rPr>
          <w:sz w:val="26"/>
          <w:szCs w:val="26"/>
        </w:rPr>
        <w:t>nền tảng đối với ngân hàng thương mại, bởi đây là nguồn vốn chủ yếu để ngân hàng thực hiện các hoạt động kinh doanh khác. Thông qua hoạt động huy động vốn, ngân hàng thương mại thu hút các nguồn vốn nhàn rỗi trong nền kinh tế để phục vụ cho hoạt động tín dụng và cung ứng dịch vụ ngân hàng.</w:t>
      </w:r>
    </w:p>
    <w:p w14:paraId="4E2C5B0F" w14:textId="77777777" w:rsidR="00766A84" w:rsidRPr="00A04722" w:rsidRDefault="00766A84" w:rsidP="00766A84">
      <w:pPr>
        <w:pStyle w:val="NormalWeb"/>
        <w:spacing w:line="360" w:lineRule="auto"/>
        <w:ind w:firstLine="720"/>
        <w:jc w:val="both"/>
        <w:rPr>
          <w:sz w:val="26"/>
          <w:szCs w:val="26"/>
        </w:rPr>
      </w:pPr>
      <w:r w:rsidRPr="00A04722">
        <w:rPr>
          <w:sz w:val="26"/>
          <w:szCs w:val="26"/>
        </w:rPr>
        <w:t>Các hình thức huy động vốn chủ yếu của ngân hàng thương mại bao gồm: nhận tiền gửi của tổ chức và cá nhân dưới các hình thức tiền gửi không kỳ hạn, tiền gửi có kỳ hạn và tiền gửi tiết kiệm; phát hành các giấy tờ có giá như chứng chỉ tiền gửi, kỳ phiếu, tín phiếu, trái phiếu ngân hàng; vay vốn từ các tổ chức tín dụng khác và vay vốn từ Ngân hàng Nhà nước thông qua các hình thức tái cấp vốn, tái chiết khấu. Hoạt động huy động vốn hiệu quả giúp ngân hàng đảm bảo khả năng thanh khoản, mở rộng quy mô hoạt động và nâng cao hiệu quả kinh doanh.</w:t>
      </w:r>
    </w:p>
    <w:p w14:paraId="16AE27C4" w14:textId="77777777" w:rsidR="00766A84" w:rsidRPr="00AE795D" w:rsidRDefault="00766A84" w:rsidP="00766A84">
      <w:pPr>
        <w:pStyle w:val="NormalWeb"/>
        <w:spacing w:line="360" w:lineRule="auto"/>
        <w:jc w:val="both"/>
        <w:rPr>
          <w:i/>
          <w:iCs/>
          <w:sz w:val="26"/>
          <w:szCs w:val="26"/>
        </w:rPr>
      </w:pPr>
      <w:r w:rsidRPr="00AE795D">
        <w:rPr>
          <w:i/>
          <w:iCs/>
          <w:sz w:val="26"/>
          <w:szCs w:val="26"/>
        </w:rPr>
        <w:t>b) Hoạt động tín dụng</w:t>
      </w:r>
    </w:p>
    <w:p w14:paraId="32385176" w14:textId="77777777" w:rsidR="00766A84" w:rsidRPr="00DD1F81" w:rsidRDefault="00766A84" w:rsidP="00766A84">
      <w:pPr>
        <w:pStyle w:val="NormalWeb"/>
        <w:spacing w:line="360" w:lineRule="auto"/>
        <w:jc w:val="both"/>
        <w:rPr>
          <w:sz w:val="26"/>
          <w:szCs w:val="26"/>
        </w:rPr>
      </w:pPr>
      <w:r>
        <w:rPr>
          <w:sz w:val="26"/>
          <w:szCs w:val="26"/>
        </w:rPr>
        <w:tab/>
      </w:r>
      <w:r w:rsidRPr="00DD1F81">
        <w:rPr>
          <w:sz w:val="26"/>
          <w:szCs w:val="26"/>
        </w:rPr>
        <w:t xml:space="preserve">Hoạt động tín dụng là hoạt động sử dụng vốn chủ yếu và đóng vai trò quan trọng nhất trong việc tạo ra thu nhập cho ngân hàng thương mại. Thông qua hoạt động này, ngân </w:t>
      </w:r>
      <w:r w:rsidRPr="00DD1F81">
        <w:rPr>
          <w:sz w:val="26"/>
          <w:szCs w:val="26"/>
        </w:rPr>
        <w:lastRenderedPageBreak/>
        <w:t>hàng thực hiện chức năng trung gian tín dụng, chuyển vốn từ những chủ thể thừa vốn sang những chủ thể có nhu cầu vốn trong nền kinh tế.</w:t>
      </w:r>
    </w:p>
    <w:p w14:paraId="3599EBBE" w14:textId="77777777" w:rsidR="00766A84" w:rsidRPr="00DD1F81" w:rsidRDefault="00766A84" w:rsidP="00766A84">
      <w:pPr>
        <w:pStyle w:val="NormalWeb"/>
        <w:spacing w:line="360" w:lineRule="auto"/>
        <w:ind w:firstLine="720"/>
        <w:jc w:val="both"/>
        <w:rPr>
          <w:sz w:val="26"/>
          <w:szCs w:val="26"/>
        </w:rPr>
      </w:pPr>
      <w:r w:rsidRPr="00DD1F81">
        <w:rPr>
          <w:sz w:val="26"/>
          <w:szCs w:val="26"/>
        </w:rPr>
        <w:t>Hoạt động tín dụng của ngân hàng thương mại bao gồm các hình thức như cho vay ngắn hạn, trung hạn và dài hạn đối với cá nhân, hộ gia đình và doanh nghiệp; chiết khấu và tái chiết khấu các giấy tờ có giá; bảo lãnh ngân hàng; cho thuê tài chính; bao thanh toán trong nước và quốc tế theo quy định của Ngân hàng Nhà nước. Trong đó, hoạt động cho vay chiếm tỷ trọng lớn nhất và là nguồn thu nhập chính của ngân hàng thương mại, đồng thời tiềm ẩn nhiều rủi ro, đòi hỏi ngân hàng phải thực hiện tốt công tác quản trị rủi ro tín dụng.</w:t>
      </w:r>
    </w:p>
    <w:p w14:paraId="6CF5A3A0" w14:textId="77777777" w:rsidR="00766A84" w:rsidRPr="00AE795D" w:rsidRDefault="00766A84" w:rsidP="00766A84">
      <w:pPr>
        <w:pStyle w:val="NormalWeb"/>
        <w:spacing w:line="360" w:lineRule="auto"/>
        <w:jc w:val="both"/>
        <w:rPr>
          <w:i/>
          <w:iCs/>
          <w:sz w:val="26"/>
          <w:szCs w:val="26"/>
        </w:rPr>
      </w:pPr>
      <w:r w:rsidRPr="00AE795D">
        <w:rPr>
          <w:i/>
          <w:iCs/>
          <w:sz w:val="26"/>
          <w:szCs w:val="26"/>
        </w:rPr>
        <w:t xml:space="preserve">c) Hoạt động dịch vụ thanh toán </w:t>
      </w:r>
    </w:p>
    <w:p w14:paraId="26931588" w14:textId="77777777" w:rsidR="00766A84" w:rsidRPr="00806B41" w:rsidRDefault="00766A84" w:rsidP="00766A84">
      <w:pPr>
        <w:pStyle w:val="NormalWeb"/>
        <w:spacing w:line="360" w:lineRule="auto"/>
        <w:jc w:val="both"/>
        <w:rPr>
          <w:sz w:val="26"/>
          <w:szCs w:val="26"/>
        </w:rPr>
      </w:pPr>
      <w:r>
        <w:rPr>
          <w:sz w:val="26"/>
          <w:szCs w:val="26"/>
        </w:rPr>
        <w:tab/>
      </w:r>
      <w:r w:rsidRPr="00806B41">
        <w:rPr>
          <w:sz w:val="26"/>
          <w:szCs w:val="26"/>
        </w:rPr>
        <w:t>Bên cạnh hoạt động huy động vốn và tín dụng, ngân hàng thương mại còn cung ứng đa dạng các dịch vụ thanh toán và dịch vụ ngân hàng nhằm đáp ứng nhu cầu ngày càng cao của khách hàng và tăng nguồn thu ngoài lãi cho ngân hàng.</w:t>
      </w:r>
    </w:p>
    <w:p w14:paraId="73ADC52A" w14:textId="77777777" w:rsidR="00766A84" w:rsidRPr="00806B41" w:rsidRDefault="00766A84" w:rsidP="00766A84">
      <w:pPr>
        <w:pStyle w:val="NormalWeb"/>
        <w:spacing w:line="360" w:lineRule="auto"/>
        <w:ind w:firstLine="720"/>
        <w:jc w:val="both"/>
        <w:rPr>
          <w:sz w:val="26"/>
          <w:szCs w:val="26"/>
        </w:rPr>
      </w:pPr>
      <w:r w:rsidRPr="00806B41">
        <w:rPr>
          <w:sz w:val="26"/>
          <w:szCs w:val="26"/>
        </w:rPr>
        <w:t>Hoạt động này bao gồm việc mở và quản lý tài khoản thanh toán cho khách hàng; cung ứng các phương tiện thanh toán như séc, ủy nhiệm chi, thẻ ngân hàng; thực hiện dịch vụ thanh toán trong nước và thanh toán quốc tế; dịch vụ thu hộ, chi hộ; cùng với các dịch vụ ngân hàng điện tử như Internet Banking, Mobile Banking, SMS Banking. Việc phát triển hoạt động dịch vụ thanh toán và ngân hàng góp phần nâng cao chất lượng dịch vụ, gia tăng mức độ gắn kết với khách hàng và nâng cao năng lực cạnh tranh của ngân hàng thương mại.</w:t>
      </w:r>
    </w:p>
    <w:p w14:paraId="6C71D663" w14:textId="77777777" w:rsidR="00766A84" w:rsidRPr="004E7CA0" w:rsidRDefault="00766A84" w:rsidP="00766A84">
      <w:pPr>
        <w:pStyle w:val="NormalWeb"/>
        <w:spacing w:line="360" w:lineRule="auto"/>
        <w:jc w:val="both"/>
        <w:rPr>
          <w:i/>
          <w:iCs/>
          <w:sz w:val="26"/>
          <w:szCs w:val="26"/>
        </w:rPr>
      </w:pPr>
      <w:r w:rsidRPr="004E7CA0">
        <w:rPr>
          <w:i/>
          <w:iCs/>
          <w:sz w:val="26"/>
          <w:szCs w:val="26"/>
        </w:rPr>
        <w:t>d) Các hoạt động kinh doanh và dịch vụ khác</w:t>
      </w:r>
    </w:p>
    <w:p w14:paraId="663A972A" w14:textId="77777777" w:rsidR="00766A84" w:rsidRPr="00ED78C8" w:rsidRDefault="00766A84" w:rsidP="00766A84">
      <w:pPr>
        <w:pStyle w:val="NormalWeb"/>
        <w:spacing w:line="360" w:lineRule="auto"/>
        <w:jc w:val="both"/>
        <w:rPr>
          <w:sz w:val="26"/>
          <w:szCs w:val="26"/>
        </w:rPr>
      </w:pPr>
      <w:r>
        <w:rPr>
          <w:sz w:val="26"/>
          <w:szCs w:val="26"/>
        </w:rPr>
        <w:tab/>
      </w:r>
      <w:r w:rsidRPr="00ED78C8">
        <w:rPr>
          <w:sz w:val="26"/>
          <w:szCs w:val="26"/>
        </w:rPr>
        <w:t>Ngoài các hoạt động truyền thống nêu trên, ngân hàng thương mại còn thực hiện một số hoạt động kinh doanh và dịch vụ khác theo quy định của pháp luật nhằm đa dạng hóa sản phẩm, dịch vụ và gia tăng nguồn thu.</w:t>
      </w:r>
    </w:p>
    <w:p w14:paraId="70C60231" w14:textId="77777777" w:rsidR="00766A84" w:rsidRDefault="00766A84" w:rsidP="00766A84">
      <w:pPr>
        <w:pStyle w:val="NormalWeb"/>
        <w:spacing w:line="360" w:lineRule="auto"/>
        <w:ind w:firstLine="720"/>
        <w:jc w:val="both"/>
        <w:rPr>
          <w:sz w:val="26"/>
          <w:szCs w:val="26"/>
        </w:rPr>
      </w:pPr>
      <w:r w:rsidRPr="00ED78C8">
        <w:rPr>
          <w:sz w:val="26"/>
          <w:szCs w:val="26"/>
        </w:rPr>
        <w:t xml:space="preserve">Các hoạt động này bao gồm kinh doanh ngoại hối; đầu tư tài chính; dịch vụ bảo lãnh, ủy thác, đại lý; tư vấn tài chính, đầu tư; dịch vụ bảo quản tài sản, cho thuê két sắt và một số </w:t>
      </w:r>
      <w:r w:rsidRPr="00ED78C8">
        <w:rPr>
          <w:sz w:val="26"/>
          <w:szCs w:val="26"/>
        </w:rPr>
        <w:lastRenderedPageBreak/>
        <w:t>dịch vụ ngân hàng khác. Việc mở rộng và phát triển các hoạt động này giúp ngân hàng thương mại khai thác tốt hơn tiềm năng thị trường, giảm sự phụ thuộc vào hoạt động tín dụng và nâng cao hiệu quả hoạt động kinh doanh.</w:t>
      </w:r>
    </w:p>
    <w:p w14:paraId="774F0D21" w14:textId="77777777" w:rsidR="00766A84" w:rsidRDefault="00766A84" w:rsidP="00766A84">
      <w:pPr>
        <w:pStyle w:val="NormalWeb"/>
        <w:numPr>
          <w:ilvl w:val="1"/>
          <w:numId w:val="3"/>
        </w:numPr>
        <w:spacing w:line="360" w:lineRule="auto"/>
        <w:jc w:val="both"/>
        <w:rPr>
          <w:b/>
          <w:bCs/>
          <w:sz w:val="26"/>
          <w:szCs w:val="26"/>
        </w:rPr>
      </w:pPr>
      <w:r w:rsidRPr="00970DDA">
        <w:rPr>
          <w:b/>
          <w:bCs/>
          <w:sz w:val="26"/>
          <w:szCs w:val="26"/>
        </w:rPr>
        <w:t>KHÁI QUÁT VỀ NGUỒN VỐN CỦA NGÂN HÀNG THƯƠNG MẠI</w:t>
      </w:r>
    </w:p>
    <w:p w14:paraId="2EB7AA98" w14:textId="77777777" w:rsidR="00766A84" w:rsidRDefault="00766A84" w:rsidP="00766A84">
      <w:pPr>
        <w:pStyle w:val="NormalWeb"/>
        <w:numPr>
          <w:ilvl w:val="2"/>
          <w:numId w:val="3"/>
        </w:numPr>
        <w:spacing w:line="360" w:lineRule="auto"/>
        <w:jc w:val="both"/>
        <w:rPr>
          <w:b/>
          <w:bCs/>
          <w:sz w:val="26"/>
          <w:szCs w:val="26"/>
        </w:rPr>
      </w:pPr>
      <w:r>
        <w:rPr>
          <w:b/>
          <w:bCs/>
          <w:sz w:val="26"/>
          <w:szCs w:val="26"/>
        </w:rPr>
        <w:t>Khái niệm về nguồn vốn của Ngân hàng thương mại</w:t>
      </w:r>
    </w:p>
    <w:p w14:paraId="57184995" w14:textId="77777777" w:rsidR="00766A84" w:rsidRPr="002267EF" w:rsidRDefault="00766A84" w:rsidP="00766A84">
      <w:pPr>
        <w:pStyle w:val="NormalWeb"/>
        <w:spacing w:line="360" w:lineRule="auto"/>
        <w:ind w:firstLine="720"/>
        <w:jc w:val="both"/>
        <w:rPr>
          <w:sz w:val="26"/>
          <w:szCs w:val="26"/>
        </w:rPr>
      </w:pPr>
      <w:r>
        <w:rPr>
          <w:sz w:val="26"/>
          <w:szCs w:val="26"/>
        </w:rPr>
        <w:t xml:space="preserve">Nguồn vốn huy động là nguồn vốn chủ yếu trong hoạt động kinh doanh của Ngân hàng (90-95%), nó được cấu tạo bởi các thành phần: Huy động tiền gửi, huy động vốn bằng các phát hàng các giấy tờ có giá trị như kì phiếu có mục đích, trái phiếu ngân hàng, chứng chỉ tiền gửi ngân hàng và các giấy tờ có giá trị khác. </w:t>
      </w:r>
    </w:p>
    <w:p w14:paraId="59CBB417" w14:textId="77777777" w:rsidR="00766A84" w:rsidRDefault="00766A84" w:rsidP="00766A84">
      <w:pPr>
        <w:pStyle w:val="NormalWeb"/>
        <w:numPr>
          <w:ilvl w:val="2"/>
          <w:numId w:val="3"/>
        </w:numPr>
        <w:spacing w:line="360" w:lineRule="auto"/>
        <w:jc w:val="both"/>
        <w:rPr>
          <w:b/>
          <w:bCs/>
          <w:sz w:val="26"/>
          <w:szCs w:val="26"/>
        </w:rPr>
      </w:pPr>
      <w:r w:rsidRPr="000769F2">
        <w:rPr>
          <w:b/>
          <w:bCs/>
          <w:sz w:val="26"/>
          <w:szCs w:val="26"/>
        </w:rPr>
        <w:t>Vai trò của nguồn vốn</w:t>
      </w:r>
    </w:p>
    <w:p w14:paraId="76C8C3D3" w14:textId="77777777" w:rsidR="00766A84" w:rsidRDefault="00766A84" w:rsidP="00766A84">
      <w:pPr>
        <w:pStyle w:val="NormalWeb"/>
        <w:spacing w:line="360" w:lineRule="auto"/>
        <w:ind w:firstLine="720"/>
        <w:jc w:val="both"/>
        <w:rPr>
          <w:sz w:val="26"/>
          <w:szCs w:val="26"/>
        </w:rPr>
      </w:pPr>
      <w:r w:rsidRPr="008F530D">
        <w:rPr>
          <w:sz w:val="26"/>
          <w:szCs w:val="26"/>
        </w:rPr>
        <w:t>Nguồn vốn huy động giữ vai trò đặc biệt quan trọng trong hoạt động của ngân hàng thương mại, là nền tảng cho sự tồn tại và phát triển của ngân hàng trong nền kinh tế thị trường.</w:t>
      </w:r>
    </w:p>
    <w:p w14:paraId="0F0D5DF5" w14:textId="77777777" w:rsidR="00766A84" w:rsidRDefault="00766A84" w:rsidP="00766A84">
      <w:pPr>
        <w:pStyle w:val="NormalWeb"/>
        <w:spacing w:line="360" w:lineRule="auto"/>
        <w:ind w:firstLine="720"/>
        <w:jc w:val="both"/>
        <w:rPr>
          <w:sz w:val="26"/>
          <w:szCs w:val="26"/>
        </w:rPr>
      </w:pPr>
      <w:r w:rsidRPr="005330A3">
        <w:rPr>
          <w:sz w:val="26"/>
          <w:szCs w:val="26"/>
        </w:rPr>
        <w:t>Trong tổng nguồn vốn của ngân hàng thương mại, vốn huy động thường chiếm tỷ trọng lớn nhất. Đây là nguồn lực chủ yếu để ngân hàng thực hiện các hoạt động như cấp tín dụng, đầu tư và cung ứng các dịch vụ tài chính. Nếu không có nguồn vốn huy động ổn định, ngân hàng sẽ gặp nhiều khó khăn trong việc triển khai các hoạt động kinh doanh và mở rộng quy mô hoạt động.</w:t>
      </w:r>
    </w:p>
    <w:p w14:paraId="0EDA2D7D" w14:textId="77777777" w:rsidR="00766A84" w:rsidRDefault="00766A84" w:rsidP="00766A84">
      <w:pPr>
        <w:pStyle w:val="NormalWeb"/>
        <w:spacing w:line="360" w:lineRule="auto"/>
        <w:ind w:firstLine="720"/>
        <w:jc w:val="both"/>
        <w:rPr>
          <w:sz w:val="26"/>
          <w:szCs w:val="26"/>
        </w:rPr>
      </w:pPr>
      <w:r w:rsidRPr="00D50A31">
        <w:rPr>
          <w:sz w:val="26"/>
          <w:szCs w:val="26"/>
        </w:rPr>
        <w:t>Quy mô vốn huy động càng lớn thì ngân hàng càng có điều kiện mở rộng hoạt động tín dụng, đầu tư và đa dạng hóa các sản phẩm dịch vụ. Điều này không chỉ giúp ngân hàng nâng cao khả năng cạnh tranh mà còn tạo điều kiện để mở rộng thị phần và khẳng định vị thế trên thị trường tài chính.</w:t>
      </w:r>
    </w:p>
    <w:p w14:paraId="630FD1B3" w14:textId="77777777" w:rsidR="00766A84" w:rsidRDefault="00766A84" w:rsidP="00766A84">
      <w:pPr>
        <w:pStyle w:val="NormalWeb"/>
        <w:spacing w:line="360" w:lineRule="auto"/>
        <w:ind w:firstLine="720"/>
        <w:jc w:val="both"/>
        <w:rPr>
          <w:sz w:val="26"/>
          <w:szCs w:val="26"/>
        </w:rPr>
      </w:pPr>
      <w:r w:rsidRPr="00D50A31">
        <w:rPr>
          <w:sz w:val="26"/>
          <w:szCs w:val="26"/>
        </w:rPr>
        <w:t>Chi phí huy động vốn là một trong những yếu tố quan trọng ảnh hưởng đến lợi nhuận của ngân hàng. Nếu ngân hàng huy động vốn với chi phí hợp lý và có cơ cấu vốn phù hợp, sẽ góp phần tối ưu hóa lợi nhuận và nâng cao hiệu quả kinh doanh. Ngược lại, chi phí huy động cao sẽ làm giảm khả năng sinh lời của ngân hàng.</w:t>
      </w:r>
    </w:p>
    <w:p w14:paraId="70ECB031" w14:textId="77777777" w:rsidR="00766A84" w:rsidRDefault="00766A84" w:rsidP="00766A84">
      <w:pPr>
        <w:pStyle w:val="NormalWeb"/>
        <w:spacing w:line="360" w:lineRule="auto"/>
        <w:ind w:firstLine="720"/>
        <w:jc w:val="both"/>
        <w:rPr>
          <w:sz w:val="26"/>
          <w:szCs w:val="26"/>
        </w:rPr>
      </w:pPr>
      <w:r w:rsidRPr="00BA51D8">
        <w:rPr>
          <w:sz w:val="26"/>
          <w:szCs w:val="26"/>
        </w:rPr>
        <w:lastRenderedPageBreak/>
        <w:t>Một cơ cấu nguồn vốn hợp lý, đặc biệt là sự cân đối giữa các kỳ hạn, sẽ giúp ngân hàng chủ động trong việc đáp ứng nhu cầu rút tiền của khách hàng, hạn chế rủi ro thanh khoản. Đồng thời, nguồn vốn ổn định còn giúp ngân hàng duy trì hoạt động an toàn và bền vững trong dài hạn.</w:t>
      </w:r>
    </w:p>
    <w:p w14:paraId="433044C8" w14:textId="77777777" w:rsidR="00766A84" w:rsidRPr="008F530D" w:rsidRDefault="00766A84" w:rsidP="00766A84">
      <w:pPr>
        <w:pStyle w:val="NormalWeb"/>
        <w:spacing w:line="360" w:lineRule="auto"/>
        <w:ind w:firstLine="720"/>
        <w:jc w:val="both"/>
        <w:rPr>
          <w:sz w:val="26"/>
          <w:szCs w:val="26"/>
        </w:rPr>
      </w:pPr>
      <w:r w:rsidRPr="00BA51D8">
        <w:rPr>
          <w:sz w:val="26"/>
          <w:szCs w:val="26"/>
        </w:rPr>
        <w:t>Thông qua việc huy động các nguồn tiền nhàn rỗi trong dân cư và các tổ chức kinh tế, ngân hàng thương mại đã góp phần tập trung và phân bổ nguồn vốn cho nền kinh tế. Nguồn vốn này được sử dụng để tài trợ cho các hoạt động sản xuất kinh doanh, đầu tư và tiêu dùng, từ đó thúc đẩy tăng trưởng kinh tế và nâng cao đời sống xã hội.</w:t>
      </w:r>
    </w:p>
    <w:p w14:paraId="2DCB8599" w14:textId="77777777" w:rsidR="00766A84" w:rsidRDefault="00766A84" w:rsidP="00766A84">
      <w:pPr>
        <w:pStyle w:val="NormalWeb"/>
        <w:spacing w:line="360" w:lineRule="auto"/>
        <w:jc w:val="both"/>
        <w:rPr>
          <w:b/>
          <w:bCs/>
          <w:sz w:val="26"/>
          <w:szCs w:val="26"/>
        </w:rPr>
      </w:pPr>
      <w:r w:rsidRPr="008F3007">
        <w:rPr>
          <w:b/>
          <w:bCs/>
          <w:sz w:val="26"/>
          <w:szCs w:val="26"/>
        </w:rPr>
        <w:t xml:space="preserve">1.2.3 </w:t>
      </w:r>
      <w:r>
        <w:rPr>
          <w:b/>
          <w:bCs/>
          <w:sz w:val="26"/>
          <w:szCs w:val="26"/>
        </w:rPr>
        <w:t>Cơ cấu</w:t>
      </w:r>
      <w:r w:rsidRPr="008F3007">
        <w:rPr>
          <w:b/>
          <w:bCs/>
          <w:sz w:val="26"/>
          <w:szCs w:val="26"/>
        </w:rPr>
        <w:t xml:space="preserve"> của nguồn vốn</w:t>
      </w:r>
    </w:p>
    <w:p w14:paraId="73D1095C" w14:textId="77777777" w:rsidR="00766A84" w:rsidRDefault="00766A84" w:rsidP="00766A84">
      <w:pPr>
        <w:pStyle w:val="NormalWeb"/>
        <w:spacing w:line="360" w:lineRule="auto"/>
        <w:ind w:firstLine="360"/>
        <w:jc w:val="both"/>
        <w:rPr>
          <w:sz w:val="26"/>
          <w:szCs w:val="26"/>
        </w:rPr>
      </w:pPr>
      <w:r>
        <w:rPr>
          <w:sz w:val="26"/>
          <w:szCs w:val="26"/>
        </w:rPr>
        <w:t>Cơ cấu của nguồn vốn bao gồm: vốn chủ sỡ hữu, vốn huy động, vốn vay, vốn khác từ đó hình thành nên nguồn vốn hoạt động của ngân hàng thương mại.</w:t>
      </w:r>
    </w:p>
    <w:p w14:paraId="3560F2E7" w14:textId="77777777" w:rsidR="00766A84" w:rsidRPr="00C20A37" w:rsidRDefault="00766A84" w:rsidP="00766A84">
      <w:pPr>
        <w:pStyle w:val="NormalWeb"/>
        <w:numPr>
          <w:ilvl w:val="0"/>
          <w:numId w:val="4"/>
        </w:numPr>
        <w:spacing w:line="360" w:lineRule="auto"/>
        <w:jc w:val="both"/>
        <w:rPr>
          <w:i/>
          <w:iCs/>
          <w:sz w:val="26"/>
          <w:szCs w:val="26"/>
        </w:rPr>
      </w:pPr>
      <w:r w:rsidRPr="00C20A37">
        <w:rPr>
          <w:i/>
          <w:iCs/>
          <w:sz w:val="26"/>
          <w:szCs w:val="26"/>
        </w:rPr>
        <w:t xml:space="preserve">Vốn chủ </w:t>
      </w:r>
      <w:r>
        <w:rPr>
          <w:i/>
          <w:iCs/>
          <w:sz w:val="26"/>
          <w:szCs w:val="26"/>
        </w:rPr>
        <w:t>sở</w:t>
      </w:r>
      <w:r w:rsidRPr="00C20A37">
        <w:rPr>
          <w:i/>
          <w:iCs/>
          <w:sz w:val="26"/>
          <w:szCs w:val="26"/>
        </w:rPr>
        <w:t xml:space="preserve"> hữu</w:t>
      </w:r>
    </w:p>
    <w:p w14:paraId="635351B8" w14:textId="77777777" w:rsidR="00766A84" w:rsidRDefault="00766A84" w:rsidP="00766A84">
      <w:pPr>
        <w:pStyle w:val="NormalWeb"/>
        <w:spacing w:line="360" w:lineRule="auto"/>
        <w:ind w:firstLine="360"/>
        <w:jc w:val="both"/>
        <w:rPr>
          <w:sz w:val="26"/>
          <w:szCs w:val="26"/>
        </w:rPr>
      </w:pPr>
      <w:r>
        <w:rPr>
          <w:sz w:val="26"/>
          <w:szCs w:val="26"/>
        </w:rPr>
        <w:t xml:space="preserve">Vốn chủ sở hữu là vốn thuộc quyền sở hữu của ngân hàng, do chủ sở hữu ngân hàng góp vào khi thành lập ngân hàng và được bổ sung trong quá trình hoạt động của ngân hàng từ vốn góp thêm của chủ sở hữu và từ lợi nhuận của ngân hàng. </w:t>
      </w:r>
    </w:p>
    <w:p w14:paraId="0E72FCD4" w14:textId="77777777" w:rsidR="00766A84" w:rsidRDefault="00766A84" w:rsidP="00766A84">
      <w:pPr>
        <w:pStyle w:val="NormalWeb"/>
        <w:spacing w:line="360" w:lineRule="auto"/>
        <w:ind w:firstLine="360"/>
        <w:jc w:val="both"/>
        <w:rPr>
          <w:sz w:val="26"/>
          <w:szCs w:val="26"/>
        </w:rPr>
      </w:pPr>
      <w:r>
        <w:rPr>
          <w:sz w:val="26"/>
          <w:szCs w:val="26"/>
        </w:rPr>
        <w:t>Vốn chủ sở hữu chiếm tỷ trọng nhỏ trong tổng vốn của ngân hàng thương mại, nhưng đóng vai trò quan trọng đối với hoạt động kinh doanh của ngân hàng thương mại, quyết định năng lực tài chính, quy mô hoạt động và khả năng cạnh tranh của ngân hàng thương mại.</w:t>
      </w:r>
    </w:p>
    <w:p w14:paraId="6C5A0397" w14:textId="77777777" w:rsidR="00766A84" w:rsidRDefault="00766A84" w:rsidP="00766A84">
      <w:pPr>
        <w:pStyle w:val="NormalWeb"/>
        <w:spacing w:line="360" w:lineRule="auto"/>
        <w:ind w:firstLine="360"/>
        <w:jc w:val="both"/>
        <w:rPr>
          <w:sz w:val="26"/>
          <w:szCs w:val="26"/>
        </w:rPr>
      </w:pPr>
      <w:r>
        <w:rPr>
          <w:sz w:val="26"/>
          <w:szCs w:val="26"/>
        </w:rPr>
        <w:t>Vốn chủ sở hữu là vốn không phải hoàn trả trong quá trình hoạt động nên vốn chủ sở hữu là nguồn vốn có tính ổn định và thông thường được sử dụng cho mục đích dài hạn.</w:t>
      </w:r>
    </w:p>
    <w:p w14:paraId="5448A8FF" w14:textId="77777777" w:rsidR="00766A84" w:rsidRPr="00910A2F" w:rsidRDefault="00766A84" w:rsidP="00766A84">
      <w:pPr>
        <w:pStyle w:val="NormalWeb"/>
        <w:numPr>
          <w:ilvl w:val="0"/>
          <w:numId w:val="4"/>
        </w:numPr>
        <w:spacing w:line="360" w:lineRule="auto"/>
        <w:jc w:val="both"/>
        <w:rPr>
          <w:i/>
          <w:iCs/>
          <w:sz w:val="26"/>
          <w:szCs w:val="26"/>
        </w:rPr>
      </w:pPr>
      <w:r w:rsidRPr="00910A2F">
        <w:rPr>
          <w:i/>
          <w:iCs/>
          <w:sz w:val="26"/>
          <w:szCs w:val="26"/>
        </w:rPr>
        <w:t xml:space="preserve">Vốn huy động </w:t>
      </w:r>
    </w:p>
    <w:p w14:paraId="02882345" w14:textId="77777777" w:rsidR="00766A84" w:rsidRDefault="00766A84" w:rsidP="00766A84">
      <w:pPr>
        <w:pStyle w:val="NormalWeb"/>
        <w:spacing w:line="360" w:lineRule="auto"/>
        <w:ind w:firstLine="360"/>
        <w:jc w:val="both"/>
        <w:rPr>
          <w:sz w:val="26"/>
          <w:szCs w:val="26"/>
        </w:rPr>
      </w:pPr>
      <w:r>
        <w:rPr>
          <w:sz w:val="26"/>
          <w:szCs w:val="26"/>
        </w:rPr>
        <w:lastRenderedPageBreak/>
        <w:t>Vốn huy động là vốn thuộc sở hữu của các chủ thể trong nền kinh tế, được ngân hàng tạm thời quản lý và sử dụng để kinh doanh trong một thời gian xác định sau đó sẽ hoàn trả lại cho chủ sở hữu.</w:t>
      </w:r>
    </w:p>
    <w:p w14:paraId="3BBDBF5F" w14:textId="77777777" w:rsidR="00766A84" w:rsidRDefault="00766A84" w:rsidP="00766A84">
      <w:pPr>
        <w:pStyle w:val="NormalWeb"/>
        <w:spacing w:line="360" w:lineRule="auto"/>
        <w:ind w:firstLine="360"/>
        <w:jc w:val="both"/>
        <w:rPr>
          <w:sz w:val="26"/>
          <w:szCs w:val="26"/>
        </w:rPr>
      </w:pPr>
      <w:r>
        <w:rPr>
          <w:sz w:val="26"/>
          <w:szCs w:val="26"/>
        </w:rPr>
        <w:t>Ngân hàng thương mại huy động vốn trong nền kinh tế bằng các nghiệp vụ: Nhận tiền gửi không kì hạn, tiền gửi có kì hạn, nhận tiền gửi tiết kiệm, phát hành kì phiếu, trái phiếu, chứng chỉ tiền gửi và các loại công cụ nợ khác.</w:t>
      </w:r>
    </w:p>
    <w:p w14:paraId="796366EB" w14:textId="77777777" w:rsidR="00766A84" w:rsidRDefault="00766A84" w:rsidP="00766A84">
      <w:pPr>
        <w:pStyle w:val="NormalWeb"/>
        <w:spacing w:line="360" w:lineRule="auto"/>
        <w:ind w:firstLine="360"/>
        <w:jc w:val="both"/>
        <w:rPr>
          <w:sz w:val="26"/>
          <w:szCs w:val="26"/>
        </w:rPr>
      </w:pPr>
      <w:r>
        <w:rPr>
          <w:sz w:val="26"/>
          <w:szCs w:val="26"/>
        </w:rPr>
        <w:t>Vốn huy động chiếm tỷ trọng lớn nhất trong nguồn vốn của ngân hàng thương mại, là nguồn vốn chủ yếu cho hoạt động kinh doanh của ngân hàng thương mại. Tuy nhiên, khi đến hạn ngân hàng phải hoàn trả cho chủ sở hữu cả vốn gốc và lãi nên vốn huy động là thành phần vốn có tính biến động. Khi sử dụng nguồn vốn này, ngân hàng thương mại phải thiết lập dự trữ để đáp ứng kịp thời nhu cầu thanh khoản.</w:t>
      </w:r>
    </w:p>
    <w:p w14:paraId="75703A2E" w14:textId="77777777" w:rsidR="00766A84" w:rsidRPr="00FF7C53" w:rsidRDefault="00766A84" w:rsidP="00766A84">
      <w:pPr>
        <w:pStyle w:val="NormalWeb"/>
        <w:numPr>
          <w:ilvl w:val="0"/>
          <w:numId w:val="4"/>
        </w:numPr>
        <w:spacing w:line="360" w:lineRule="auto"/>
        <w:jc w:val="both"/>
        <w:rPr>
          <w:i/>
          <w:iCs/>
          <w:sz w:val="26"/>
          <w:szCs w:val="26"/>
        </w:rPr>
      </w:pPr>
      <w:r w:rsidRPr="00FF7C53">
        <w:rPr>
          <w:i/>
          <w:iCs/>
          <w:sz w:val="26"/>
          <w:szCs w:val="26"/>
        </w:rPr>
        <w:t>Vốn vay</w:t>
      </w:r>
    </w:p>
    <w:p w14:paraId="6D74FDCE" w14:textId="77777777" w:rsidR="00766A84" w:rsidRDefault="00766A84" w:rsidP="00766A84">
      <w:pPr>
        <w:pStyle w:val="NormalWeb"/>
        <w:spacing w:line="360" w:lineRule="auto"/>
        <w:ind w:firstLine="360"/>
        <w:jc w:val="both"/>
        <w:rPr>
          <w:sz w:val="26"/>
          <w:szCs w:val="26"/>
        </w:rPr>
      </w:pPr>
      <w:r>
        <w:rPr>
          <w:sz w:val="26"/>
          <w:szCs w:val="26"/>
        </w:rPr>
        <w:t>Vốn vay là vốn thuộc sở hữu của các chủ thể trong nền kinh tế mà ngân hàng thương mại chủ động thỏa thuận sử dụng để bù đắp thiếu hụt thanh toán tạm thời trong hoạt động kinh doanh. Ngân hàng thương mại có thể vay từ nhiều chủ thể khác nhau như vay từ khác tổ chức tín dụng khác trong nước, vay từ các ngân hàng và các tổ chức tài chính nước ngoài, vay từ Ngân hàng Trung ương.</w:t>
      </w:r>
    </w:p>
    <w:p w14:paraId="3C39B4DB" w14:textId="77777777" w:rsidR="00766A84" w:rsidRPr="00FF7C53" w:rsidRDefault="00766A84" w:rsidP="00766A84">
      <w:pPr>
        <w:pStyle w:val="NormalWeb"/>
        <w:numPr>
          <w:ilvl w:val="0"/>
          <w:numId w:val="4"/>
        </w:numPr>
        <w:spacing w:line="360" w:lineRule="auto"/>
        <w:jc w:val="both"/>
        <w:rPr>
          <w:i/>
          <w:iCs/>
          <w:sz w:val="26"/>
          <w:szCs w:val="26"/>
        </w:rPr>
      </w:pPr>
      <w:r w:rsidRPr="00FF7C53">
        <w:rPr>
          <w:i/>
          <w:iCs/>
          <w:sz w:val="26"/>
          <w:szCs w:val="26"/>
        </w:rPr>
        <w:t>Vốn khác</w:t>
      </w:r>
    </w:p>
    <w:p w14:paraId="0CDC1A7E" w14:textId="77777777" w:rsidR="00766A84" w:rsidRDefault="00766A84" w:rsidP="00766A84">
      <w:pPr>
        <w:pStyle w:val="NormalWeb"/>
        <w:spacing w:line="360" w:lineRule="auto"/>
        <w:ind w:firstLine="360"/>
        <w:jc w:val="both"/>
        <w:rPr>
          <w:sz w:val="26"/>
          <w:szCs w:val="26"/>
        </w:rPr>
      </w:pPr>
      <w:r>
        <w:rPr>
          <w:sz w:val="26"/>
          <w:szCs w:val="26"/>
        </w:rPr>
        <w:t>Ngoài các nguồn vốn nêu trên, khi ngân hàng thương mại đi vào hoạt động tạo điều kiện phát sinh các nguồn vốn khác, chẳng hạn:</w:t>
      </w:r>
    </w:p>
    <w:p w14:paraId="72F0FA95" w14:textId="77777777" w:rsidR="00766A84" w:rsidRDefault="00766A84" w:rsidP="00766A84">
      <w:pPr>
        <w:pStyle w:val="NormalWeb"/>
        <w:spacing w:line="360" w:lineRule="auto"/>
        <w:ind w:firstLine="360"/>
        <w:jc w:val="both"/>
        <w:rPr>
          <w:sz w:val="26"/>
          <w:szCs w:val="26"/>
        </w:rPr>
      </w:pPr>
      <w:r>
        <w:rPr>
          <w:sz w:val="26"/>
          <w:szCs w:val="26"/>
        </w:rPr>
        <w:t xml:space="preserve">- Vốn tài trợ, ủy thác từ các chủ thể trong và ngoài nước. </w:t>
      </w:r>
    </w:p>
    <w:p w14:paraId="21CA29C8" w14:textId="77777777" w:rsidR="00766A84" w:rsidRDefault="00766A84" w:rsidP="00766A84">
      <w:pPr>
        <w:pStyle w:val="NormalWeb"/>
        <w:spacing w:line="360" w:lineRule="auto"/>
        <w:ind w:firstLine="360"/>
        <w:jc w:val="both"/>
        <w:rPr>
          <w:sz w:val="26"/>
          <w:szCs w:val="26"/>
        </w:rPr>
      </w:pPr>
      <w:r>
        <w:rPr>
          <w:sz w:val="26"/>
          <w:szCs w:val="26"/>
        </w:rPr>
        <w:t>- Vốn chiếm dụng phát sinh từ dịch vụ thanh toán trong nước, dịch vụ thanh toán quốc tế, đại lý kiều hối,…</w:t>
      </w:r>
    </w:p>
    <w:p w14:paraId="63B196AD" w14:textId="77777777" w:rsidR="00766A84" w:rsidRPr="00595BCB" w:rsidRDefault="00766A84" w:rsidP="00766A84">
      <w:pPr>
        <w:pStyle w:val="NormalWeb"/>
        <w:spacing w:line="360" w:lineRule="auto"/>
        <w:ind w:firstLine="360"/>
        <w:jc w:val="both"/>
        <w:rPr>
          <w:sz w:val="26"/>
          <w:szCs w:val="26"/>
        </w:rPr>
      </w:pPr>
      <w:r>
        <w:rPr>
          <w:sz w:val="26"/>
          <w:szCs w:val="26"/>
        </w:rPr>
        <w:lastRenderedPageBreak/>
        <w:t>- Vốn điều hòa trong hệ thống ngân hàng thương mại điều tiết nguồn vốn từ chi nhánh thiếu vốn nhằm nâng cao hiệu quả sử dụng nguồn vốn, cân đối vốn trong toàn bộ hệ thống ngân hàng thương mại, đảm bảo thanh khoản.</w:t>
      </w:r>
    </w:p>
    <w:p w14:paraId="2EEE4D74" w14:textId="77777777" w:rsidR="00766A84" w:rsidRDefault="00766A84" w:rsidP="00766A84">
      <w:pPr>
        <w:pStyle w:val="NormalWeb"/>
        <w:spacing w:line="360" w:lineRule="auto"/>
        <w:jc w:val="both"/>
        <w:rPr>
          <w:b/>
          <w:bCs/>
          <w:sz w:val="26"/>
          <w:szCs w:val="26"/>
        </w:rPr>
      </w:pPr>
      <w:r w:rsidRPr="000661D2">
        <w:rPr>
          <w:b/>
          <w:bCs/>
          <w:sz w:val="26"/>
          <w:szCs w:val="26"/>
        </w:rPr>
        <w:t>1.3 HOẠT ĐỘNG HUY ĐỘNG VỐN CỦA NGÂN HÀNG THƯƠNG MẠI</w:t>
      </w:r>
    </w:p>
    <w:p w14:paraId="071E367B" w14:textId="77777777" w:rsidR="00766A84" w:rsidRDefault="00766A84" w:rsidP="00766A84">
      <w:pPr>
        <w:pStyle w:val="NormalWeb"/>
        <w:spacing w:line="360" w:lineRule="auto"/>
        <w:jc w:val="both"/>
        <w:rPr>
          <w:b/>
          <w:bCs/>
          <w:sz w:val="26"/>
          <w:szCs w:val="26"/>
        </w:rPr>
      </w:pPr>
      <w:r>
        <w:rPr>
          <w:b/>
          <w:bCs/>
          <w:sz w:val="26"/>
          <w:szCs w:val="26"/>
        </w:rPr>
        <w:t>1.3.1 Khái niệm hoạt động huy động vốn</w:t>
      </w:r>
    </w:p>
    <w:p w14:paraId="2D1CD045" w14:textId="77777777" w:rsidR="00766A84" w:rsidRDefault="00766A84" w:rsidP="00766A84">
      <w:pPr>
        <w:pStyle w:val="NormalWeb"/>
        <w:spacing w:line="360" w:lineRule="auto"/>
        <w:jc w:val="both"/>
        <w:rPr>
          <w:sz w:val="26"/>
          <w:szCs w:val="26"/>
        </w:rPr>
      </w:pPr>
      <w:r>
        <w:rPr>
          <w:b/>
          <w:bCs/>
          <w:sz w:val="26"/>
          <w:szCs w:val="26"/>
        </w:rPr>
        <w:tab/>
      </w:r>
      <w:r>
        <w:rPr>
          <w:sz w:val="26"/>
          <w:szCs w:val="26"/>
        </w:rPr>
        <w:t>Huy động vốn là một trong các nghiệp vụ tạo nên nguồn vốn của ngân hàng thương mại, thông qua việc ngân hàng nhận ký thác và quản lý các khoản tiền từ khách hàng theo nguyên tắc có hoàn trả gốc và lãi đáp ứng nhu cầu vốn trong hoạt động kinh doanh của ngân hàng.</w:t>
      </w:r>
    </w:p>
    <w:p w14:paraId="456EBAC3" w14:textId="77777777" w:rsidR="00766A84" w:rsidRDefault="00766A84" w:rsidP="00766A84">
      <w:pPr>
        <w:pStyle w:val="NormalWeb"/>
        <w:spacing w:line="360" w:lineRule="auto"/>
        <w:jc w:val="both"/>
        <w:rPr>
          <w:sz w:val="26"/>
          <w:szCs w:val="26"/>
        </w:rPr>
      </w:pPr>
      <w:r>
        <w:rPr>
          <w:sz w:val="26"/>
          <w:szCs w:val="26"/>
        </w:rPr>
        <w:tab/>
        <w:t>Huy động vốn – hoạt động tạo nguồn vốn cho ngân hàng thương mại, chiếm tỷ trọng cao nhất trong tổng nguồn vốn nên đóng vai trò quan trọng, ảnh hưởng đến quy mô và hiệu quả kinh doanh của ngân hàng. Ngân hàng thương mại mua quyền sử dụng các khoản vốn tạm thời nhàn rỗi của khách hàng trong một thời gian nhất định với trách nhiệm hoàn trả đầy đủ với chi phí phải trả cho khách hàng dưới hình thức lãi tiền gửi.</w:t>
      </w:r>
    </w:p>
    <w:p w14:paraId="43FFA08F" w14:textId="77777777" w:rsidR="00766A84" w:rsidRPr="00080DEE" w:rsidRDefault="00766A84" w:rsidP="00766A84">
      <w:pPr>
        <w:pStyle w:val="NormalWeb"/>
        <w:spacing w:line="360" w:lineRule="auto"/>
        <w:jc w:val="both"/>
        <w:rPr>
          <w:b/>
          <w:bCs/>
          <w:sz w:val="26"/>
          <w:szCs w:val="26"/>
        </w:rPr>
      </w:pPr>
      <w:r w:rsidRPr="00080DEE">
        <w:rPr>
          <w:b/>
          <w:bCs/>
          <w:sz w:val="26"/>
          <w:szCs w:val="26"/>
        </w:rPr>
        <w:t xml:space="preserve">1.3.2 Vai trò </w:t>
      </w:r>
      <w:r>
        <w:rPr>
          <w:b/>
          <w:bCs/>
          <w:sz w:val="26"/>
          <w:szCs w:val="26"/>
        </w:rPr>
        <w:t xml:space="preserve">của hoạt động </w:t>
      </w:r>
      <w:r w:rsidRPr="00080DEE">
        <w:rPr>
          <w:b/>
          <w:bCs/>
          <w:sz w:val="26"/>
          <w:szCs w:val="26"/>
        </w:rPr>
        <w:t>huy động vốn</w:t>
      </w:r>
      <w:r>
        <w:rPr>
          <w:b/>
          <w:bCs/>
          <w:sz w:val="26"/>
          <w:szCs w:val="26"/>
        </w:rPr>
        <w:t xml:space="preserve"> tại Ngân hàng thương mại</w:t>
      </w:r>
    </w:p>
    <w:p w14:paraId="40BF5FFF" w14:textId="77777777" w:rsidR="00766A84" w:rsidRDefault="00766A84" w:rsidP="00766A84">
      <w:pPr>
        <w:pStyle w:val="NormalWeb"/>
        <w:spacing w:line="360" w:lineRule="auto"/>
        <w:jc w:val="both"/>
        <w:rPr>
          <w:i/>
          <w:iCs/>
          <w:sz w:val="26"/>
          <w:szCs w:val="26"/>
        </w:rPr>
      </w:pPr>
      <w:r w:rsidRPr="0000382A">
        <w:rPr>
          <w:i/>
          <w:iCs/>
          <w:sz w:val="26"/>
          <w:szCs w:val="26"/>
        </w:rPr>
        <w:t>a) Đối với nền kinh tế</w:t>
      </w:r>
    </w:p>
    <w:p w14:paraId="08D28F82" w14:textId="77777777" w:rsidR="00766A84" w:rsidRDefault="00766A84" w:rsidP="00766A84">
      <w:pPr>
        <w:pStyle w:val="NormalWeb"/>
        <w:spacing w:line="360" w:lineRule="auto"/>
        <w:jc w:val="both"/>
        <w:rPr>
          <w:sz w:val="26"/>
          <w:szCs w:val="26"/>
        </w:rPr>
      </w:pPr>
      <w:r>
        <w:rPr>
          <w:sz w:val="26"/>
          <w:szCs w:val="26"/>
        </w:rPr>
        <w:tab/>
        <w:t xml:space="preserve">Ngân hàng thương mại là kênh cung ứng vốn quan trọng hàng đầu của nền kinh tế. thông qua huy động vốn của ngân hàng, các khoản tiền nhàn rỗi, nhỏ của các đối tượng trong nền kinh tế tập trung thành một khối lượng vốn lớn, sử dụng vốn vay cho đầu tư sinh lời đáp ứng cho các yêu cầu của nền kinh tế - xã hội. Hầu hết các nước trên thế giới nguồn vốn huy động của các ngân hàng luôn chiếm tỷ trọng lớn trong tổng nguồn vốn của nền kinh tế, vì vậy nguồn vốn ngân hàng thương mại đã góp phần đáng kể trong việc thúc đẩy kinh tế phát triển. </w:t>
      </w:r>
    </w:p>
    <w:p w14:paraId="10D827DA" w14:textId="77777777" w:rsidR="00766A84" w:rsidRDefault="00766A84" w:rsidP="00766A84">
      <w:pPr>
        <w:pStyle w:val="NormalWeb"/>
        <w:spacing w:line="360" w:lineRule="auto"/>
        <w:jc w:val="both"/>
        <w:rPr>
          <w:sz w:val="26"/>
          <w:szCs w:val="26"/>
        </w:rPr>
      </w:pPr>
      <w:r>
        <w:rPr>
          <w:sz w:val="26"/>
          <w:szCs w:val="26"/>
        </w:rPr>
        <w:tab/>
        <w:t xml:space="preserve">Với nghiệp vụ huy động vốn, ngân hàng thương mại có điều kiện tiếp cận và thu hút một khối lượng khách hàng rất lớn đến với ngân hàng thương mại, đồng thời có tác dụng </w:t>
      </w:r>
      <w:r>
        <w:rPr>
          <w:sz w:val="26"/>
          <w:szCs w:val="26"/>
        </w:rPr>
        <w:lastRenderedPageBreak/>
        <w:t>kích thích khơi dậy các tiềm năng về vốn huy động đến mức cao nhất các nguồn trong nền kinh tế. Bên cạnh đó việc quản lý thu chi tiền cho khách hàng ngân hàng thương mại góp phần kiểm soát lạm phát và các hoạt động của nền kinh tế cũng như diễn biến xu hướng biến động trong nền kinh tế để Nhà nước kịp thời đưa ra giải pháp hợp lý. Thông qua huy động vốn, ngân hàng thương mại phát hành chứng chỉ tiền gửi, kỳ phiếu, trái phiếu và góp phần tạo nên hàng hóa trên thị trường tài chính.</w:t>
      </w:r>
    </w:p>
    <w:p w14:paraId="4F7D7D75" w14:textId="77777777" w:rsidR="00766A84" w:rsidRPr="00E23ADE" w:rsidRDefault="00766A84" w:rsidP="00766A84">
      <w:pPr>
        <w:pStyle w:val="NormalWeb"/>
        <w:spacing w:line="360" w:lineRule="auto"/>
        <w:jc w:val="both"/>
        <w:rPr>
          <w:i/>
          <w:iCs/>
          <w:sz w:val="26"/>
          <w:szCs w:val="26"/>
        </w:rPr>
      </w:pPr>
      <w:r w:rsidRPr="00E23ADE">
        <w:rPr>
          <w:i/>
          <w:iCs/>
          <w:sz w:val="26"/>
          <w:szCs w:val="26"/>
        </w:rPr>
        <w:t>b) Đối với ngân hàng thương mại</w:t>
      </w:r>
    </w:p>
    <w:p w14:paraId="1C42D23D" w14:textId="77777777" w:rsidR="00766A84" w:rsidRDefault="00766A84" w:rsidP="00766A84">
      <w:pPr>
        <w:pStyle w:val="NormalWeb"/>
        <w:spacing w:line="360" w:lineRule="auto"/>
        <w:jc w:val="both"/>
        <w:rPr>
          <w:sz w:val="26"/>
          <w:szCs w:val="26"/>
        </w:rPr>
      </w:pPr>
      <w:r>
        <w:rPr>
          <w:sz w:val="26"/>
          <w:szCs w:val="26"/>
        </w:rPr>
        <w:tab/>
        <w:t>Huy động vốn chiếm tỷ trọng đáng kể trong tài sản nợ ngân hàng thương mại, tạo nên nguồn vốn quan trọng của ngân hàng thương mại. Huy động vốn là nền tảng quyết định đến sự tồn tại, phát triển của ngân hàng thương mại. Thông qua nghiệp vụ huy động vốn, ngân hàng thương mại hình thành nguồn vốn đáp ứng nhu cầu kinh doanh, thực hiện các nghiệp vụ cho vay, tài trợ, đầu tư, kinh doanh ngoại tệ, thanh toán, ủy thác,… tạo ra nguồn lợi nhuận cho ngân hàng thương mại, đảm bảo sự phát triển vững mạnh của ngân hàng thương mại.</w:t>
      </w:r>
    </w:p>
    <w:p w14:paraId="4A8834BE" w14:textId="77777777" w:rsidR="00766A84" w:rsidRDefault="00766A84" w:rsidP="00766A84">
      <w:pPr>
        <w:pStyle w:val="NormalWeb"/>
        <w:spacing w:line="360" w:lineRule="auto"/>
        <w:jc w:val="both"/>
        <w:rPr>
          <w:sz w:val="26"/>
          <w:szCs w:val="26"/>
        </w:rPr>
      </w:pPr>
      <w:r>
        <w:rPr>
          <w:sz w:val="26"/>
          <w:szCs w:val="26"/>
        </w:rPr>
        <w:tab/>
        <w:t xml:space="preserve"> Vốn huy động là tài sản bằng tiền của các chủ sở hữu (bao gồm của pháp nhân và cá nhân) gửi vào ngân hàng, mà ngân hàng đang tạm thời quản lý và sử dụng. Quy mô huy động vốn càng lớn thì khả năng cho vay càng cao.</w:t>
      </w:r>
    </w:p>
    <w:p w14:paraId="665C3AE8" w14:textId="77777777" w:rsidR="00766A84" w:rsidRDefault="00766A84" w:rsidP="00766A84">
      <w:pPr>
        <w:pStyle w:val="NormalWeb"/>
        <w:spacing w:line="360" w:lineRule="auto"/>
        <w:jc w:val="both"/>
        <w:rPr>
          <w:sz w:val="26"/>
          <w:szCs w:val="26"/>
        </w:rPr>
      </w:pPr>
      <w:r>
        <w:rPr>
          <w:sz w:val="26"/>
          <w:szCs w:val="26"/>
        </w:rPr>
        <w:tab/>
        <w:t>Huy động vốn là cơ sở để ngân hàng thu hút khách hàng đến giao dịch góp phần nâng cao uy tín và thương hiệu của ngân hàng.</w:t>
      </w:r>
    </w:p>
    <w:p w14:paraId="7B4CC6F8" w14:textId="77777777" w:rsidR="00766A84" w:rsidRDefault="00766A84" w:rsidP="00766A84">
      <w:pPr>
        <w:pStyle w:val="NormalWeb"/>
        <w:spacing w:line="360" w:lineRule="auto"/>
        <w:jc w:val="both"/>
        <w:rPr>
          <w:i/>
          <w:iCs/>
          <w:sz w:val="26"/>
          <w:szCs w:val="26"/>
        </w:rPr>
      </w:pPr>
      <w:r w:rsidRPr="001747ED">
        <w:rPr>
          <w:i/>
          <w:iCs/>
          <w:sz w:val="26"/>
          <w:szCs w:val="26"/>
        </w:rPr>
        <w:t>c) Đối với khách hàng</w:t>
      </w:r>
    </w:p>
    <w:p w14:paraId="4B7A1F7D" w14:textId="77777777" w:rsidR="00766A84" w:rsidRDefault="00766A84" w:rsidP="00766A84">
      <w:pPr>
        <w:pStyle w:val="NormalWeb"/>
        <w:spacing w:line="360" w:lineRule="auto"/>
        <w:jc w:val="both"/>
        <w:rPr>
          <w:sz w:val="26"/>
          <w:szCs w:val="26"/>
        </w:rPr>
      </w:pPr>
      <w:r>
        <w:rPr>
          <w:sz w:val="26"/>
          <w:szCs w:val="26"/>
        </w:rPr>
        <w:tab/>
        <w:t>Nghiệp vụ huy động vốn giúp khách hàng thuận lợi trong việc tích lũy để dành các khoản thu nhập nhàn rỗi chưa sử dụng cho mục tiêu hay nhu cầu tài chính đã dự định trong tương lai.</w:t>
      </w:r>
    </w:p>
    <w:p w14:paraId="2716E0F1" w14:textId="77777777" w:rsidR="00766A84" w:rsidRDefault="00766A84" w:rsidP="00766A84">
      <w:pPr>
        <w:pStyle w:val="NormalWeb"/>
        <w:spacing w:line="360" w:lineRule="auto"/>
        <w:jc w:val="both"/>
        <w:rPr>
          <w:sz w:val="26"/>
          <w:szCs w:val="26"/>
        </w:rPr>
      </w:pPr>
      <w:r>
        <w:rPr>
          <w:sz w:val="26"/>
          <w:szCs w:val="26"/>
        </w:rPr>
        <w:tab/>
        <w:t xml:space="preserve">Với những hình thức huy động vốn phong phú của ngân hàng, khách hàng dễ dàng lựa chọn một hình thức huy động phù hợp theo yêu cầu về lãi suất, thời hạn, cách tính lãi và thanh toán lãi, mục đích của mình,..Bên cạnh đó, từ những hình thức này, đương nhiên </w:t>
      </w:r>
      <w:r>
        <w:rPr>
          <w:sz w:val="26"/>
          <w:szCs w:val="26"/>
        </w:rPr>
        <w:lastRenderedPageBreak/>
        <w:t>quy định một hợp đồng kinh tế được kí kết hay thỏa ước giữa ngân hàng và khách hàng, nhằm bảo vệ quyền lợi chính đáng của khách hàng được hưởng lãi, và đảm bảo an toàn về tài sản. Có thể nói đây là hình thức đầu tư an toàn, không thể thiếu được trong danh mục đầu tư của bất kì nhà đầu tư trên thị trường tài chính. Lãi suất ngân hàng được coi là thu nhập tối thiểu, là cơ sở để so sánh với thu nhập của các hình thức đầu tư khác trên thị trường trước khi nhà đầu tư quyết định lựa chọn hình thức đầu tư hợp lý.</w:t>
      </w:r>
    </w:p>
    <w:p w14:paraId="33C051EC" w14:textId="77777777" w:rsidR="00766A84" w:rsidRDefault="00766A84" w:rsidP="00766A84">
      <w:pPr>
        <w:pStyle w:val="NormalWeb"/>
        <w:spacing w:line="360" w:lineRule="auto"/>
        <w:jc w:val="both"/>
        <w:rPr>
          <w:sz w:val="26"/>
          <w:szCs w:val="26"/>
        </w:rPr>
      </w:pPr>
      <w:r>
        <w:rPr>
          <w:sz w:val="26"/>
          <w:szCs w:val="26"/>
        </w:rPr>
        <w:tab/>
        <w:t>Đối với khách hàng, việc nắm giữ quyền sở hữu các chứng chỉ tiền gửi, sổ tiết kiệm, kỳ phiếu, trái phiếu, cũng như các chứng từ có giá khác…ngoài việc được quyền hưởng lãi, họ còn có thể dễ dàng mua bán chuyển nhượng các chứng từ có giá trên thị trường, tạo nên tính thanh khoản cao cho người chủ sở hữu nó. Nhờ vậy khách hàng có thể dễ dàng chuyển đổi các tài sản này thành tiền mặt bất cứ lúc nào, bằng cách cầm cố, chiết khấu cho ngân hàng thương mại hoặc bán lại trên thị trường tiền tệ. Nghiệp vụ huy động vốn của ngân hàng thương mại tạo điều kiện thuận lợi cho khách hàng có thể tiếp cận những tiện ích của các dịch vụ ngân hàng, bảo đảm đáp ứng ngày càng phong phú, đa dạng nhu cầu của khách hàng khi đến giao dịch với ngân hàng thương mại.</w:t>
      </w:r>
    </w:p>
    <w:p w14:paraId="74139270" w14:textId="77777777" w:rsidR="00766A84" w:rsidRDefault="00766A84" w:rsidP="00766A84">
      <w:pPr>
        <w:pStyle w:val="NormalWeb"/>
        <w:spacing w:line="360" w:lineRule="auto"/>
        <w:jc w:val="both"/>
        <w:rPr>
          <w:b/>
          <w:bCs/>
          <w:sz w:val="26"/>
          <w:szCs w:val="26"/>
        </w:rPr>
      </w:pPr>
      <w:r w:rsidRPr="00AC3AC5">
        <w:rPr>
          <w:b/>
          <w:bCs/>
          <w:sz w:val="26"/>
          <w:szCs w:val="26"/>
        </w:rPr>
        <w:t>1.</w:t>
      </w:r>
      <w:r>
        <w:rPr>
          <w:b/>
          <w:bCs/>
          <w:sz w:val="26"/>
          <w:szCs w:val="26"/>
        </w:rPr>
        <w:t>3</w:t>
      </w:r>
      <w:r w:rsidRPr="00AC3AC5">
        <w:rPr>
          <w:b/>
          <w:bCs/>
          <w:sz w:val="26"/>
          <w:szCs w:val="26"/>
        </w:rPr>
        <w:t>.3 Các hình thức của hoạt động huy động vốn</w:t>
      </w:r>
    </w:p>
    <w:p w14:paraId="2DE5CC5F" w14:textId="77777777" w:rsidR="00766A84" w:rsidRPr="003F71D2" w:rsidRDefault="00766A84" w:rsidP="00766A84">
      <w:pPr>
        <w:pStyle w:val="NormalWeb"/>
        <w:spacing w:line="360" w:lineRule="auto"/>
        <w:jc w:val="both"/>
        <w:rPr>
          <w:b/>
          <w:bCs/>
          <w:i/>
          <w:iCs/>
          <w:sz w:val="26"/>
          <w:szCs w:val="26"/>
        </w:rPr>
      </w:pPr>
      <w:r>
        <w:rPr>
          <w:b/>
          <w:bCs/>
          <w:i/>
          <w:iCs/>
          <w:sz w:val="26"/>
          <w:szCs w:val="26"/>
        </w:rPr>
        <w:t xml:space="preserve">   </w:t>
      </w:r>
      <w:r w:rsidRPr="003F71D2">
        <w:rPr>
          <w:b/>
          <w:bCs/>
          <w:i/>
          <w:iCs/>
          <w:sz w:val="26"/>
          <w:szCs w:val="26"/>
        </w:rPr>
        <w:t xml:space="preserve">1.3.3.1 Căn cứ theo đối tượng khách hàng </w:t>
      </w:r>
    </w:p>
    <w:p w14:paraId="63DE31C0" w14:textId="77777777" w:rsidR="00766A84" w:rsidRDefault="00766A84" w:rsidP="00766A84">
      <w:pPr>
        <w:pStyle w:val="NormalWeb"/>
        <w:spacing w:line="360" w:lineRule="auto"/>
        <w:jc w:val="both"/>
        <w:rPr>
          <w:sz w:val="26"/>
          <w:szCs w:val="26"/>
        </w:rPr>
      </w:pPr>
      <w:r>
        <w:rPr>
          <w:b/>
          <w:bCs/>
          <w:sz w:val="26"/>
          <w:szCs w:val="26"/>
        </w:rPr>
        <w:t xml:space="preserve">    - </w:t>
      </w:r>
      <w:r w:rsidRPr="001540B2">
        <w:rPr>
          <w:sz w:val="26"/>
          <w:szCs w:val="26"/>
        </w:rPr>
        <w:t>Hoạt động vốn từ dân cư</w:t>
      </w:r>
      <w:r>
        <w:rPr>
          <w:sz w:val="26"/>
          <w:szCs w:val="26"/>
        </w:rPr>
        <w:t>: Là nguồn tiền gửi quan trọng và có tính ổn định cao, chủ yếu đến từ tiền gửi tiết kiệm và tiền gửi thanh toán của cá nhân. Nhóm này giúp ngân hàng đảm bảo nguồn vốn dồi dào với chi phí huy động hợp lý, đồng thời tạo cơ sở cho các hoạt động tín dụng và đầu tư.</w:t>
      </w:r>
    </w:p>
    <w:p w14:paraId="5E277966" w14:textId="77777777" w:rsidR="00766A84" w:rsidRDefault="00766A84" w:rsidP="00766A84">
      <w:pPr>
        <w:pStyle w:val="NormalWeb"/>
        <w:spacing w:line="360" w:lineRule="auto"/>
        <w:jc w:val="both"/>
        <w:rPr>
          <w:sz w:val="26"/>
          <w:szCs w:val="26"/>
        </w:rPr>
      </w:pPr>
      <w:r>
        <w:rPr>
          <w:sz w:val="26"/>
          <w:szCs w:val="26"/>
        </w:rPr>
        <w:t xml:space="preserve">   - Khách hàng là các tổ chức kinh tế: thường cung cấp một lượng vốn lớn cho mỗi lần giao dịch. Tổng số vốn mà ngân hàng huy động từ nhóm đối tượng khách hàng này thường chiếm tỷ trọng cao trong tổng nguồn vốn mà ngân hàng huy động được. Các tổ chức có thể gửi tiền nhằm mục đích thanh toán hoặc lấy lãi. Thông thường, các tổ chức gửi tiền để thanh toán là chủ yếu nên lượng vốn huy động sẽ không ổn định về mặt thời gian, gây khó khăn </w:t>
      </w:r>
      <w:r>
        <w:rPr>
          <w:sz w:val="26"/>
          <w:szCs w:val="26"/>
        </w:rPr>
        <w:lastRenderedPageBreak/>
        <w:t>trong việc sử dụng vốn của ngân hàng. Tuy nhiên, trong những năm trở lại đây, nhiều tổ chức đã thực hiện gửi tiền có kì hạn đối với lượng tiền nhàn rỗi của mình để hưởng lãi.</w:t>
      </w:r>
    </w:p>
    <w:p w14:paraId="2B69386A" w14:textId="77777777" w:rsidR="00766A84" w:rsidRDefault="00766A84" w:rsidP="00766A84">
      <w:pPr>
        <w:pStyle w:val="NormalWeb"/>
        <w:spacing w:line="360" w:lineRule="auto"/>
        <w:jc w:val="both"/>
        <w:rPr>
          <w:sz w:val="26"/>
          <w:szCs w:val="26"/>
        </w:rPr>
      </w:pPr>
      <w:r>
        <w:rPr>
          <w:sz w:val="26"/>
          <w:szCs w:val="26"/>
        </w:rPr>
        <w:t xml:space="preserve">   - Huy động vốn từ tổ chức tín dụng: bao gồm tiền gửi hoặc thanh toán khoản vay liên ngân hàng. Đây là nguồn vốn hỗ trợ thanh khoản ngắn hạn, giúp ngân hàng điều tiết dòng tiền một cách linh hoạt hơn trong các thời kì biến động tài chính. Tuy nhiên, loại vốn này chịu ảnh hưởng mạnh từ lãi suất liên ngân hàng và chính sách tiền tệ của Ngân hàng Nhà nước.</w:t>
      </w:r>
    </w:p>
    <w:p w14:paraId="7EA605BB" w14:textId="77777777" w:rsidR="00766A84" w:rsidRPr="001304A0" w:rsidRDefault="00766A84" w:rsidP="00766A84">
      <w:pPr>
        <w:pStyle w:val="NormalWeb"/>
        <w:spacing w:line="360" w:lineRule="auto"/>
        <w:jc w:val="both"/>
        <w:rPr>
          <w:b/>
          <w:bCs/>
          <w:i/>
          <w:iCs/>
          <w:sz w:val="26"/>
          <w:szCs w:val="26"/>
        </w:rPr>
      </w:pPr>
      <w:r>
        <w:rPr>
          <w:sz w:val="26"/>
          <w:szCs w:val="26"/>
        </w:rPr>
        <w:t xml:space="preserve">  </w:t>
      </w:r>
      <w:r w:rsidRPr="001304A0">
        <w:rPr>
          <w:b/>
          <w:bCs/>
          <w:i/>
          <w:iCs/>
          <w:sz w:val="26"/>
          <w:szCs w:val="26"/>
        </w:rPr>
        <w:t>1.3.3.2. Căn cứ theo mục đích</w:t>
      </w:r>
    </w:p>
    <w:p w14:paraId="4236E539" w14:textId="77777777" w:rsidR="00766A84" w:rsidRDefault="00766A84" w:rsidP="00766A84">
      <w:pPr>
        <w:pStyle w:val="NormalWeb"/>
        <w:spacing w:line="360" w:lineRule="auto"/>
        <w:jc w:val="both"/>
        <w:rPr>
          <w:sz w:val="26"/>
          <w:szCs w:val="26"/>
        </w:rPr>
      </w:pPr>
      <w:r>
        <w:rPr>
          <w:sz w:val="26"/>
          <w:szCs w:val="26"/>
        </w:rPr>
        <w:t xml:space="preserve">   Nếu phân loại theo mục đích huy động thì bao gồm các hình thức sau:</w:t>
      </w:r>
    </w:p>
    <w:p w14:paraId="4F049326" w14:textId="77777777" w:rsidR="00766A84" w:rsidRDefault="00766A84" w:rsidP="00766A84">
      <w:pPr>
        <w:pStyle w:val="NormalWeb"/>
        <w:spacing w:line="360" w:lineRule="auto"/>
        <w:jc w:val="both"/>
        <w:rPr>
          <w:sz w:val="26"/>
          <w:szCs w:val="26"/>
        </w:rPr>
      </w:pPr>
      <w:r>
        <w:rPr>
          <w:sz w:val="26"/>
          <w:szCs w:val="26"/>
        </w:rPr>
        <w:t xml:space="preserve">   - </w:t>
      </w:r>
      <w:r w:rsidRPr="00D07520">
        <w:rPr>
          <w:i/>
          <w:iCs/>
          <w:sz w:val="26"/>
          <w:szCs w:val="26"/>
        </w:rPr>
        <w:t>Tiền gửi thanh toán</w:t>
      </w:r>
      <w:r>
        <w:rPr>
          <w:sz w:val="26"/>
          <w:szCs w:val="26"/>
        </w:rPr>
        <w:t>: Đây là tiền của doanh nghiệp hoặc cá nhân gửi vào ngân hàng để nhờ ngân hàng giữ và than toán hộ. Trong phạm vi số dư cho phép, ngân hàng sẽ đáp ứng như cầu thanh toán cho khách hàng khi họ có yêu cầu. Nhìn chung lãi suất của loại tiền gửi này rất thấp, nhưng thay vào đó chủ tài khoản có thể được hưởng những dịch vụ ngân hàng với mức chi phí thấp.</w:t>
      </w:r>
    </w:p>
    <w:p w14:paraId="7D8DF1AB" w14:textId="77777777" w:rsidR="00766A84" w:rsidRDefault="00766A84" w:rsidP="00766A84">
      <w:pPr>
        <w:pStyle w:val="NormalWeb"/>
        <w:spacing w:line="360" w:lineRule="auto"/>
        <w:jc w:val="both"/>
        <w:rPr>
          <w:sz w:val="26"/>
          <w:szCs w:val="26"/>
        </w:rPr>
      </w:pPr>
      <w:r>
        <w:rPr>
          <w:sz w:val="26"/>
          <w:szCs w:val="26"/>
        </w:rPr>
        <w:t xml:space="preserve">  - </w:t>
      </w:r>
      <w:r w:rsidRPr="00D07520">
        <w:rPr>
          <w:i/>
          <w:iCs/>
          <w:sz w:val="26"/>
          <w:szCs w:val="26"/>
        </w:rPr>
        <w:t>Tiền gửi tiết kiệm</w:t>
      </w:r>
      <w:r>
        <w:rPr>
          <w:sz w:val="26"/>
          <w:szCs w:val="26"/>
        </w:rPr>
        <w:t>: Đây là hình thức tiền gửi các tầng lớp dân cư có các khoản tiền nhàn rỗi, tích lũy để dành gửi vào ngân hàng với thời gian cụ thể, mục đích sinh lời. Đây là nguồn vốn quan trọng và chủ yếu cho ngân hàng. Thu hút ngày càng nhiều tiền gửi tiết kiệm, các ngân hàng cần mở rộng mạng lưới huy động, phát triển các sản phẩm uy động vốn đa dạng với lãi suất thấp.</w:t>
      </w:r>
    </w:p>
    <w:p w14:paraId="497D174B" w14:textId="77777777" w:rsidR="00766A84" w:rsidRDefault="00766A84" w:rsidP="00766A84">
      <w:pPr>
        <w:pStyle w:val="NormalWeb"/>
        <w:spacing w:line="360" w:lineRule="auto"/>
        <w:jc w:val="both"/>
        <w:rPr>
          <w:sz w:val="26"/>
          <w:szCs w:val="26"/>
        </w:rPr>
      </w:pPr>
      <w:r>
        <w:rPr>
          <w:sz w:val="26"/>
          <w:szCs w:val="26"/>
        </w:rPr>
        <w:t xml:space="preserve">  - </w:t>
      </w:r>
      <w:r w:rsidRPr="00D07520">
        <w:rPr>
          <w:i/>
          <w:iCs/>
          <w:sz w:val="26"/>
          <w:szCs w:val="26"/>
        </w:rPr>
        <w:t>Phát hành giấy tờ có giá</w:t>
      </w:r>
      <w:r>
        <w:rPr>
          <w:sz w:val="26"/>
          <w:szCs w:val="26"/>
        </w:rPr>
        <w:t>: Các giấy tờ có giá là công cụ Nợ do Ngân hàng thương mại phát hành để huy động vốn trên thị trường. Nguồn vốn này tương đối ổn định để sử dụng cho một mục đích nhất định theo nhu cầu kinh doanh của ngân hàng. Lãi suất của hình thức này phụ thuộc vào yêu cầu cấp thiết của việc huy động vốn nên thường cao hơn lãi suất tiền gửi có kì hạn thông thường. Các giấy tờ có giá do Ngân hàng thương mại phát hàng bao gồm kì phiếu, trái phiếu, chứng chỉ tiền gửi.</w:t>
      </w:r>
    </w:p>
    <w:p w14:paraId="5EF380EB" w14:textId="77777777" w:rsidR="00766A84" w:rsidRPr="00C15676" w:rsidRDefault="00766A84" w:rsidP="00766A84">
      <w:pPr>
        <w:pStyle w:val="NormalWeb"/>
        <w:spacing w:line="360" w:lineRule="auto"/>
        <w:jc w:val="both"/>
        <w:rPr>
          <w:b/>
          <w:bCs/>
          <w:i/>
          <w:iCs/>
          <w:sz w:val="26"/>
          <w:szCs w:val="26"/>
        </w:rPr>
      </w:pPr>
      <w:r w:rsidRPr="00C15676">
        <w:rPr>
          <w:b/>
          <w:bCs/>
          <w:i/>
          <w:iCs/>
          <w:sz w:val="26"/>
          <w:szCs w:val="26"/>
        </w:rPr>
        <w:t>1.3.3.3 Căn cứ vào kì hạn</w:t>
      </w:r>
    </w:p>
    <w:p w14:paraId="3EA5AE0F" w14:textId="77777777" w:rsidR="00766A84" w:rsidRDefault="00766A84" w:rsidP="00766A84">
      <w:pPr>
        <w:pStyle w:val="NormalWeb"/>
        <w:spacing w:line="360" w:lineRule="auto"/>
        <w:jc w:val="both"/>
        <w:rPr>
          <w:sz w:val="26"/>
          <w:szCs w:val="26"/>
        </w:rPr>
      </w:pPr>
      <w:r>
        <w:rPr>
          <w:sz w:val="26"/>
          <w:szCs w:val="26"/>
        </w:rPr>
        <w:lastRenderedPageBreak/>
        <w:t xml:space="preserve">  - </w:t>
      </w:r>
      <w:r w:rsidRPr="00975A08">
        <w:rPr>
          <w:i/>
          <w:iCs/>
          <w:sz w:val="26"/>
          <w:szCs w:val="26"/>
        </w:rPr>
        <w:t>Huy động vốn không kì hạn</w:t>
      </w:r>
      <w:r>
        <w:rPr>
          <w:sz w:val="26"/>
          <w:szCs w:val="26"/>
        </w:rPr>
        <w:t>: Huy động vốn không kì hạn là hình thức ngân hàng thương mại nhận tiền gửi của khách hàng mà không xác định thời gian rút tiền. Người gửi có thể rút tiền bất cứ lúc nào mà không cần báo trước, tuy nhiên lãi suất thường thấp hơn so với tiền guiwr có kì hạn. Loại tiền gửi này chủ yếu phục vụ nhu cầu thanh toán và giao dịch thường xuyên của khách hàng.</w:t>
      </w:r>
    </w:p>
    <w:p w14:paraId="7513447F" w14:textId="77777777" w:rsidR="00766A84" w:rsidRDefault="00766A84" w:rsidP="00766A84">
      <w:pPr>
        <w:pStyle w:val="NormalWeb"/>
        <w:spacing w:line="360" w:lineRule="auto"/>
        <w:jc w:val="both"/>
        <w:rPr>
          <w:sz w:val="26"/>
          <w:szCs w:val="26"/>
        </w:rPr>
      </w:pPr>
      <w:r>
        <w:rPr>
          <w:sz w:val="26"/>
          <w:szCs w:val="26"/>
        </w:rPr>
        <w:t xml:space="preserve">  - </w:t>
      </w:r>
      <w:r w:rsidRPr="00975A08">
        <w:rPr>
          <w:i/>
          <w:iCs/>
          <w:sz w:val="26"/>
          <w:szCs w:val="26"/>
        </w:rPr>
        <w:t>Huy động vốn có kì hạn</w:t>
      </w:r>
      <w:r>
        <w:rPr>
          <w:sz w:val="26"/>
          <w:szCs w:val="26"/>
        </w:rPr>
        <w:t xml:space="preserve">: Huy động vốn có kì hạn là hình thức Ngân hàng thương mại huy động tiền gửi từ khách hàng với một thời gian xác định trước. Dựa vào thời gian huy động, có thể chia thành: </w:t>
      </w:r>
    </w:p>
    <w:p w14:paraId="7F37AE2D" w14:textId="77777777" w:rsidR="00766A84" w:rsidRDefault="00766A84" w:rsidP="00766A84">
      <w:pPr>
        <w:pStyle w:val="NormalWeb"/>
        <w:spacing w:line="360" w:lineRule="auto"/>
        <w:jc w:val="both"/>
        <w:rPr>
          <w:sz w:val="26"/>
          <w:szCs w:val="26"/>
        </w:rPr>
      </w:pPr>
      <w:r>
        <w:rPr>
          <w:sz w:val="26"/>
          <w:szCs w:val="26"/>
        </w:rPr>
        <w:t xml:space="preserve">     Có thời hạn dưới 12 tháng: chủ yếu bao gồm tiền gửi có kì hạn ngắn và các công cụ nợ ngắn hạn như chứng chỉ tiền gửi ngắn hạn, kì phiếu ngân hàng. Nguồn vốn này thường được sử dụng để tài trợ cho khác khoản tín dụng ngắn hạn, phục vụ nhu cầu vốn lưu động của doanh nghiệp và cá nhân.</w:t>
      </w:r>
    </w:p>
    <w:p w14:paraId="1621DFDF" w14:textId="77777777" w:rsidR="00766A84" w:rsidRDefault="00766A84" w:rsidP="00766A84">
      <w:pPr>
        <w:pStyle w:val="NormalWeb"/>
        <w:spacing w:line="360" w:lineRule="auto"/>
        <w:jc w:val="both"/>
        <w:rPr>
          <w:sz w:val="26"/>
          <w:szCs w:val="26"/>
        </w:rPr>
      </w:pPr>
      <w:r>
        <w:rPr>
          <w:sz w:val="26"/>
          <w:szCs w:val="26"/>
        </w:rPr>
        <w:t xml:space="preserve">     Có thời hạn từ 12 tháng trở lên: được huy động thông qua tiền gửi có kì hạn dài, phát hành trái phiếu ngân hàng hoặc các công cụ nợ dài hạn khác. Đây là nguồn vốn ổn định, giúp ngân hàng cân đối nguồn vốn và cấp tín dụng trung, dài hạn cho các dự án đầu tư phát triển.</w:t>
      </w:r>
    </w:p>
    <w:p w14:paraId="2C963AAA" w14:textId="77777777" w:rsidR="00766A84" w:rsidRPr="009470C5" w:rsidRDefault="00766A84" w:rsidP="00766A84">
      <w:pPr>
        <w:pStyle w:val="NormalWeb"/>
        <w:spacing w:line="360" w:lineRule="auto"/>
        <w:jc w:val="both"/>
        <w:rPr>
          <w:b/>
          <w:bCs/>
          <w:i/>
          <w:iCs/>
          <w:sz w:val="26"/>
          <w:szCs w:val="26"/>
        </w:rPr>
      </w:pPr>
      <w:r w:rsidRPr="009470C5">
        <w:rPr>
          <w:b/>
          <w:bCs/>
          <w:i/>
          <w:iCs/>
          <w:sz w:val="26"/>
          <w:szCs w:val="26"/>
        </w:rPr>
        <w:t>1.3.3.4 Căn cứ vào loại tiền huy động</w:t>
      </w:r>
    </w:p>
    <w:p w14:paraId="1A555EA2" w14:textId="77777777" w:rsidR="00766A84" w:rsidRDefault="00766A84" w:rsidP="00766A84">
      <w:pPr>
        <w:pStyle w:val="NormalWeb"/>
        <w:spacing w:line="360" w:lineRule="auto"/>
        <w:jc w:val="both"/>
        <w:rPr>
          <w:sz w:val="26"/>
          <w:szCs w:val="26"/>
        </w:rPr>
      </w:pPr>
      <w:r>
        <w:rPr>
          <w:sz w:val="26"/>
          <w:szCs w:val="26"/>
        </w:rPr>
        <w:t xml:space="preserve">  - Huy động bằng nội tệ: Ngân hàng huy động vốn bằng nội tệ thông qua tất cả các hình thức huy động vốn khác nhau với các mục đích sử dụng khác nhau. Trong các nguồn vốn ngân hàng huy động thì nguồn vốn huy động bằng nội tệ thường chiếm tỷ trọng cao, đáp ứng các nhu cầu về sử dụng vốn của ngân hàng.</w:t>
      </w:r>
    </w:p>
    <w:p w14:paraId="581C1C48" w14:textId="77777777" w:rsidR="00766A84" w:rsidRDefault="00766A84" w:rsidP="00766A84">
      <w:pPr>
        <w:pStyle w:val="NormalWeb"/>
        <w:spacing w:line="360" w:lineRule="auto"/>
        <w:jc w:val="both"/>
        <w:rPr>
          <w:sz w:val="26"/>
          <w:szCs w:val="26"/>
        </w:rPr>
      </w:pPr>
      <w:r>
        <w:rPr>
          <w:sz w:val="26"/>
          <w:szCs w:val="26"/>
        </w:rPr>
        <w:t xml:space="preserve">  - Huy động bằng ngoại tệ: Ngoài huy động vốn bằng nội tệ, Ngân hàng thương mại huy động vốn bằng ngoại tệ nhằm đáp ứng nhu cầu thanh toán quốc tế cũng như các hoạt động kinh doanh ngoại tệ. </w:t>
      </w:r>
    </w:p>
    <w:p w14:paraId="415E920E" w14:textId="77777777" w:rsidR="00766A84" w:rsidRDefault="00766A84" w:rsidP="00766A84">
      <w:pPr>
        <w:pStyle w:val="NormalWeb"/>
        <w:spacing w:line="360" w:lineRule="auto"/>
        <w:jc w:val="both"/>
        <w:rPr>
          <w:b/>
          <w:bCs/>
          <w:sz w:val="26"/>
          <w:szCs w:val="26"/>
        </w:rPr>
      </w:pPr>
      <w:r w:rsidRPr="00A96E69">
        <w:rPr>
          <w:b/>
          <w:bCs/>
          <w:sz w:val="26"/>
          <w:szCs w:val="26"/>
        </w:rPr>
        <w:t>1.4 HOẠT ĐỘNG HUY ĐỘNG VỐN ĐỐI VỚI KHÁCH HÀNG CÁ NHÂN TẠI NGÂN HÀNG THƯƠNG MẠI</w:t>
      </w:r>
    </w:p>
    <w:p w14:paraId="6415E745" w14:textId="77777777" w:rsidR="00766A84" w:rsidRDefault="00766A84" w:rsidP="00766A84">
      <w:pPr>
        <w:pStyle w:val="NormalWeb"/>
        <w:spacing w:line="360" w:lineRule="auto"/>
        <w:jc w:val="both"/>
        <w:rPr>
          <w:b/>
          <w:bCs/>
          <w:sz w:val="26"/>
          <w:szCs w:val="26"/>
        </w:rPr>
      </w:pPr>
      <w:r>
        <w:rPr>
          <w:b/>
          <w:bCs/>
          <w:sz w:val="26"/>
          <w:szCs w:val="26"/>
        </w:rPr>
        <w:lastRenderedPageBreak/>
        <w:t>1.4.1 Khái niệm về hoạt động huy động vốn đối với khách hàng cá nhân tại ngân hàng thương mại.</w:t>
      </w:r>
    </w:p>
    <w:p w14:paraId="37562725" w14:textId="77777777" w:rsidR="00766A84" w:rsidRDefault="00766A84" w:rsidP="00766A84">
      <w:pPr>
        <w:pStyle w:val="NormalWeb"/>
        <w:spacing w:line="360" w:lineRule="auto"/>
        <w:ind w:firstLine="720"/>
        <w:jc w:val="both"/>
      </w:pPr>
      <w:r>
        <w:rPr>
          <w:sz w:val="26"/>
          <w:szCs w:val="26"/>
        </w:rPr>
        <w:t xml:space="preserve">Hoạt động huy động vốn đối với khách hàng cá nhân tại ngân hàng thương mại là việc ngân hàng thu hút và nhận các khoản tiền nhàn rỗi của các cá nhân trong nền kinh tế (người dân, hộ gia đình) thông qua các sản phẩm và kênh huy động phù hợp, trên nguyên tắc hoàn trả đầy đủ tiền gốc và lãi theo thỏa thuận, nhằm tạo lập nguồn vốn ổn định phục vụ hoạt động kinh doanh của ngân hàng. </w:t>
      </w:r>
    </w:p>
    <w:p w14:paraId="7F28918D" w14:textId="77777777" w:rsidR="00766A84" w:rsidRDefault="00766A84" w:rsidP="00766A84">
      <w:pPr>
        <w:pStyle w:val="NormalWeb"/>
        <w:spacing w:line="360" w:lineRule="auto"/>
        <w:ind w:firstLine="720"/>
        <w:jc w:val="both"/>
        <w:rPr>
          <w:sz w:val="26"/>
          <w:szCs w:val="26"/>
        </w:rPr>
      </w:pPr>
      <w:r>
        <w:rPr>
          <w:sz w:val="26"/>
          <w:szCs w:val="26"/>
        </w:rPr>
        <w:t xml:space="preserve">Về phương diện pháp lý, hoạt động huy động vốn từ khách hàng cá nhân chủ yếu được thực hiện dưới hình thức nhận tiền gửi. Theo </w:t>
      </w:r>
      <w:r>
        <w:rPr>
          <w:i/>
          <w:iCs/>
          <w:sz w:val="26"/>
          <w:szCs w:val="26"/>
        </w:rPr>
        <w:t>Luật các tổ chức tín dụng năm 2024 sửa đổi bổ sung năm 2025</w:t>
      </w:r>
      <w:r>
        <w:rPr>
          <w:sz w:val="26"/>
          <w:szCs w:val="26"/>
        </w:rPr>
        <w:t>, “nhận tiền gửi” là hoạt động nhận tiền của tổ chức, cá nhân dưới hình thức tiền gửi không kỳ hạn, tiền gửi có kỳ hạn, tiền gửi tiết kiệm, phát hành chứng chỉ tiền gửi và các hình thức nhận tiền gửi khác theo nguyên tắc có hoàn trả đầy đủ tiền gốc, lãi theo thỏa thuận cho người gửi tiền. Quy định này là cơ sở để xác định nội hàm huy động vốn từ khách hàng cá nhân tại ngân hàng thương mại.</w:t>
      </w:r>
      <w:r>
        <w:t xml:space="preserve"> </w:t>
      </w:r>
      <w:r>
        <w:rPr>
          <w:sz w:val="26"/>
          <w:szCs w:val="26"/>
        </w:rPr>
        <w:t>Trong thực tiễn, huy động vốn đối với khách hàng cá nhân bao gồm việc ngân hàng phát triển và cung ứng các sản phẩm như tiền gửi thanh toán (không kỳ hạn), tiền gửi tiết kiệm và tiền gửi có kỳ hạn, cũng như huy động thông qua phát hành giấy tờ có giá bán cho cá nhân (ví dụ chứng chỉ tiền gửi). So với huy động từ tổ chức, nguồn vốn từ khách hàng cá nhân thường có quy mô giao dịch nhỏ hơn nhưng có xu hướng ổn định và phân tán rủi ro tốt hơn; đồng thời chịu tác động đáng kể bởi lãi suất, chất lượng dịch vụ, mức độ thuận tiện của kênh giao dịch và uy tín thương hiệu của ngân hàng.</w:t>
      </w:r>
    </w:p>
    <w:p w14:paraId="5264C9A1" w14:textId="77777777" w:rsidR="00766A84" w:rsidRDefault="00766A84" w:rsidP="00766A84">
      <w:pPr>
        <w:pStyle w:val="NormalWeb"/>
        <w:spacing w:line="360" w:lineRule="auto"/>
        <w:jc w:val="both"/>
        <w:rPr>
          <w:b/>
          <w:bCs/>
          <w:sz w:val="26"/>
          <w:szCs w:val="26"/>
        </w:rPr>
      </w:pPr>
      <w:r w:rsidRPr="000E375A">
        <w:rPr>
          <w:b/>
          <w:bCs/>
          <w:sz w:val="26"/>
          <w:szCs w:val="26"/>
        </w:rPr>
        <w:t>1.4.2 Vai trò của hoạt động huy động vốn đối với khách hàng cá nhân tại ngân hàng thương mại</w:t>
      </w:r>
    </w:p>
    <w:p w14:paraId="7F98059E" w14:textId="77777777" w:rsidR="00766A84" w:rsidRDefault="00766A84" w:rsidP="00766A84">
      <w:pPr>
        <w:pStyle w:val="NormalWeb"/>
        <w:spacing w:line="360" w:lineRule="auto"/>
        <w:ind w:firstLine="720"/>
        <w:jc w:val="both"/>
      </w:pPr>
      <w:r>
        <w:rPr>
          <w:sz w:val="26"/>
          <w:szCs w:val="26"/>
        </w:rPr>
        <w:t xml:space="preserve">Hoạt động huy động vốn đối với khách hàng cá nhân có vai trò quan trọng đối với ngân hàng thương mại vì góp phần tạo lập nguồn vốn tương đối ổn định và phân tán, giúp ngân hàng đa dạng hóa cơ cấu nguồn vốn, cải thiện khả năng thanh khoản và cân đối kỳ hạn giữa nguồn vốn – sử dụng vốn. Đồng thời, việc gia tăng tập khách hàng cá nhân và tỷ trọng tiền gửi thanh toán (CASA) hỗ trợ giảm chi phí vốn bình quân, tạo điều kiện phát </w:t>
      </w:r>
      <w:r>
        <w:rPr>
          <w:sz w:val="26"/>
          <w:szCs w:val="26"/>
        </w:rPr>
        <w:lastRenderedPageBreak/>
        <w:t xml:space="preserve">triển quan hệ khách hàng và bán chéo sản phẩm, qua đó nâng cao hiệu quả kinh doanh và năng lực cạnh tranh của ngân hàng </w:t>
      </w:r>
    </w:p>
    <w:p w14:paraId="061C8054" w14:textId="77777777" w:rsidR="00766A84" w:rsidRDefault="00766A84" w:rsidP="00766A84">
      <w:pPr>
        <w:pStyle w:val="NormalWeb"/>
        <w:spacing w:line="360" w:lineRule="auto"/>
        <w:ind w:firstLine="720"/>
        <w:jc w:val="both"/>
        <w:rPr>
          <w:sz w:val="26"/>
          <w:szCs w:val="26"/>
        </w:rPr>
      </w:pPr>
      <w:r>
        <w:rPr>
          <w:sz w:val="26"/>
          <w:szCs w:val="26"/>
        </w:rPr>
        <w:t xml:space="preserve">Đối với khách hàng cá nhân, đây là kênh gửi tiền an toàn và sinh lời, đồng thời giúp khách hàng tiếp cận các tiện ích thanh toán và ngân hàng số; quyền lợi người gửi tiền được bảo đảm theo nguyên tắc hoàn trả gốc, lãi khi ngân hàng “nhận tiền gửi” theo </w:t>
      </w:r>
      <w:r>
        <w:rPr>
          <w:i/>
          <w:iCs/>
          <w:sz w:val="26"/>
          <w:szCs w:val="26"/>
        </w:rPr>
        <w:t>Luật các tổ chức tín dụng năm 2024 sửa đổi bổ sung năm 2025</w:t>
      </w:r>
      <w:r>
        <w:rPr>
          <w:sz w:val="26"/>
          <w:szCs w:val="26"/>
        </w:rPr>
        <w:t>. Ở tầm vĩ mô, huy động vốn từ dân cư giúp tập trung các khoản tiết kiệm nhỏ lẻ thành nguồn vốn cho đầu tư, sản xuất - kinh doanh và tiêu dùng, qua đó hỗ trợ quá trình phân bổ nguồn lực và phát triển kinh tế.</w:t>
      </w:r>
    </w:p>
    <w:p w14:paraId="0E73C8CC" w14:textId="77777777" w:rsidR="00766A84" w:rsidRDefault="00766A84" w:rsidP="00766A84">
      <w:pPr>
        <w:pStyle w:val="NormalWeb"/>
        <w:spacing w:line="360" w:lineRule="auto"/>
        <w:jc w:val="both"/>
        <w:rPr>
          <w:b/>
          <w:bCs/>
          <w:sz w:val="26"/>
          <w:szCs w:val="26"/>
        </w:rPr>
      </w:pPr>
      <w:r w:rsidRPr="00983376">
        <w:rPr>
          <w:b/>
          <w:bCs/>
          <w:sz w:val="26"/>
          <w:szCs w:val="26"/>
        </w:rPr>
        <w:t>1.4.3 Đặc điểm của hoạt động huy động vốn đối với khách hàng cá nhân tại ngân hàng thương mại</w:t>
      </w:r>
    </w:p>
    <w:p w14:paraId="0AEAE905" w14:textId="77777777" w:rsidR="00766A84" w:rsidRPr="00703404" w:rsidRDefault="00766A84" w:rsidP="00766A84">
      <w:pPr>
        <w:spacing w:line="360" w:lineRule="auto"/>
        <w:ind w:firstLine="720"/>
        <w:jc w:val="both"/>
        <w:rPr>
          <w:rFonts w:ascii="Times New Roman" w:hAnsi="Times New Roman" w:cs="Times New Roman"/>
        </w:rPr>
      </w:pPr>
      <w:r w:rsidRPr="00703404">
        <w:rPr>
          <w:rFonts w:ascii="Times New Roman" w:hAnsi="Times New Roman" w:cs="Times New Roman"/>
          <w:sz w:val="26"/>
          <w:szCs w:val="26"/>
        </w:rPr>
        <w:t>Hoạt động huy động vốn đối với khách hàng cá nhân có một số đặc điểm nổi bật so với huy động vốn từ tổ chức.</w:t>
      </w:r>
    </w:p>
    <w:p w14:paraId="70FA0D0D" w14:textId="77777777" w:rsidR="00766A84" w:rsidRDefault="00766A84" w:rsidP="00766A84">
      <w:pPr>
        <w:spacing w:line="360" w:lineRule="auto"/>
        <w:ind w:firstLine="720"/>
        <w:jc w:val="both"/>
      </w:pPr>
      <w:r>
        <w:rPr>
          <w:rFonts w:ascii="Times New Roman" w:hAnsi="Times New Roman" w:cs="Times New Roman"/>
          <w:sz w:val="26"/>
          <w:szCs w:val="26"/>
        </w:rPr>
        <w:t>Thứ nhất, nguồn vốn được hình thành từ số lượng lớn khách hàng với quy mô mỗi khoản tiền gửi thường không lớn, vì vậy tính phân tán cao và góp phần giảm rủi ro tập trung cho ngân hàng. Đặc điểm này giúp ngân hàng hạn chế sự phụ thuộc vào một vài khách hàng lớn và tăng mức độ ổn định tương đối của nguồn vốn khi có biến động ở một nhóm khách hàng nhất định. Tuy nhiên, do số lượng giao dịch lớn, ngân hàng cần hệ thống vận hành và quản trị dữ liệu khách hàng tốt để theo dõi hành vi gửi – rút và dự báo dòng tiền chính xác.</w:t>
      </w:r>
    </w:p>
    <w:p w14:paraId="43D39A51" w14:textId="77777777" w:rsidR="00766A84" w:rsidRDefault="00766A84" w:rsidP="00766A84">
      <w:pPr>
        <w:spacing w:line="360" w:lineRule="auto"/>
        <w:ind w:firstLine="720"/>
        <w:jc w:val="both"/>
      </w:pPr>
      <w:r>
        <w:rPr>
          <w:rFonts w:ascii="Times New Roman" w:hAnsi="Times New Roman" w:cs="Times New Roman"/>
          <w:sz w:val="26"/>
          <w:szCs w:val="26"/>
        </w:rPr>
        <w:t>Thứ hai, tiền gửi cá nhân nhìn chung có xu hướng ổn định hơn theo thời gian, song lại khá nhạy cảm với lãi suất, uy tín thương hiệu và chất lượng dịch vụ, đặc biệt trong bối cảnh cạnh tranh và khả năng dịch chuyển tiền gửi ngày càng thuận tiện. Khi mặt bằng lãi suất thay đổi hoặc xuất hiện các chương trình ưu đãi trên thị trường, dòng tiền gửi của khách hàng cá nhân có thể dịch chuyển nhanh giữa các ngân hàng hoặc sang các kênh đầu tư khác. Do đó, ngoài chính sách lãi suất, ngân hàng cần chú trọng trải nghiệm khách hàng, mức độ thuận tiện của kênh giao dịch và truyền thông minh bạch để duy trì niềm tin và sự gắn bó.</w:t>
      </w:r>
    </w:p>
    <w:p w14:paraId="27D3F32A" w14:textId="77777777" w:rsidR="00766A84" w:rsidRDefault="00766A84" w:rsidP="00766A84">
      <w:pPr>
        <w:spacing w:line="360" w:lineRule="auto"/>
        <w:ind w:firstLine="720"/>
        <w:jc w:val="both"/>
      </w:pPr>
      <w:r>
        <w:rPr>
          <w:rFonts w:ascii="Times New Roman" w:hAnsi="Times New Roman" w:cs="Times New Roman"/>
          <w:sz w:val="26"/>
          <w:szCs w:val="26"/>
        </w:rPr>
        <w:t xml:space="preserve">Thứ ba, do tần suất giao dịch và yêu cầu phục vụ lớn, chi phí khai thác và chăm sóc phân khúc khách hàng cá nhân thường cao hơn, đòi hỏi ngân hàng phải phát triển mạng </w:t>
      </w:r>
      <w:r>
        <w:rPr>
          <w:rFonts w:ascii="Times New Roman" w:hAnsi="Times New Roman" w:cs="Times New Roman"/>
          <w:sz w:val="26"/>
          <w:szCs w:val="26"/>
        </w:rPr>
        <w:lastRenderedPageBreak/>
        <w:t>lưới, chuẩn hóa quy trình và đẩy mạnh ngân hàng số để gia tăng trải nghiệm khách hàng. Việc đầu tư công nghệ, tự động hóa quy trình mở tài khoản, gửi tiết kiệm trực tuyến, chăm sóc khách hàng đa kênh… giúp ngân hàng mở rộng khả năng tiếp cận, giảm chi phí phục vụ trên mỗi khách hàng và tăng tốc độ xử lý giao dịch. Đồng thời, ngân hàng cũng cần tăng cường quản trị rủi ro vận hành và an ninh thông tin vì quy mô giao dịch lớn thường đi kèm rủi ro gian lận và rủi ro hệ thống.</w:t>
      </w:r>
    </w:p>
    <w:p w14:paraId="09244EA7" w14:textId="77777777" w:rsidR="00766A84" w:rsidRDefault="00766A84" w:rsidP="00766A84">
      <w:pPr>
        <w:spacing w:line="360" w:lineRule="auto"/>
        <w:ind w:firstLine="720"/>
        <w:jc w:val="both"/>
        <w:rPr>
          <w:rFonts w:ascii="Times New Roman" w:hAnsi="Times New Roman" w:cs="Times New Roman"/>
          <w:sz w:val="26"/>
          <w:szCs w:val="26"/>
        </w:rPr>
      </w:pPr>
      <w:r>
        <w:rPr>
          <w:rFonts w:ascii="Times New Roman" w:hAnsi="Times New Roman" w:cs="Times New Roman"/>
          <w:sz w:val="26"/>
          <w:szCs w:val="26"/>
        </w:rPr>
        <w:t>Thứ tư, huy động vốn từ khách hàng cá nhân gắn chặt với tiền gửi thanh toán và tỷ trọng CASA, qua đó ảnh hưởng đáng kể đến chi phí vốn bình quân và hiệu quả kinh doanh của ngân hàng thương mại. Nếu ngân hàng gia tăng được CASA, chi phí vốn thường giảm, tạo dư địa cải thiện biên lãi ròng và nâng cao khả năng cạnh tranh về giá đối với hoạt động tín dụng. Mặt khác, tiền gửi thanh toán cũng phụ thuộc vào mức độ gắn kết trong sử dụng dịch vụ (thẻ, chuyển tiền, thanh toán hóa đơn…), vì vậy ngân hàng cần phát triển hệ sinh thái dịch vụ và chính sách chăm sóc khách hàng phù hợp để duy trì số dư và tăng tính bền vững của nguồn vốn.</w:t>
      </w:r>
    </w:p>
    <w:p w14:paraId="50EA1F94" w14:textId="77777777" w:rsidR="00766A84" w:rsidRDefault="00766A84" w:rsidP="00766A84">
      <w:pPr>
        <w:spacing w:line="360" w:lineRule="auto"/>
        <w:jc w:val="both"/>
        <w:rPr>
          <w:rFonts w:ascii="Times New Roman" w:hAnsi="Times New Roman" w:cs="Times New Roman"/>
          <w:b/>
          <w:bCs/>
          <w:sz w:val="26"/>
          <w:szCs w:val="26"/>
        </w:rPr>
      </w:pPr>
      <w:r w:rsidRPr="00C30BC5">
        <w:rPr>
          <w:rFonts w:ascii="Times New Roman" w:hAnsi="Times New Roman" w:cs="Times New Roman"/>
          <w:b/>
          <w:bCs/>
          <w:sz w:val="26"/>
          <w:szCs w:val="26"/>
        </w:rPr>
        <w:t>1.4.4 Phân loại hoạt động huy động vốn đối với khách hàng cá nhân tại ngân hàng thương mại</w:t>
      </w:r>
    </w:p>
    <w:p w14:paraId="40CA5279" w14:textId="77777777" w:rsidR="00766A84" w:rsidRDefault="00766A84" w:rsidP="00766A84">
      <w:pPr>
        <w:spacing w:line="360" w:lineRule="auto"/>
        <w:jc w:val="both"/>
        <w:rPr>
          <w:rFonts w:ascii="Times New Roman" w:hAnsi="Times New Roman" w:cs="Times New Roman"/>
          <w:i/>
          <w:iCs/>
          <w:sz w:val="26"/>
          <w:szCs w:val="26"/>
        </w:rPr>
      </w:pPr>
      <w:r w:rsidRPr="006636C3">
        <w:rPr>
          <w:rFonts w:ascii="Times New Roman" w:hAnsi="Times New Roman" w:cs="Times New Roman"/>
          <w:i/>
          <w:iCs/>
          <w:sz w:val="26"/>
          <w:szCs w:val="26"/>
        </w:rPr>
        <w:t>a) Phân loại theo kỳ hạn huy động vốn</w:t>
      </w:r>
    </w:p>
    <w:p w14:paraId="2CCAC067" w14:textId="77777777" w:rsidR="00766A84" w:rsidRPr="00586B7C" w:rsidRDefault="00766A84" w:rsidP="00766A84">
      <w:pPr>
        <w:spacing w:line="360" w:lineRule="auto"/>
        <w:ind w:firstLine="720"/>
        <w:jc w:val="both"/>
        <w:rPr>
          <w:rFonts w:ascii="Times New Roman" w:hAnsi="Times New Roman" w:cs="Times New Roman"/>
          <w:sz w:val="26"/>
          <w:szCs w:val="26"/>
        </w:rPr>
      </w:pPr>
      <w:r w:rsidRPr="00586B7C">
        <w:rPr>
          <w:rFonts w:ascii="Times New Roman" w:hAnsi="Times New Roman" w:cs="Times New Roman"/>
          <w:sz w:val="26"/>
          <w:szCs w:val="26"/>
        </w:rPr>
        <w:t>Huy động vốn không kỳ hạn: là các khoản tiền gửi mà khách hàng cá nhân có thể rút ra bất cứ lúc nào, chủ yếu phục vụ nhu cầu thanh toán. Loại vốn này có chi phí thấp nhưng tính ổn định không cao.</w:t>
      </w:r>
    </w:p>
    <w:p w14:paraId="7943FE17" w14:textId="77777777" w:rsidR="00766A84" w:rsidRPr="00016FBC" w:rsidRDefault="00766A84" w:rsidP="00766A84">
      <w:pPr>
        <w:spacing w:line="360" w:lineRule="auto"/>
        <w:ind w:firstLine="720"/>
        <w:jc w:val="both"/>
        <w:rPr>
          <w:rFonts w:ascii="Times New Roman" w:hAnsi="Times New Roman" w:cs="Times New Roman"/>
          <w:sz w:val="26"/>
          <w:szCs w:val="26"/>
        </w:rPr>
      </w:pPr>
      <w:r w:rsidRPr="00016FBC">
        <w:rPr>
          <w:rFonts w:ascii="Times New Roman" w:hAnsi="Times New Roman" w:cs="Times New Roman"/>
          <w:sz w:val="26"/>
          <w:szCs w:val="26"/>
        </w:rPr>
        <w:t>Huy động vốn có kỳ hạn: là các khoản tiền gửi được thỏa thuận trong một khoảng thời gian xác định như 1 tháng, 3 tháng, 6 tháng, 12 tháng hoặc dài hơn. Đây là nguồn vốn có tính ổn định cao, giúp ngân hàng chủ động trong việc sử dụng vốn.</w:t>
      </w:r>
    </w:p>
    <w:p w14:paraId="4077ADEB" w14:textId="77777777" w:rsidR="00766A84" w:rsidRPr="00BE0AC7" w:rsidRDefault="00766A84" w:rsidP="00766A84">
      <w:pPr>
        <w:spacing w:line="360" w:lineRule="auto"/>
        <w:jc w:val="both"/>
        <w:rPr>
          <w:rFonts w:ascii="Times New Roman" w:hAnsi="Times New Roman" w:cs="Times New Roman"/>
          <w:i/>
          <w:iCs/>
          <w:sz w:val="26"/>
          <w:szCs w:val="26"/>
        </w:rPr>
      </w:pPr>
      <w:r w:rsidRPr="00BE0AC7">
        <w:rPr>
          <w:rFonts w:ascii="Times New Roman" w:hAnsi="Times New Roman" w:cs="Times New Roman"/>
          <w:i/>
          <w:iCs/>
          <w:sz w:val="26"/>
          <w:szCs w:val="26"/>
        </w:rPr>
        <w:t>b) Phân loại theo hình thức huy động vốn</w:t>
      </w:r>
    </w:p>
    <w:p w14:paraId="4A57EA0F" w14:textId="77777777" w:rsidR="00766A84" w:rsidRPr="00885A44" w:rsidRDefault="00766A84" w:rsidP="00766A84">
      <w:pPr>
        <w:spacing w:line="360" w:lineRule="auto"/>
        <w:ind w:firstLine="720"/>
        <w:jc w:val="both"/>
        <w:rPr>
          <w:rFonts w:ascii="Times New Roman" w:hAnsi="Times New Roman" w:cs="Times New Roman"/>
          <w:sz w:val="26"/>
          <w:szCs w:val="26"/>
        </w:rPr>
      </w:pPr>
      <w:r w:rsidRPr="00885A44">
        <w:rPr>
          <w:rFonts w:ascii="Times New Roman" w:hAnsi="Times New Roman" w:cs="Times New Roman"/>
          <w:sz w:val="26"/>
          <w:szCs w:val="26"/>
        </w:rPr>
        <w:t>Tiền gửi thanh toán: khách hàng gửi tiền nhằm mục đích chi tiêu, giao dịch và thanh toán.</w:t>
      </w:r>
    </w:p>
    <w:p w14:paraId="29BB2B8D" w14:textId="77777777" w:rsidR="00766A84" w:rsidRPr="00A56506" w:rsidRDefault="00766A84" w:rsidP="00766A84">
      <w:pPr>
        <w:spacing w:line="360" w:lineRule="auto"/>
        <w:ind w:firstLine="720"/>
        <w:jc w:val="both"/>
        <w:rPr>
          <w:rFonts w:ascii="Times New Roman" w:hAnsi="Times New Roman" w:cs="Times New Roman"/>
          <w:sz w:val="26"/>
          <w:szCs w:val="26"/>
        </w:rPr>
      </w:pPr>
      <w:r w:rsidRPr="00A56506">
        <w:rPr>
          <w:rFonts w:ascii="Times New Roman" w:hAnsi="Times New Roman" w:cs="Times New Roman"/>
          <w:sz w:val="26"/>
          <w:szCs w:val="26"/>
        </w:rPr>
        <w:lastRenderedPageBreak/>
        <w:t>Tiền gửi tiết kiệm: khách hàng gửi tiền với mục đích sinh lời, bao gồm tiết kiệm không kỳ hạn và tiết kiệm có kỳ hạn.</w:t>
      </w:r>
    </w:p>
    <w:p w14:paraId="0C827B7F" w14:textId="77777777" w:rsidR="00766A84" w:rsidRPr="00A56506" w:rsidRDefault="00766A84" w:rsidP="00766A84">
      <w:pPr>
        <w:spacing w:line="360" w:lineRule="auto"/>
        <w:ind w:firstLine="720"/>
        <w:jc w:val="both"/>
        <w:rPr>
          <w:rFonts w:ascii="Times New Roman" w:hAnsi="Times New Roman" w:cs="Times New Roman"/>
          <w:sz w:val="26"/>
          <w:szCs w:val="26"/>
        </w:rPr>
      </w:pPr>
      <w:r w:rsidRPr="00A56506">
        <w:rPr>
          <w:rFonts w:ascii="Times New Roman" w:hAnsi="Times New Roman" w:cs="Times New Roman"/>
          <w:sz w:val="26"/>
          <w:szCs w:val="26"/>
        </w:rPr>
        <w:t>Giấy tờ có giá: ngân hàng phát hành các công cụ như chứng chỉ tiền gửi, kỳ phiếu cho khách hàng cá nhân.</w:t>
      </w:r>
    </w:p>
    <w:p w14:paraId="04C85E41" w14:textId="77777777" w:rsidR="00766A84" w:rsidRPr="00BE0AC7" w:rsidRDefault="00766A84" w:rsidP="00766A84">
      <w:pPr>
        <w:spacing w:line="360" w:lineRule="auto"/>
        <w:jc w:val="both"/>
        <w:rPr>
          <w:rFonts w:ascii="Times New Roman" w:hAnsi="Times New Roman" w:cs="Times New Roman"/>
          <w:i/>
          <w:iCs/>
          <w:sz w:val="26"/>
          <w:szCs w:val="26"/>
        </w:rPr>
      </w:pPr>
      <w:r w:rsidRPr="00BE0AC7">
        <w:rPr>
          <w:rFonts w:ascii="Times New Roman" w:hAnsi="Times New Roman" w:cs="Times New Roman"/>
          <w:i/>
          <w:iCs/>
          <w:sz w:val="26"/>
          <w:szCs w:val="26"/>
        </w:rPr>
        <w:t>c) Phân loại theo loại tiền huy động</w:t>
      </w:r>
    </w:p>
    <w:p w14:paraId="15D4900C" w14:textId="77777777" w:rsidR="00766A84" w:rsidRPr="003B21FD" w:rsidRDefault="00766A84" w:rsidP="00766A84">
      <w:pPr>
        <w:spacing w:line="360" w:lineRule="auto"/>
        <w:ind w:firstLine="720"/>
        <w:jc w:val="both"/>
        <w:rPr>
          <w:rFonts w:ascii="Times New Roman" w:hAnsi="Times New Roman" w:cs="Times New Roman"/>
          <w:sz w:val="26"/>
          <w:szCs w:val="26"/>
        </w:rPr>
      </w:pPr>
      <w:r w:rsidRPr="003B21FD">
        <w:rPr>
          <w:rFonts w:ascii="Times New Roman" w:hAnsi="Times New Roman" w:cs="Times New Roman"/>
          <w:sz w:val="26"/>
          <w:szCs w:val="26"/>
        </w:rPr>
        <w:t>Huy động vốn bằng nội tệ: chủ yếu là đồng Việt Nam, chiếm tỷ trọng lớn trong tổng nguồn vốn huy động.</w:t>
      </w:r>
    </w:p>
    <w:p w14:paraId="16A6EB30" w14:textId="77777777" w:rsidR="00766A84" w:rsidRDefault="00766A84" w:rsidP="00766A84">
      <w:pPr>
        <w:spacing w:line="360" w:lineRule="auto"/>
        <w:ind w:firstLine="720"/>
        <w:jc w:val="both"/>
        <w:rPr>
          <w:rFonts w:ascii="Times New Roman" w:hAnsi="Times New Roman" w:cs="Times New Roman"/>
          <w:sz w:val="26"/>
          <w:szCs w:val="26"/>
        </w:rPr>
      </w:pPr>
      <w:r w:rsidRPr="00E12FD6">
        <w:rPr>
          <w:rFonts w:ascii="Times New Roman" w:hAnsi="Times New Roman" w:cs="Times New Roman"/>
          <w:sz w:val="26"/>
          <w:szCs w:val="26"/>
        </w:rPr>
        <w:t>Huy động vốn bằng ngoại tệ: bao gồm các loại ngoại tệ như USD, EUR…, phục vụ nhu cầu tích trữ và giao dịch quốc tế của khách hàng cá nhân.</w:t>
      </w:r>
    </w:p>
    <w:p w14:paraId="1C994736" w14:textId="77777777" w:rsidR="00766A84" w:rsidRPr="00BE0AC7" w:rsidRDefault="00766A84" w:rsidP="00766A84">
      <w:pPr>
        <w:spacing w:line="360" w:lineRule="auto"/>
        <w:jc w:val="both"/>
        <w:rPr>
          <w:rFonts w:ascii="Times New Roman" w:hAnsi="Times New Roman" w:cs="Times New Roman"/>
          <w:i/>
          <w:iCs/>
          <w:sz w:val="26"/>
          <w:szCs w:val="26"/>
        </w:rPr>
      </w:pPr>
      <w:r w:rsidRPr="00BE0AC7">
        <w:rPr>
          <w:rFonts w:ascii="Times New Roman" w:hAnsi="Times New Roman" w:cs="Times New Roman"/>
          <w:i/>
          <w:iCs/>
          <w:sz w:val="26"/>
          <w:szCs w:val="26"/>
        </w:rPr>
        <w:t>d) Phân loại theo phương thức trả lãi</w:t>
      </w:r>
    </w:p>
    <w:p w14:paraId="3F4DB3FD" w14:textId="77777777" w:rsidR="00766A84" w:rsidRDefault="00766A84" w:rsidP="00766A84">
      <w:pPr>
        <w:spacing w:line="360" w:lineRule="auto"/>
        <w:ind w:firstLine="720"/>
        <w:jc w:val="both"/>
        <w:rPr>
          <w:rFonts w:ascii="Times New Roman" w:hAnsi="Times New Roman" w:cs="Times New Roman"/>
          <w:sz w:val="26"/>
          <w:szCs w:val="26"/>
        </w:rPr>
      </w:pPr>
      <w:r>
        <w:rPr>
          <w:rFonts w:ascii="Times New Roman" w:hAnsi="Times New Roman" w:cs="Times New Roman"/>
          <w:sz w:val="26"/>
          <w:szCs w:val="26"/>
        </w:rPr>
        <w:t>Trả lãi trước: Khách hàng nhận lãi ngay khi gửi tiền.</w:t>
      </w:r>
    </w:p>
    <w:p w14:paraId="22FED4CB" w14:textId="77777777" w:rsidR="00766A84" w:rsidRDefault="00766A84" w:rsidP="00766A84">
      <w:pPr>
        <w:spacing w:line="360" w:lineRule="auto"/>
        <w:ind w:firstLine="720"/>
        <w:jc w:val="both"/>
        <w:rPr>
          <w:rFonts w:ascii="Times New Roman" w:hAnsi="Times New Roman" w:cs="Times New Roman"/>
          <w:sz w:val="26"/>
          <w:szCs w:val="26"/>
        </w:rPr>
      </w:pPr>
      <w:r>
        <w:rPr>
          <w:rFonts w:ascii="Times New Roman" w:hAnsi="Times New Roman" w:cs="Times New Roman"/>
          <w:sz w:val="26"/>
          <w:szCs w:val="26"/>
        </w:rPr>
        <w:t>Trả lãi định kỳ: Lãi được trả theo chu kì hàng tháng, hàng quý.</w:t>
      </w:r>
    </w:p>
    <w:p w14:paraId="1DD1BA12" w14:textId="25362818" w:rsidR="0043677B" w:rsidRPr="0043677B" w:rsidRDefault="00766A84" w:rsidP="00766A84">
      <w:pPr>
        <w:ind w:left="-90"/>
        <w:rPr>
          <w:rFonts w:ascii="Times New Roman" w:hAnsi="Times New Roman" w:cs="Times New Roman"/>
          <w:sz w:val="26"/>
          <w:szCs w:val="26"/>
        </w:rPr>
      </w:pPr>
      <w:r>
        <w:rPr>
          <w:rFonts w:ascii="Times New Roman" w:hAnsi="Times New Roman" w:cs="Times New Roman"/>
          <w:sz w:val="26"/>
          <w:szCs w:val="26"/>
        </w:rPr>
        <w:t>Trả lãi cuối kỳ: Lãi được trả khi đến hạn tất toán khoản gửi</w:t>
      </w:r>
    </w:p>
    <w:p w14:paraId="28E38D1A" w14:textId="77777777" w:rsidR="0042797D" w:rsidRDefault="0042797D" w:rsidP="0042797D">
      <w:pPr>
        <w:pStyle w:val="NormalWeb"/>
        <w:spacing w:line="360" w:lineRule="auto"/>
        <w:jc w:val="both"/>
        <w:rPr>
          <w:b/>
          <w:bCs/>
          <w:sz w:val="26"/>
          <w:szCs w:val="26"/>
        </w:rPr>
      </w:pPr>
      <w:r>
        <w:rPr>
          <w:b/>
          <w:bCs/>
          <w:sz w:val="26"/>
          <w:szCs w:val="26"/>
        </w:rPr>
        <w:t xml:space="preserve">1.5 </w:t>
      </w:r>
      <w:r w:rsidRPr="000476BB">
        <w:rPr>
          <w:b/>
          <w:bCs/>
          <w:sz w:val="26"/>
          <w:szCs w:val="26"/>
        </w:rPr>
        <w:t>PHÁT TRIỂN HUY ĐỘNG VỐN ĐỐI VỚI KHÁCH HÀNG CÁ NHÂN TẠI NGÂN HÀNG THƯƠNG MẠ</w:t>
      </w:r>
      <w:r>
        <w:rPr>
          <w:b/>
          <w:bCs/>
          <w:sz w:val="26"/>
          <w:szCs w:val="26"/>
        </w:rPr>
        <w:t>I</w:t>
      </w:r>
    </w:p>
    <w:p w14:paraId="3CA8F2AA" w14:textId="77777777" w:rsidR="0042797D" w:rsidRDefault="0042797D" w:rsidP="0042797D">
      <w:pPr>
        <w:pStyle w:val="NormalWeb"/>
        <w:spacing w:line="360" w:lineRule="auto"/>
        <w:jc w:val="both"/>
        <w:rPr>
          <w:b/>
          <w:bCs/>
          <w:sz w:val="26"/>
          <w:szCs w:val="26"/>
        </w:rPr>
      </w:pPr>
      <w:r>
        <w:rPr>
          <w:b/>
          <w:bCs/>
          <w:sz w:val="26"/>
          <w:szCs w:val="26"/>
        </w:rPr>
        <w:t>1.5.1 Sự cần thiết của việc phát triển hoạt động huy động vốn đối với khách hàng cá nhân tại ngân hàng thương mại</w:t>
      </w:r>
    </w:p>
    <w:p w14:paraId="387243E4" w14:textId="77777777" w:rsidR="0042797D" w:rsidRDefault="0042797D" w:rsidP="0042797D">
      <w:pPr>
        <w:pStyle w:val="NormalWeb"/>
        <w:spacing w:line="360" w:lineRule="auto"/>
        <w:ind w:firstLine="720"/>
        <w:jc w:val="both"/>
      </w:pPr>
      <w:r>
        <w:rPr>
          <w:sz w:val="26"/>
          <w:szCs w:val="26"/>
        </w:rPr>
        <w:t>Phát triển hoạt động huy động vốn đối với khách hàng cá nhân là yêu cầu cần thiết đối với ngân hàng thương mại nhằm bảo đảm nguồn vốn ổn định cho hoạt động kinh doanh và nâng cao năng lực cạnh tranh trong bối cảnh thị trường tài chính biến động. Một chiến lược huy động vốn hiệu quả từ khách hàng cá nhân giúp ngân hàng mở rộng quy mô nguồn vốn bán lẻ theo hướng bền vững, gia tăng mức độ phân tán rủi ro nguồn vốn, đồng thời tạo nền tảng để phát triển tệp khách hàng, nâng cao mức độ gắn kết và gia tăng khả năng bán chéo các sản phẩm, dịch vụ ngân hàng.</w:t>
      </w:r>
    </w:p>
    <w:p w14:paraId="12A35D65" w14:textId="77777777" w:rsidR="0042797D" w:rsidRDefault="0042797D" w:rsidP="0042797D">
      <w:pPr>
        <w:pStyle w:val="NormalWeb"/>
        <w:spacing w:line="360" w:lineRule="auto"/>
        <w:ind w:firstLine="720"/>
        <w:jc w:val="both"/>
      </w:pPr>
      <w:r>
        <w:rPr>
          <w:sz w:val="26"/>
          <w:szCs w:val="26"/>
        </w:rPr>
        <w:lastRenderedPageBreak/>
        <w:t>Trong thời đại công nghệ tài chính và ngân hàng số phát triển mạnh mẽ, hành vi và kỳ vọng của khách hàng cá nhân thay đổi nhanh theo hướng ưu tiên sự thuận tiện, trải nghiệm số, cá nhân hóa và khả năng dịch chuyển dòng tiền linh hoạt. Do đó, ngân hàng thương mại phải không ngừng đổi mới phương thức huy động (mở rộng kênh số, tối ưu quy trình mở tài khoản/gửi tiết kiệm trực tuyến, chăm sóc khách hàng đa kênh), đa dạng hóa sản phẩm tiền gửi và chính sách chăm sóc để duy trì lợi thế cạnh tranh và nâng cao khả năng thu hút - giữ chân khách hàng cá nhân.</w:t>
      </w:r>
    </w:p>
    <w:p w14:paraId="20429DD2" w14:textId="77777777" w:rsidR="0042797D" w:rsidRDefault="0042797D" w:rsidP="0042797D">
      <w:pPr>
        <w:pStyle w:val="NormalWeb"/>
        <w:spacing w:line="360" w:lineRule="auto"/>
        <w:ind w:firstLine="720"/>
        <w:jc w:val="both"/>
      </w:pPr>
      <w:r>
        <w:rPr>
          <w:sz w:val="26"/>
          <w:szCs w:val="26"/>
        </w:rPr>
        <w:t>Mặt khác, nâng cao hiệu quả huy động vốn từ khách hàng cá nhân còn giúp ngân hàng tối ưu hóa chi phí huy động, nhất là khi gia tăng được tỷ trọng tiền gửi thanh toán (CASA) và duy trì cơ cấu kỳ hạn phù hợp. Chi phí vốn bình quân được kiểm soát tốt sẽ tạo dư địa cải thiện biên lợi nhuận, nâng cao khả năng cạnh tranh về lãi suất cho vay, đồng thời tăng mức độ chủ động về thanh khoản và an toàn trong hoạt động.</w:t>
      </w:r>
    </w:p>
    <w:p w14:paraId="36AD489F" w14:textId="77777777" w:rsidR="0042797D" w:rsidRDefault="0042797D" w:rsidP="0042797D">
      <w:pPr>
        <w:pStyle w:val="NormalWeb"/>
        <w:spacing w:line="360" w:lineRule="auto"/>
        <w:ind w:firstLine="720"/>
        <w:jc w:val="both"/>
      </w:pPr>
      <w:r>
        <w:rPr>
          <w:sz w:val="26"/>
          <w:szCs w:val="26"/>
        </w:rPr>
        <w:t>Vì vậy, việc phân tích các yếu tố ảnh hưởng đến huy động vốn đối với khách hàng cá nhân (như lãi suất, sản phẩm, chất lượng dịch vụ, uy tín thương hiệu, mức độ ứng dụng công nghệ, cũng như các yếu tố kinh tế vĩ mô và cạnh tranh) và đề xuất giải pháp phù hợp có ý nghĩa thiết thực đối với ngân hàng thương mại. Các giải pháp đúng trọng tâm không chỉ giúp cải thiện quy mô và chất lượng nguồn vốn huy động từ khách hàng cá nhân, mà còn góp phần tăng cường năng lực cạnh tranh và hỗ trợ mục tiêu phát triển bền vững của ngân hàng trong dài hạn.</w:t>
      </w:r>
    </w:p>
    <w:p w14:paraId="30C7D29B" w14:textId="77777777" w:rsidR="0042797D" w:rsidRPr="000476BB" w:rsidRDefault="0042797D" w:rsidP="0042797D">
      <w:pPr>
        <w:pStyle w:val="NormalWeb"/>
        <w:spacing w:line="360" w:lineRule="auto"/>
        <w:jc w:val="both"/>
        <w:rPr>
          <w:b/>
          <w:bCs/>
          <w:sz w:val="26"/>
          <w:szCs w:val="26"/>
        </w:rPr>
      </w:pPr>
      <w:r>
        <w:rPr>
          <w:b/>
          <w:bCs/>
          <w:sz w:val="26"/>
          <w:szCs w:val="26"/>
        </w:rPr>
        <w:t>1.5.2 Quan điểm phát triển hoạt động huy động vốn đối với khách hàng cá nhân tại ngân hàng thương mại</w:t>
      </w:r>
    </w:p>
    <w:p w14:paraId="7CE74BC9" w14:textId="77777777" w:rsidR="0042797D" w:rsidRDefault="0042797D" w:rsidP="0042797D">
      <w:pPr>
        <w:pStyle w:val="NormalWeb"/>
        <w:spacing w:line="360" w:lineRule="auto"/>
        <w:ind w:firstLine="720"/>
        <w:jc w:val="both"/>
      </w:pPr>
      <w:r>
        <w:rPr>
          <w:sz w:val="26"/>
          <w:szCs w:val="26"/>
        </w:rPr>
        <w:t xml:space="preserve">Quan điểm phát triển hoạt động huy động vốn đối với khách hàng cá nhân tại ngân hàng thương mại có thể tiếp cận dưới nhiều góc độ. Với vai trò là sinh viên thực hiện khóa luận, em cho rằng “phát triển” hoạt động huy động vốn không chỉ dừng lại ở việc tăng số dư tiền gửi, mà quan trọng hơn là duy trì được nguồn vốn ổn định và bền vững, tối ưu cơ cấu theo hướng hợp lý (giữa tiền gửi thanh toán và tiền gửi có kỳ hạn, giữa các kỳ hạn), đồng thời nâng cao chất lượng dịch vụ và trải nghiệm khách hàng. Cách tiếp cận này giúp </w:t>
      </w:r>
      <w:r>
        <w:rPr>
          <w:sz w:val="26"/>
          <w:szCs w:val="26"/>
        </w:rPr>
        <w:lastRenderedPageBreak/>
        <w:t>ngân hàng vừa mở rộng quy mô huy động từ khách hàng cá nhân, vừa kiểm soát chi phí vốn và tăng mức độ gắn bó của khách hàng trong dài hạn.</w:t>
      </w:r>
    </w:p>
    <w:p w14:paraId="50536929" w14:textId="77777777" w:rsidR="0042797D" w:rsidRDefault="0042797D" w:rsidP="0042797D">
      <w:pPr>
        <w:pStyle w:val="NormalWeb"/>
        <w:spacing w:line="360" w:lineRule="auto"/>
        <w:jc w:val="both"/>
      </w:pPr>
      <w:r>
        <w:rPr>
          <w:sz w:val="26"/>
          <w:szCs w:val="26"/>
        </w:rPr>
        <w:t xml:space="preserve">Thứ nhất, phát triển huy động vốn từ khách hàng cá nhân cần gắn với mục tiêu gia tăng quy mô theo hướng ổn định, thông qua việc thu hút khách hàng mới đồng thời duy trì mức độ gắn bó của khách hàng hiện hữu. </w:t>
      </w:r>
    </w:p>
    <w:p w14:paraId="2AF62F93" w14:textId="77777777" w:rsidR="0042797D" w:rsidRDefault="0042797D" w:rsidP="0042797D">
      <w:pPr>
        <w:pStyle w:val="NormalWeb"/>
        <w:spacing w:line="360" w:lineRule="auto"/>
        <w:jc w:val="both"/>
      </w:pPr>
      <w:r>
        <w:rPr>
          <w:sz w:val="26"/>
          <w:szCs w:val="26"/>
        </w:rPr>
        <w:t>Thứ hai, phát triển huy động vốn đối với khách hàng cá nhân cần chú trọng nâng cao chất lượng nguồn vốn và tối ưu cơ cấu. Theo đó, ngân hàng không chỉ quan tâm đến tổng số dư huy động mà còn cần định hướng tăng tỷ trọng tiền gửi thanh toán (CASA) và phân bổ kỳ hạn hợp lý để vừa ổn định thanh khoản, vừa kiểm soát chi phí vốn bình quân. Cơ cấu vốn phù hợp giúp ngân hàng chủ động hơn trong sử dụng vốn, cải thiện hiệu quả kinh doanh và hạn chế rủi ro thanh khoản khi thị trường biến động.</w:t>
      </w:r>
    </w:p>
    <w:p w14:paraId="418BE089" w14:textId="77777777" w:rsidR="0042797D" w:rsidRDefault="0042797D" w:rsidP="0042797D">
      <w:pPr>
        <w:pStyle w:val="NormalWeb"/>
        <w:spacing w:line="360" w:lineRule="auto"/>
        <w:jc w:val="both"/>
      </w:pPr>
      <w:r>
        <w:rPr>
          <w:sz w:val="26"/>
          <w:szCs w:val="26"/>
        </w:rPr>
        <w:t>Thứ ba, phát triển huy động vốn từ khách hàng cá nhân cần đặt trọng tâm vào chất lượng dịch vụ và đổi mới kênh phân phối trong bối cảnh cạnh tranh và số hóa. Bên cạnh tiền gửi truyền thống, ngân hàng nên đa dạng hóa sản phẩm phù hợp hành vi tài chính cá nhân (tiết kiệm online, tiết kiệm tích lũy, bậc thang, chứng chỉ tiền gửi…), đồng thời nâng cấp trải nghiệm trên Mobile Banking/Internet Banking để tăng mức độ tiện lợi, an toàn và cá nhân hóa. Việc kết hợp giữa sản phẩm phù hợp, dịch vụ tốt và công nghệ hiệu quả sẽ là nền tảng để ngân hàng nâng cao hiệu quả huy động vốn đối với khách hàng cá nhân một cách bền vững.</w:t>
      </w:r>
    </w:p>
    <w:p w14:paraId="2E31C236" w14:textId="77777777" w:rsidR="0042797D" w:rsidRDefault="0042797D" w:rsidP="0042797D">
      <w:pPr>
        <w:pStyle w:val="NormalWeb"/>
        <w:spacing w:line="360" w:lineRule="auto"/>
        <w:jc w:val="both"/>
        <w:rPr>
          <w:b/>
          <w:bCs/>
          <w:sz w:val="26"/>
          <w:szCs w:val="26"/>
        </w:rPr>
      </w:pPr>
      <w:r w:rsidRPr="004E0EF9">
        <w:rPr>
          <w:b/>
          <w:bCs/>
          <w:sz w:val="26"/>
          <w:szCs w:val="26"/>
        </w:rPr>
        <w:t>1.</w:t>
      </w:r>
      <w:r>
        <w:rPr>
          <w:b/>
          <w:bCs/>
          <w:sz w:val="26"/>
          <w:szCs w:val="26"/>
        </w:rPr>
        <w:t>5</w:t>
      </w:r>
      <w:r w:rsidRPr="004E0EF9">
        <w:rPr>
          <w:b/>
          <w:bCs/>
          <w:sz w:val="26"/>
          <w:szCs w:val="26"/>
        </w:rPr>
        <w:t>.</w:t>
      </w:r>
      <w:r>
        <w:rPr>
          <w:b/>
          <w:bCs/>
          <w:sz w:val="26"/>
          <w:szCs w:val="26"/>
        </w:rPr>
        <w:t>3</w:t>
      </w:r>
      <w:r w:rsidRPr="004E0EF9">
        <w:rPr>
          <w:b/>
          <w:bCs/>
          <w:sz w:val="26"/>
          <w:szCs w:val="26"/>
        </w:rPr>
        <w:t xml:space="preserve"> Các chỉ tiêu đánh giá về hoạt động huy động vốn đối với khách hàng cá nhân tại ngân hàng thương mại</w:t>
      </w:r>
    </w:p>
    <w:p w14:paraId="45F44E4F" w14:textId="77777777" w:rsidR="0042797D" w:rsidRPr="00D713DD"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D713DD">
        <w:rPr>
          <w:rFonts w:ascii="Times New Roman" w:hAnsi="Times New Roman" w:cs="Times New Roman"/>
          <w:sz w:val="26"/>
          <w:szCs w:val="26"/>
        </w:rPr>
        <w:t>Sau khi triển khai các hoạt động huy động vốn từ khách hàng cá nhân, các ngân hàng thương mại cần tiến hành đánh giá mức độ phù hợp và hiệu quả của công tác huy động vốn trong từng giai đoạn. Kết quả đánh giá là cơ sở quan trọng để ngân hàng điều chỉnh quy mô, cơ cấu và tỷ trọng các hình thức huy động vốn từ khách hàng cá nhân, qua đó nâng cao hiệu quả hoạt động và khả năng cạnh tranh. Việc đánh giá hiệu quả huy động vốn từ khách hàng cá nhân thường được xem xét thông qua các tiêu chí sau:</w:t>
      </w:r>
    </w:p>
    <w:p w14:paraId="486D0B7C" w14:textId="77777777" w:rsidR="0042797D" w:rsidRPr="00D713DD" w:rsidRDefault="0042797D" w:rsidP="0042797D">
      <w:pPr>
        <w:spacing w:line="360" w:lineRule="auto"/>
        <w:jc w:val="both"/>
        <w:rPr>
          <w:rFonts w:ascii="Times New Roman" w:hAnsi="Times New Roman" w:cs="Times New Roman"/>
          <w:b/>
          <w:i/>
          <w:sz w:val="26"/>
          <w:szCs w:val="26"/>
        </w:rPr>
      </w:pPr>
      <w:r w:rsidRPr="00D713DD">
        <w:rPr>
          <w:rFonts w:ascii="Times New Roman" w:hAnsi="Times New Roman" w:cs="Times New Roman"/>
          <w:b/>
          <w:i/>
          <w:sz w:val="26"/>
          <w:szCs w:val="26"/>
        </w:rPr>
        <w:lastRenderedPageBreak/>
        <w:t xml:space="preserve">        1.5.3.1. Quy mô nguồn vốn huy động</w:t>
      </w:r>
    </w:p>
    <w:p w14:paraId="1A5E6546" w14:textId="77777777" w:rsidR="0042797D" w:rsidRPr="00D713DD" w:rsidRDefault="0042797D" w:rsidP="0042797D">
      <w:pPr>
        <w:spacing w:line="360" w:lineRule="auto"/>
        <w:jc w:val="both"/>
        <w:rPr>
          <w:rFonts w:ascii="Times New Roman" w:hAnsi="Times New Roman" w:cs="Times New Roman"/>
          <w:sz w:val="26"/>
          <w:szCs w:val="26"/>
        </w:rPr>
      </w:pPr>
      <w:r w:rsidRPr="00D713DD">
        <w:rPr>
          <w:rFonts w:ascii="Times New Roman" w:hAnsi="Times New Roman" w:cs="Times New Roman"/>
          <w:sz w:val="26"/>
          <w:szCs w:val="26"/>
        </w:rPr>
        <w:t xml:space="preserve">        Quy mô nguồn vốn huy động từ khách hàng cá nhân là chỉ tiêu phản ánh khả năng thu hút tiền gửi của ngân hàng đối với nhóm khách hàng này. Khi quy mô vốn huy động cá nhân không ngừng được mở rộng, điều đó cho thấy ngân hàng có uy tín cao, sản phẩm dịch vụ phù hợp và niềm tin của khách hàng cá nhân đối với ngân hàng ngày càng được củng cố, đồng thời góp phần nâng cao khả năng thanh khoản.</w:t>
      </w:r>
    </w:p>
    <w:p w14:paraId="325FDE03" w14:textId="77777777" w:rsidR="0042797D" w:rsidRPr="00B16176"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B16176">
        <w:rPr>
          <w:rFonts w:ascii="Times New Roman" w:hAnsi="Times New Roman" w:cs="Times New Roman"/>
          <w:sz w:val="26"/>
          <w:szCs w:val="26"/>
        </w:rPr>
        <w:t>Quy mô nguồn vốn huy động từ khách hàng cá nhân có sự biến động theo từng thời kỳ và khác nhau giữa các ngân hàng. Trong bối cảnh cạnh tranh gay gắt về thị phần khách hàng cá nhân, mức lãi suất huy động giữa các ngân hàng thường không có sự chênh lệch lớn. Do đó, khách hàng cá nhân có xu hướng lựa chọn các ngân hàng có quy mô lớn, thương hiệu uy tín và mức độ an toàn cao để gửi tiền.</w:t>
      </w:r>
    </w:p>
    <w:p w14:paraId="22D4D9AE" w14:textId="77777777" w:rsidR="0042797D" w:rsidRPr="00B16176"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B16176">
        <w:rPr>
          <w:rFonts w:ascii="Times New Roman" w:hAnsi="Times New Roman" w:cs="Times New Roman"/>
          <w:sz w:val="26"/>
          <w:szCs w:val="26"/>
        </w:rPr>
        <w:t>Bên cạnh đó, tốc độ tăng trưởng nguồn vốn huy động từ khách hàng cá nhân là chỉ tiêu quan trọng phản ánh khả năng mở rộng quy mô vốn của ngân hàng qua các năm.</w:t>
      </w:r>
    </w:p>
    <w:p w14:paraId="5AAFB1B7"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Pr>
          <w:rFonts w:ascii="Times New Roman" w:hAnsi="Times New Roman" w:cs="Times New Roman"/>
          <w:sz w:val="26"/>
          <w:szCs w:val="26"/>
        </w:rPr>
        <w:t xml:space="preserve">       </w:t>
      </w:r>
      <w:r w:rsidRPr="00D713DD">
        <w:rPr>
          <w:rFonts w:ascii="Times New Roman" w:hAnsi="Times New Roman" w:cs="Times New Roman"/>
          <w:sz w:val="26"/>
          <w:szCs w:val="26"/>
        </w:rPr>
        <w:t xml:space="preserve">Tốc độ tăng trưởng VHD = </w:t>
      </w:r>
      <m:oMath>
        <m:f>
          <m:fPr>
            <m:ctrlPr>
              <w:rPr>
                <w:rFonts w:ascii="Cambria Math" w:hAnsi="Cambria Math" w:cs="Times New Roman"/>
                <w:sz w:val="26"/>
                <w:szCs w:val="26"/>
              </w:rPr>
            </m:ctrlPr>
          </m:fPr>
          <m:num>
            <m:eqArr>
              <m:eqArrPr>
                <m:ctrlPr>
                  <w:rPr>
                    <w:rFonts w:ascii="Cambria Math" w:hAnsi="Cambria Math" w:cs="Times New Roman"/>
                    <w:sz w:val="26"/>
                    <w:szCs w:val="26"/>
                  </w:rPr>
                </m:ctrlPr>
              </m:eqArrPr>
              <m:e/>
              <m:e>
                <m:r>
                  <m:rPr>
                    <m:sty m:val="p"/>
                  </m:rPr>
                  <w:rPr>
                    <w:rFonts w:ascii="Cambria Math" w:hAnsi="Cambria Math" w:cs="Times New Roman"/>
                    <w:sz w:val="26"/>
                    <w:szCs w:val="26"/>
                  </w:rPr>
                  <m:t>Tổng VHD năm 1 - Tổng VHD năm</m:t>
                </m:r>
                <m:d>
                  <m:dPr>
                    <m:ctrlPr>
                      <w:rPr>
                        <w:rFonts w:ascii="Cambria Math" w:hAnsi="Cambria Math" w:cs="Times New Roman"/>
                        <w:sz w:val="26"/>
                        <w:szCs w:val="26"/>
                      </w:rPr>
                    </m:ctrlPr>
                  </m:dPr>
                  <m:e>
                    <m:r>
                      <m:rPr>
                        <m:sty m:val="p"/>
                      </m:rPr>
                      <w:rPr>
                        <w:rFonts w:ascii="Cambria Math" w:hAnsi="Cambria Math" w:cs="Times New Roman"/>
                        <w:sz w:val="26"/>
                        <w:szCs w:val="26"/>
                      </w:rPr>
                      <m:t>t-1</m:t>
                    </m:r>
                  </m:e>
                </m:d>
                <m:r>
                  <m:rPr>
                    <m:sty m:val="p"/>
                  </m:rPr>
                  <w:rPr>
                    <w:rFonts w:ascii="Cambria Math" w:hAnsi="Cambria Math" w:cs="Times New Roman"/>
                    <w:sz w:val="26"/>
                    <w:szCs w:val="26"/>
                  </w:rPr>
                  <m:t>*100</m:t>
                </m:r>
              </m:e>
            </m:eqArr>
          </m:num>
          <m:den>
            <m:r>
              <m:rPr>
                <m:sty m:val="p"/>
              </m:rPr>
              <w:rPr>
                <w:rFonts w:ascii="Cambria Math" w:hAnsi="Cambria Math" w:cs="Times New Roman"/>
                <w:sz w:val="26"/>
                <w:szCs w:val="26"/>
              </w:rPr>
              <m:t>Tổng VHD năm(t-1)</m:t>
            </m:r>
          </m:den>
        </m:f>
      </m:oMath>
    </w:p>
    <w:p w14:paraId="21419A97" w14:textId="77777777" w:rsidR="0042797D" w:rsidRDefault="0042797D" w:rsidP="0042797D">
      <w:pPr>
        <w:spacing w:line="360" w:lineRule="auto"/>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t xml:space="preserve">    </w:t>
      </w:r>
      <w:r w:rsidRPr="00B16176">
        <w:rPr>
          <w:rFonts w:ascii="Times New Roman" w:eastAsiaTheme="minorEastAsia" w:hAnsi="Times New Roman" w:cs="Times New Roman"/>
          <w:sz w:val="26"/>
          <w:szCs w:val="26"/>
        </w:rPr>
        <w:t>Nếu tốc độ tăng trưởng duy trì ổn định và ở mức cao, điều này cho thấy ngân hàng có chiến lược huy động vốn cá nhân hiệu quả, tạo nền tảng vững chắc cho hoạt động cho vay và đầu tư. Ngược lại, khi tốc độ tăng trưởng chậm lại hoặc suy giảm, ngân hàng có thể gặp khó khăn trong việc thu hút tiền gửi cá nhân, ảnh hưởng đến khả năng thanh khoản và năng lực cạnh tranh.</w:t>
      </w:r>
    </w:p>
    <w:p w14:paraId="6CD455EA" w14:textId="77777777" w:rsidR="0042797D" w:rsidRDefault="0042797D" w:rsidP="0042797D">
      <w:pPr>
        <w:spacing w:line="360" w:lineRule="auto"/>
        <w:jc w:val="both"/>
        <w:rPr>
          <w:rFonts w:ascii="Times New Roman" w:eastAsiaTheme="minorEastAsia" w:hAnsi="Times New Roman" w:cs="Times New Roman"/>
          <w:b/>
          <w:bCs/>
          <w:i/>
          <w:iCs/>
          <w:sz w:val="26"/>
          <w:szCs w:val="26"/>
        </w:rPr>
      </w:pPr>
      <w:r>
        <w:rPr>
          <w:rFonts w:ascii="Times New Roman" w:eastAsiaTheme="minorEastAsia" w:hAnsi="Times New Roman" w:cs="Times New Roman"/>
          <w:b/>
          <w:bCs/>
          <w:i/>
          <w:iCs/>
          <w:sz w:val="26"/>
          <w:szCs w:val="26"/>
        </w:rPr>
        <w:t xml:space="preserve">       </w:t>
      </w:r>
      <w:r w:rsidRPr="00824211">
        <w:rPr>
          <w:rFonts w:ascii="Times New Roman" w:eastAsiaTheme="minorEastAsia" w:hAnsi="Times New Roman" w:cs="Times New Roman"/>
          <w:b/>
          <w:bCs/>
          <w:i/>
          <w:iCs/>
          <w:sz w:val="26"/>
          <w:szCs w:val="26"/>
        </w:rPr>
        <w:t>1.5.3.2 Tỷ trọng huy động vốn từ khách hàng cá nhân</w:t>
      </w:r>
    </w:p>
    <w:p w14:paraId="28F0E1A7" w14:textId="77777777" w:rsidR="0042797D" w:rsidRPr="00643E0F" w:rsidRDefault="0042797D" w:rsidP="0042797D">
      <w:pPr>
        <w:spacing w:line="360" w:lineRule="auto"/>
        <w:jc w:val="both"/>
        <w:rPr>
          <w:rFonts w:ascii="Times New Roman" w:eastAsiaTheme="minorEastAsia" w:hAnsi="Times New Roman" w:cs="Times New Roman"/>
          <w:sz w:val="26"/>
          <w:szCs w:val="26"/>
        </w:rPr>
      </w:pPr>
      <w:r>
        <w:rPr>
          <w:rFonts w:ascii="Times New Roman" w:eastAsiaTheme="minorEastAsia" w:hAnsi="Times New Roman" w:cs="Times New Roman"/>
          <w:sz w:val="26"/>
          <w:szCs w:val="26"/>
        </w:rPr>
        <w:t xml:space="preserve">   </w:t>
      </w:r>
      <w:r w:rsidRPr="00643E0F">
        <w:rPr>
          <w:rFonts w:ascii="Times New Roman" w:eastAsiaTheme="minorEastAsia" w:hAnsi="Times New Roman" w:cs="Times New Roman"/>
          <w:sz w:val="26"/>
          <w:szCs w:val="26"/>
        </w:rPr>
        <w:t>Chỉ tiêu tỷ trọng huy động vốn từ khách hàng cá nhân phản ánh mức độ đóng góp của nguồn vốn huy động từ khách hàng cá nhân trong tổng nguồn vốn huy động của ngân hàng thương mại.</w:t>
      </w:r>
    </w:p>
    <w:p w14:paraId="3C0D9005" w14:textId="77777777" w:rsidR="0042797D" w:rsidRPr="00361658" w:rsidRDefault="0042797D" w:rsidP="0042797D">
      <w:pPr>
        <w:spacing w:line="360" w:lineRule="auto"/>
        <w:jc w:val="both"/>
        <w:rPr>
          <w:rFonts w:ascii="Times New Roman" w:eastAsiaTheme="minorEastAsia" w:hAnsi="Times New Roman" w:cs="Times New Roman"/>
          <w:sz w:val="26"/>
          <w:szCs w:val="26"/>
        </w:rPr>
      </w:pPr>
      <m:oMathPara>
        <m:oMath>
          <m:r>
            <w:rPr>
              <w:rFonts w:ascii="Cambria Math" w:eastAsiaTheme="minorEastAsia" w:hAnsi="Cambria Math" w:cs="Times New Roman"/>
              <w:sz w:val="26"/>
              <w:szCs w:val="26"/>
            </w:rPr>
            <m:t>Tỷ trọng HĐV từ KHCN=</m:t>
          </m:r>
          <m:f>
            <m:fPr>
              <m:ctrlPr>
                <w:rPr>
                  <w:rFonts w:ascii="Cambria Math" w:eastAsiaTheme="minorEastAsia" w:hAnsi="Cambria Math" w:cs="Times New Roman"/>
                  <w:i/>
                  <w:sz w:val="26"/>
                  <w:szCs w:val="26"/>
                </w:rPr>
              </m:ctrlPr>
            </m:fPr>
            <m:num>
              <m:r>
                <w:rPr>
                  <w:rFonts w:ascii="Cambria Math" w:eastAsiaTheme="minorEastAsia" w:hAnsi="Cambria Math" w:cs="Times New Roman"/>
                  <w:sz w:val="26"/>
                  <w:szCs w:val="26"/>
                </w:rPr>
                <m:t>Vốn huy động từ KHCN</m:t>
              </m:r>
            </m:num>
            <m:den>
              <m:r>
                <w:rPr>
                  <w:rFonts w:ascii="Cambria Math" w:eastAsiaTheme="minorEastAsia" w:hAnsi="Cambria Math" w:cs="Times New Roman"/>
                  <w:sz w:val="26"/>
                  <w:szCs w:val="26"/>
                </w:rPr>
                <m:t>Tổng VHĐ của ngân hàng</m:t>
              </m:r>
            </m:den>
          </m:f>
          <m:r>
            <w:rPr>
              <w:rFonts w:ascii="Cambria Math" w:eastAsiaTheme="minorEastAsia" w:hAnsi="Cambria Math" w:cs="Times New Roman"/>
              <w:sz w:val="26"/>
              <w:szCs w:val="26"/>
            </w:rPr>
            <m:t>×100%</m:t>
          </m:r>
        </m:oMath>
      </m:oMathPara>
    </w:p>
    <w:p w14:paraId="6F5AED2D" w14:textId="77777777" w:rsidR="0042797D" w:rsidRPr="00C8311B" w:rsidRDefault="0042797D" w:rsidP="0042797D">
      <w:pPr>
        <w:spacing w:line="360" w:lineRule="auto"/>
        <w:ind w:firstLine="720"/>
        <w:jc w:val="both"/>
        <w:rPr>
          <w:rFonts w:ascii="Times New Roman" w:eastAsiaTheme="minorEastAsia" w:hAnsi="Times New Roman" w:cs="Times New Roman"/>
          <w:sz w:val="26"/>
          <w:szCs w:val="26"/>
        </w:rPr>
      </w:pPr>
      <w:r w:rsidRPr="00C8311B">
        <w:rPr>
          <w:rFonts w:ascii="Times New Roman" w:eastAsiaTheme="minorEastAsia" w:hAnsi="Times New Roman" w:cs="Times New Roman"/>
          <w:sz w:val="26"/>
          <w:szCs w:val="26"/>
        </w:rPr>
        <w:lastRenderedPageBreak/>
        <w:t>Chỉ tiêu này giúp đánh giá mức độ tập trung và hiệu quả của hoạt động huy động vốn đối với khách hàng cá nhân, đồng thời phản ánh định hướng phát triển bán lẻ của ngân hàng.</w:t>
      </w:r>
      <w:r>
        <w:rPr>
          <w:rFonts w:ascii="Times New Roman" w:eastAsiaTheme="minorEastAsia" w:hAnsi="Times New Roman" w:cs="Times New Roman"/>
          <w:sz w:val="26"/>
          <w:szCs w:val="26"/>
        </w:rPr>
        <w:t xml:space="preserve"> </w:t>
      </w:r>
      <w:r w:rsidRPr="00C8311B">
        <w:rPr>
          <w:rFonts w:ascii="Times New Roman" w:eastAsiaTheme="minorEastAsia" w:hAnsi="Times New Roman" w:cs="Times New Roman"/>
          <w:sz w:val="26"/>
          <w:szCs w:val="26"/>
        </w:rPr>
        <w:t>Tỷ trọng càng cao cho thấy ngân hàng khai thác tốt nguồn vốn từ dân cư – đây là nguồn vốn có tính ổn định tương đối, chi phí hợp lý và ít phụ thuộc vào các tổ chức lớn.</w:t>
      </w:r>
    </w:p>
    <w:p w14:paraId="0E49BDA1" w14:textId="77777777" w:rsidR="0042797D" w:rsidRPr="00361658" w:rsidRDefault="0042797D" w:rsidP="0042797D">
      <w:pPr>
        <w:spacing w:line="360" w:lineRule="auto"/>
        <w:ind w:firstLine="720"/>
        <w:jc w:val="both"/>
        <w:rPr>
          <w:rFonts w:ascii="Times New Roman" w:eastAsiaTheme="minorEastAsia" w:hAnsi="Times New Roman" w:cs="Times New Roman"/>
          <w:sz w:val="26"/>
          <w:szCs w:val="26"/>
        </w:rPr>
      </w:pPr>
      <w:r w:rsidRPr="00C8311B">
        <w:rPr>
          <w:rFonts w:ascii="Times New Roman" w:eastAsiaTheme="minorEastAsia" w:hAnsi="Times New Roman" w:cs="Times New Roman"/>
          <w:sz w:val="26"/>
          <w:szCs w:val="26"/>
        </w:rPr>
        <w:t>Sự biến động của tỷ trọng huy động vốn từ khách hàng cá nhân qua các năm cho thấy xu</w:t>
      </w:r>
      <w:r w:rsidRPr="00C8311B">
        <w:rPr>
          <w:rFonts w:ascii="Times New Roman" w:eastAsiaTheme="minorEastAsia" w:hAnsi="Times New Roman" w:cs="Times New Roman"/>
          <w:b/>
          <w:bCs/>
          <w:sz w:val="26"/>
          <w:szCs w:val="26"/>
        </w:rPr>
        <w:t xml:space="preserve"> </w:t>
      </w:r>
      <w:r w:rsidRPr="00C8311B">
        <w:rPr>
          <w:rFonts w:ascii="Times New Roman" w:eastAsiaTheme="minorEastAsia" w:hAnsi="Times New Roman" w:cs="Times New Roman"/>
          <w:sz w:val="26"/>
          <w:szCs w:val="26"/>
        </w:rPr>
        <w:t>hướng dịch chuyển cơ cấu nguồn vốn, từ đó làm cơ sở để ngân hàng điều chỉnh chính sách huy động vốn cho phù hợp.</w:t>
      </w:r>
    </w:p>
    <w:p w14:paraId="3DFC7AB7"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b/>
          <w:i/>
          <w:sz w:val="26"/>
          <w:szCs w:val="26"/>
        </w:rPr>
        <w:t xml:space="preserve">       1.5.3.</w:t>
      </w:r>
      <w:r>
        <w:rPr>
          <w:rFonts w:ascii="Times New Roman" w:eastAsiaTheme="minorEastAsia" w:hAnsi="Times New Roman" w:cs="Times New Roman"/>
          <w:b/>
          <w:i/>
          <w:sz w:val="26"/>
          <w:szCs w:val="26"/>
        </w:rPr>
        <w:t>3</w:t>
      </w:r>
      <w:r w:rsidRPr="00D713DD">
        <w:rPr>
          <w:rFonts w:ascii="Times New Roman" w:eastAsiaTheme="minorEastAsia" w:hAnsi="Times New Roman" w:cs="Times New Roman"/>
          <w:b/>
          <w:i/>
          <w:sz w:val="26"/>
          <w:szCs w:val="26"/>
        </w:rPr>
        <w:t xml:space="preserve">. Cơ cấu </w:t>
      </w:r>
      <w:r>
        <w:rPr>
          <w:rFonts w:ascii="Times New Roman" w:eastAsiaTheme="minorEastAsia" w:hAnsi="Times New Roman" w:cs="Times New Roman"/>
          <w:b/>
          <w:i/>
          <w:sz w:val="26"/>
          <w:szCs w:val="26"/>
        </w:rPr>
        <w:t xml:space="preserve">từng </w:t>
      </w:r>
      <w:r w:rsidRPr="00D713DD">
        <w:rPr>
          <w:rFonts w:ascii="Times New Roman" w:eastAsiaTheme="minorEastAsia" w:hAnsi="Times New Roman" w:cs="Times New Roman"/>
          <w:b/>
          <w:i/>
          <w:sz w:val="26"/>
          <w:szCs w:val="26"/>
        </w:rPr>
        <w:t>khoản huy động vốn</w:t>
      </w:r>
    </w:p>
    <w:p w14:paraId="19FCA549"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b/>
          <w:i/>
          <w:sz w:val="26"/>
          <w:szCs w:val="26"/>
        </w:rPr>
        <w:t xml:space="preserve">       </w:t>
      </w:r>
      <w:r w:rsidRPr="00D713DD">
        <w:rPr>
          <w:rFonts w:ascii="Times New Roman" w:eastAsiaTheme="minorEastAsia" w:hAnsi="Times New Roman" w:cs="Times New Roman"/>
          <w:sz w:val="26"/>
          <w:szCs w:val="26"/>
        </w:rPr>
        <w:t>Cơ cấu huy động vốn từ khách hàng cá nhân phản ánh mức độ đa dạng của các nguồn tiền gửi cá nhân mà ngân hàng huy động được. Ngân hàng có thể phân loại cơ cấu vốn huy động cá nhân theo các tiêu chí như: theo đối tượng khách hàng, theo loại tiền gửi, theo hình thức huy động, theo kỳ hạn hoặc theo từng sản phẩm huy động vốn.</w:t>
      </w:r>
    </w:p>
    <w:p w14:paraId="0C5D9D17"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Tỷ trọng từng khoản huy động được tính theo công thức:</w:t>
      </w:r>
    </w:p>
    <w:p w14:paraId="7E603E56"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Tỷ trọng từng khoản huy động =</w:t>
      </w:r>
      <m:oMath>
        <m:r>
          <w:rPr>
            <w:rFonts w:ascii="Cambria Math" w:eastAsiaTheme="minorEastAsia" w:hAnsi="Cambria Math" w:cs="Times New Roman"/>
            <w:sz w:val="26"/>
            <w:szCs w:val="26"/>
          </w:rPr>
          <m:t xml:space="preserve"> </m:t>
        </m:r>
        <m:f>
          <m:fPr>
            <m:ctrlPr>
              <w:rPr>
                <w:rFonts w:ascii="Cambria Math" w:eastAsiaTheme="minorEastAsia" w:hAnsi="Cambria Math" w:cs="Times New Roman"/>
                <w:i/>
                <w:sz w:val="26"/>
                <w:szCs w:val="26"/>
              </w:rPr>
            </m:ctrlPr>
          </m:fPr>
          <m:num>
            <m:r>
              <m:rPr>
                <m:sty m:val="p"/>
              </m:rPr>
              <w:rPr>
                <w:rFonts w:ascii="Cambria Math" w:eastAsiaTheme="minorEastAsia" w:hAnsi="Cambria Math" w:cs="Times New Roman"/>
                <w:sz w:val="26"/>
                <w:szCs w:val="26"/>
              </w:rPr>
              <m:t>Số dư từng khoản huy động * 100%</m:t>
            </m:r>
            <m:ctrlPr>
              <w:rPr>
                <w:rFonts w:ascii="Cambria Math" w:eastAsiaTheme="minorEastAsia" w:hAnsi="Cambria Math" w:cs="Times New Roman"/>
                <w:sz w:val="26"/>
                <w:szCs w:val="26"/>
              </w:rPr>
            </m:ctrlPr>
          </m:num>
          <m:den>
            <m:r>
              <m:rPr>
                <m:sty m:val="p"/>
              </m:rPr>
              <w:rPr>
                <w:rFonts w:ascii="Cambria Math" w:eastAsiaTheme="minorEastAsia" w:hAnsi="Cambria Math" w:cs="Times New Roman"/>
                <w:sz w:val="26"/>
                <w:szCs w:val="26"/>
              </w:rPr>
              <m:t>Tổng vốn huy động</m:t>
            </m:r>
          </m:den>
        </m:f>
      </m:oMath>
    </w:p>
    <w:p w14:paraId="4D447848"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Việc phân tích cơ cấu huy động vốn từ khách hàng cá nhân giúp ngân hàng quản lý rủi ro thanh khoản một cách hiệu quả, đồng thời tối ưu hóa chi phí huy động vốn. Ngân hàng cần có sự điều chỉnh hợp lý giữa các loại hình tiền gửi cá nhân nhằm đảm bảo tính ổn định của nguồn vốn và phù hợp với chiến lược kinh doanh. Trường hợp một loại vốn huy động cá nhân chiếm tỷ trọng quá lớn, ngân hàng có thể đối mặt với rủi ro khi khách hàng đồng loạt rút tiền do biến động thị trường hoặc thay đổi tâm lý gửi tiền.</w:t>
      </w:r>
    </w:p>
    <w:p w14:paraId="56C7328E"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w:t>
      </w:r>
      <w:r w:rsidRPr="00D713DD">
        <w:rPr>
          <w:rFonts w:ascii="Times New Roman" w:eastAsiaTheme="minorEastAsia" w:hAnsi="Times New Roman" w:cs="Times New Roman"/>
          <w:b/>
          <w:i/>
          <w:sz w:val="26"/>
          <w:szCs w:val="26"/>
        </w:rPr>
        <w:t>1.5.3.</w:t>
      </w:r>
      <w:r>
        <w:rPr>
          <w:rFonts w:ascii="Times New Roman" w:eastAsiaTheme="minorEastAsia" w:hAnsi="Times New Roman" w:cs="Times New Roman"/>
          <w:b/>
          <w:i/>
          <w:sz w:val="26"/>
          <w:szCs w:val="26"/>
        </w:rPr>
        <w:t>4</w:t>
      </w:r>
      <w:r w:rsidRPr="00D713DD">
        <w:rPr>
          <w:rFonts w:ascii="Times New Roman" w:eastAsiaTheme="minorEastAsia" w:hAnsi="Times New Roman" w:cs="Times New Roman"/>
          <w:b/>
          <w:i/>
          <w:sz w:val="26"/>
          <w:szCs w:val="26"/>
        </w:rPr>
        <w:t>. Chi phí huy động vốn</w:t>
      </w:r>
    </w:p>
    <w:p w14:paraId="32EB479B"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Chi phí huy động vốn từ khách hàng cá nhân là toàn bộ chi phí mà ngân hàng phải bỏ ra để có được nguồn vốn tiền gửi từ nhóm khách hàng này, trong đó chi phí trả lãi chiếm tỷ trọng lớn nhất.</w:t>
      </w:r>
    </w:p>
    <w:p w14:paraId="0726CCDE"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Chi phí trả lãi bình quân = </w:t>
      </w:r>
      <m:oMath>
        <m:f>
          <m:fPr>
            <m:ctrlPr>
              <w:rPr>
                <w:rFonts w:ascii="Cambria Math" w:eastAsiaTheme="minorEastAsia" w:hAnsi="Cambria Math" w:cs="Times New Roman"/>
                <w:sz w:val="26"/>
                <w:szCs w:val="26"/>
              </w:rPr>
            </m:ctrlPr>
          </m:fPr>
          <m:num>
            <m:r>
              <m:rPr>
                <m:sty m:val="p"/>
              </m:rPr>
              <w:rPr>
                <w:rFonts w:ascii="Cambria Math" w:eastAsiaTheme="minorEastAsia" w:hAnsi="Cambria Math" w:cs="Times New Roman"/>
                <w:sz w:val="26"/>
                <w:szCs w:val="26"/>
              </w:rPr>
              <m:t>Chi phí trả lãi</m:t>
            </m:r>
          </m:num>
          <m:den>
            <m:r>
              <m:rPr>
                <m:sty m:val="p"/>
              </m:rPr>
              <w:rPr>
                <w:rFonts w:ascii="Cambria Math" w:eastAsiaTheme="minorEastAsia" w:hAnsi="Cambria Math" w:cs="Times New Roman"/>
                <w:sz w:val="26"/>
                <w:szCs w:val="26"/>
              </w:rPr>
              <m:t>Tổng vốn huy động</m:t>
            </m:r>
            <m:eqArr>
              <m:eqArrPr>
                <m:ctrlPr>
                  <w:rPr>
                    <w:rFonts w:ascii="Cambria Math" w:eastAsiaTheme="minorEastAsia" w:hAnsi="Cambria Math" w:cs="Times New Roman"/>
                    <w:sz w:val="26"/>
                    <w:szCs w:val="26"/>
                  </w:rPr>
                </m:ctrlPr>
              </m:eqArrPr>
              <m:e>
                <m:r>
                  <m:rPr>
                    <m:sty m:val="p"/>
                  </m:rPr>
                  <w:rPr>
                    <w:rFonts w:ascii="Cambria Math" w:eastAsiaTheme="minorEastAsia" w:hAnsi="Cambria Math" w:cs="Times New Roman"/>
                    <w:sz w:val="26"/>
                    <w:szCs w:val="26"/>
                  </w:rPr>
                  <m:t xml:space="preserve"> </m:t>
                </m:r>
              </m:e>
              <m:e>
                <m:r>
                  <m:rPr>
                    <m:sty m:val="p"/>
                  </m:rPr>
                  <w:rPr>
                    <w:rFonts w:ascii="Cambria Math" w:eastAsiaTheme="minorEastAsia" w:hAnsi="Cambria Math" w:cs="Times New Roman"/>
                    <w:sz w:val="26"/>
                    <w:szCs w:val="26"/>
                  </w:rPr>
                  <m:t xml:space="preserve"> </m:t>
                </m:r>
              </m:e>
            </m:eqArr>
          </m:den>
        </m:f>
        <m:r>
          <w:rPr>
            <w:rFonts w:ascii="Cambria Math" w:eastAsiaTheme="minorEastAsia" w:hAnsi="Cambria Math" w:cs="Times New Roman"/>
            <w:sz w:val="26"/>
            <w:szCs w:val="26"/>
          </w:rPr>
          <m:t>*100</m:t>
        </m:r>
      </m:oMath>
      <w:r w:rsidRPr="00D713DD">
        <w:rPr>
          <w:rFonts w:ascii="Times New Roman" w:eastAsiaTheme="minorEastAsia" w:hAnsi="Times New Roman" w:cs="Times New Roman"/>
          <w:sz w:val="26"/>
          <w:szCs w:val="26"/>
        </w:rPr>
        <w:t>%</w:t>
      </w:r>
    </w:p>
    <w:p w14:paraId="768E2607"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lastRenderedPageBreak/>
        <w:t xml:space="preserve">      Chi phí trả lãi bình quân là yếu tố có vai trò quyết định trong việc xây dựng chính sách lãi suất cho vay, do đó ngân hàng cần phân tích kỹ lưỡng mức lãi suất đầu vào đối với tiền gửi cá nhân.</w:t>
      </w:r>
    </w:p>
    <w:p w14:paraId="4655E263"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Chỉ tiêu này phản ánh chi phí mà ngân hàng phải chi trả cho mỗi đồng vốn huy động được từ khách hàng cá nhân. Nếu chi phí trả lãi bình quân giảm dần qua các năm, đồng thời quy mô vốn huy động cá nhân vẫn tăng trưởng, điều này cho thấy hoạt động huy động vốn từ khách hàng cá nhân của ngân hàng đạt được hiệu quả tích cực.</w:t>
      </w:r>
    </w:p>
    <w:p w14:paraId="67DAD5F1"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w:t>
      </w:r>
      <w:r w:rsidRPr="00D713DD">
        <w:rPr>
          <w:rFonts w:ascii="Times New Roman" w:eastAsiaTheme="minorEastAsia" w:hAnsi="Times New Roman" w:cs="Times New Roman"/>
          <w:b/>
          <w:i/>
          <w:sz w:val="26"/>
          <w:szCs w:val="26"/>
        </w:rPr>
        <w:t>1.5.3.</w:t>
      </w:r>
      <w:r>
        <w:rPr>
          <w:rFonts w:ascii="Times New Roman" w:eastAsiaTheme="minorEastAsia" w:hAnsi="Times New Roman" w:cs="Times New Roman"/>
          <w:b/>
          <w:i/>
          <w:sz w:val="26"/>
          <w:szCs w:val="26"/>
        </w:rPr>
        <w:t>5</w:t>
      </w:r>
      <w:r w:rsidRPr="00D713DD">
        <w:rPr>
          <w:rFonts w:ascii="Times New Roman" w:eastAsiaTheme="minorEastAsia" w:hAnsi="Times New Roman" w:cs="Times New Roman"/>
          <w:b/>
          <w:i/>
          <w:sz w:val="26"/>
          <w:szCs w:val="26"/>
        </w:rPr>
        <w:t xml:space="preserve">. Chi tiêu dư nợ trên tổng vốn huy động </w:t>
      </w:r>
    </w:p>
    <w:p w14:paraId="514E608E"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      Tỷ lệ dư nợ trên tổng vốn huy động từ khách hàng cá nhân phản ánh mức độ sử dụng nguồn vốn tiền gửi cá nhân vào hoạt động cho vay. Chỉ tiêu này càng cao cho thấy ngân hàng khai thác hiệu quả nguồn vốn huy động, tuy nhiên cũng tiềm ẩn rủi ro thanh khoản nếu không được kiểm soát hợp lý.</w:t>
      </w:r>
    </w:p>
    <w:p w14:paraId="46DB17E7"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 xml:space="preserve">Tỷ lệ sử dụng vốn = </w:t>
      </w:r>
      <m:oMath>
        <m:f>
          <m:fPr>
            <m:ctrlPr>
              <w:rPr>
                <w:rFonts w:ascii="Cambria Math" w:eastAsiaTheme="minorEastAsia" w:hAnsi="Cambria Math" w:cs="Times New Roman"/>
                <w:sz w:val="26"/>
                <w:szCs w:val="26"/>
              </w:rPr>
            </m:ctrlPr>
          </m:fPr>
          <m:num>
            <m:r>
              <m:rPr>
                <m:sty m:val="p"/>
              </m:rPr>
              <w:rPr>
                <w:rFonts w:ascii="Cambria Math" w:eastAsiaTheme="minorEastAsia" w:hAnsi="Cambria Math" w:cs="Times New Roman"/>
                <w:sz w:val="26"/>
                <w:szCs w:val="26"/>
              </w:rPr>
              <m:t>Tổng dư nợ cho vay</m:t>
            </m:r>
          </m:num>
          <m:den>
            <m:r>
              <m:rPr>
                <m:sty m:val="p"/>
              </m:rPr>
              <w:rPr>
                <w:rFonts w:ascii="Cambria Math" w:eastAsiaTheme="minorEastAsia" w:hAnsi="Cambria Math" w:cs="Times New Roman"/>
                <w:sz w:val="26"/>
                <w:szCs w:val="26"/>
              </w:rPr>
              <m:t>Tổng vốn huy động</m:t>
            </m:r>
          </m:den>
        </m:f>
        <m:r>
          <w:rPr>
            <w:rFonts w:ascii="Cambria Math" w:eastAsiaTheme="minorEastAsia" w:hAnsi="Cambria Math" w:cs="Times New Roman"/>
            <w:sz w:val="26"/>
            <w:szCs w:val="26"/>
          </w:rPr>
          <m:t>*</m:t>
        </m:r>
        <m:r>
          <m:rPr>
            <m:sty m:val="p"/>
          </m:rPr>
          <w:rPr>
            <w:rFonts w:ascii="Cambria Math" w:eastAsiaTheme="minorEastAsia" w:hAnsi="Cambria Math" w:cs="Times New Roman"/>
            <w:sz w:val="26"/>
            <w:szCs w:val="26"/>
          </w:rPr>
          <m:t>100</m:t>
        </m:r>
      </m:oMath>
      <w:r w:rsidRPr="00D713DD">
        <w:rPr>
          <w:rFonts w:ascii="Times New Roman" w:eastAsiaTheme="minorEastAsia" w:hAnsi="Times New Roman" w:cs="Times New Roman"/>
          <w:sz w:val="26"/>
          <w:szCs w:val="26"/>
        </w:rPr>
        <w:t>%</w:t>
      </w:r>
    </w:p>
    <w:p w14:paraId="5E30DD78"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Nếu tỷ lệ &gt; 100%, ngân hàng đã sử dụng toàn bộ vốn huy động và còn phải bổ sung từ nguồn khác, có thể từ vốn tự có hoặc vay liên ngân hàng.</w:t>
      </w:r>
    </w:p>
    <w:p w14:paraId="13AD3BA8"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Nếu tỷ lệ = 100%, toàn bộ vốn huy động sử dụng cho vay, cho thấy ngân hàng tận dụng tối đa nguồn vốn.</w:t>
      </w:r>
    </w:p>
    <w:p w14:paraId="77D6678E" w14:textId="77777777" w:rsidR="0042797D" w:rsidRPr="00D713DD" w:rsidRDefault="0042797D" w:rsidP="0042797D">
      <w:pPr>
        <w:spacing w:line="360" w:lineRule="auto"/>
        <w:jc w:val="both"/>
        <w:rPr>
          <w:rFonts w:ascii="Times New Roman" w:eastAsiaTheme="minorEastAsia" w:hAnsi="Times New Roman" w:cs="Times New Roman"/>
          <w:sz w:val="26"/>
          <w:szCs w:val="26"/>
        </w:rPr>
      </w:pPr>
      <w:r w:rsidRPr="00D713DD">
        <w:rPr>
          <w:rFonts w:ascii="Times New Roman" w:eastAsiaTheme="minorEastAsia" w:hAnsi="Times New Roman" w:cs="Times New Roman"/>
          <w:sz w:val="26"/>
          <w:szCs w:val="26"/>
        </w:rPr>
        <w:t>Nếu tỷ lệ &lt; 100%, một phần vốn huy động chưa được sử dụng hết, có thể do ngân hàng gặp khó kh</w:t>
      </w:r>
      <w:r>
        <w:rPr>
          <w:rFonts w:ascii="Times New Roman" w:eastAsiaTheme="minorEastAsia" w:hAnsi="Times New Roman" w:cs="Times New Roman"/>
          <w:sz w:val="26"/>
          <w:szCs w:val="26"/>
        </w:rPr>
        <w:t>ăn</w:t>
      </w:r>
      <w:r w:rsidRPr="00D713DD">
        <w:rPr>
          <w:rFonts w:ascii="Times New Roman" w:eastAsiaTheme="minorEastAsia" w:hAnsi="Times New Roman" w:cs="Times New Roman"/>
          <w:sz w:val="26"/>
          <w:szCs w:val="26"/>
        </w:rPr>
        <w:t xml:space="preserve"> trong giải ngân hoặc đang có chiến lược dự trữ thanh khoản.</w:t>
      </w:r>
    </w:p>
    <w:p w14:paraId="774FB662" w14:textId="77777777" w:rsidR="0042797D" w:rsidRPr="00FC115E" w:rsidRDefault="0042797D" w:rsidP="0042797D">
      <w:pPr>
        <w:pStyle w:val="NormalWeb"/>
        <w:spacing w:line="360" w:lineRule="auto"/>
        <w:jc w:val="both"/>
        <w:rPr>
          <w:b/>
          <w:bCs/>
          <w:sz w:val="26"/>
          <w:szCs w:val="26"/>
        </w:rPr>
      </w:pPr>
      <w:r w:rsidRPr="00FC115E">
        <w:rPr>
          <w:b/>
          <w:bCs/>
          <w:sz w:val="26"/>
          <w:szCs w:val="26"/>
        </w:rPr>
        <w:t>1.</w:t>
      </w:r>
      <w:r>
        <w:rPr>
          <w:b/>
          <w:bCs/>
          <w:sz w:val="26"/>
          <w:szCs w:val="26"/>
        </w:rPr>
        <w:t>5</w:t>
      </w:r>
      <w:r w:rsidRPr="00FC115E">
        <w:rPr>
          <w:b/>
          <w:bCs/>
          <w:sz w:val="26"/>
          <w:szCs w:val="26"/>
        </w:rPr>
        <w:t>.</w:t>
      </w:r>
      <w:r>
        <w:rPr>
          <w:b/>
          <w:bCs/>
          <w:sz w:val="26"/>
          <w:szCs w:val="26"/>
        </w:rPr>
        <w:t>4</w:t>
      </w:r>
      <w:r w:rsidRPr="00FC115E">
        <w:rPr>
          <w:b/>
          <w:bCs/>
          <w:sz w:val="26"/>
          <w:szCs w:val="26"/>
        </w:rPr>
        <w:t xml:space="preserve"> Các nhân tố ảnh hưởng đến hoạt động huy động vốn đối với khách hàng cá nhân tại ngân hàng thương mại</w:t>
      </w:r>
    </w:p>
    <w:p w14:paraId="4814BAEC" w14:textId="77777777" w:rsidR="0042797D" w:rsidRPr="00FC115E" w:rsidRDefault="0042797D" w:rsidP="0042797D">
      <w:pPr>
        <w:pStyle w:val="NormalWeb"/>
        <w:spacing w:line="360" w:lineRule="auto"/>
        <w:jc w:val="both"/>
        <w:rPr>
          <w:i/>
          <w:iCs/>
          <w:sz w:val="26"/>
          <w:szCs w:val="26"/>
        </w:rPr>
      </w:pPr>
      <w:r w:rsidRPr="00FC115E">
        <w:rPr>
          <w:i/>
          <w:iCs/>
          <w:sz w:val="26"/>
          <w:szCs w:val="26"/>
        </w:rPr>
        <w:t>a) Nhóm nhân tố bên trong ngân hàng</w:t>
      </w:r>
    </w:p>
    <w:p w14:paraId="5E53CA2C" w14:textId="77777777" w:rsidR="0042797D" w:rsidRPr="004C58A4" w:rsidRDefault="0042797D" w:rsidP="0042797D">
      <w:pPr>
        <w:pStyle w:val="NormalWeb"/>
        <w:spacing w:line="360" w:lineRule="auto"/>
        <w:jc w:val="both"/>
        <w:rPr>
          <w:sz w:val="26"/>
          <w:szCs w:val="26"/>
        </w:rPr>
      </w:pPr>
      <w:r>
        <w:rPr>
          <w:sz w:val="26"/>
          <w:szCs w:val="26"/>
        </w:rPr>
        <w:t xml:space="preserve">    - Chính sách lãi suất huy động vốn: </w:t>
      </w:r>
      <w:r w:rsidRPr="004C58A4">
        <w:rPr>
          <w:sz w:val="26"/>
          <w:szCs w:val="26"/>
        </w:rPr>
        <w:t>Lãi suất là yếu tố quan trọng ảnh hưởng trực tiếp đến quyết định gửi tiền của khách hàng cá nhân. Mức lãi suất hợp lý, linh hoạt theo kỳ hạn và phù hợp với mặt bằng thị trường sẽ góp phần nâng cao khả năng thu hút vốn của ngân hàng.</w:t>
      </w:r>
    </w:p>
    <w:p w14:paraId="4F7FDD0A" w14:textId="77777777" w:rsidR="0042797D" w:rsidRPr="00366C99" w:rsidRDefault="0042797D" w:rsidP="0042797D">
      <w:pPr>
        <w:pStyle w:val="NormalWeb"/>
        <w:spacing w:line="360" w:lineRule="auto"/>
        <w:jc w:val="both"/>
        <w:rPr>
          <w:sz w:val="26"/>
          <w:szCs w:val="26"/>
        </w:rPr>
      </w:pPr>
      <w:r>
        <w:rPr>
          <w:sz w:val="26"/>
          <w:szCs w:val="26"/>
        </w:rPr>
        <w:lastRenderedPageBreak/>
        <w:t xml:space="preserve">    - Sản phẩm huy động vốn: </w:t>
      </w:r>
      <w:r w:rsidRPr="00366C99">
        <w:rPr>
          <w:sz w:val="26"/>
          <w:szCs w:val="26"/>
        </w:rPr>
        <w:t>Sự đa dạng và linh hoạt của các sản phẩm huy động vốn như tiền gửi tiết kiệm, tiền gửi có kỳ hạn, tiết kiệm trực tuyến… ảnh hưởng lớn đến khả năng đáp ứng nhu cầu của khách hàng cá nhân và hiệu quả huy động vốn của ngân hàng.</w:t>
      </w:r>
    </w:p>
    <w:p w14:paraId="774FA76A" w14:textId="77777777" w:rsidR="0042797D" w:rsidRPr="00366C99" w:rsidRDefault="0042797D" w:rsidP="0042797D">
      <w:pPr>
        <w:pStyle w:val="NormalWeb"/>
        <w:spacing w:line="360" w:lineRule="auto"/>
        <w:jc w:val="both"/>
        <w:rPr>
          <w:sz w:val="26"/>
          <w:szCs w:val="26"/>
        </w:rPr>
      </w:pPr>
      <w:r>
        <w:rPr>
          <w:sz w:val="26"/>
          <w:szCs w:val="26"/>
        </w:rPr>
        <w:t xml:space="preserve">    - Chất lượng dịch vụ và đội ngũ nhân sự: </w:t>
      </w:r>
      <w:r w:rsidRPr="00366C99">
        <w:rPr>
          <w:sz w:val="26"/>
          <w:szCs w:val="26"/>
        </w:rPr>
        <w:t>Chất lượng phục vụ, thái độ giao dịch của nhân viên ngân hàng có tác động trực tiếp đến mức độ hài lòng và sự gắn bó của khách hàng cá nhân, từ đó ảnh hưởng đến khả năng duy trì và mở rộng nguồn vốn huy động.</w:t>
      </w:r>
    </w:p>
    <w:p w14:paraId="45D68518" w14:textId="77777777" w:rsidR="0042797D" w:rsidRPr="00CB65AE" w:rsidRDefault="0042797D" w:rsidP="0042797D">
      <w:pPr>
        <w:pStyle w:val="NormalWeb"/>
        <w:spacing w:line="360" w:lineRule="auto"/>
        <w:jc w:val="both"/>
        <w:rPr>
          <w:sz w:val="26"/>
          <w:szCs w:val="26"/>
        </w:rPr>
      </w:pPr>
      <w:r>
        <w:rPr>
          <w:sz w:val="26"/>
          <w:szCs w:val="26"/>
        </w:rPr>
        <w:t xml:space="preserve">    - Uy tín và thương hiệu ngân hàng: </w:t>
      </w:r>
      <w:r w:rsidRPr="00CB65AE">
        <w:rPr>
          <w:sz w:val="26"/>
          <w:szCs w:val="26"/>
        </w:rPr>
        <w:t>Uy tín và thương hiệu phản ánh mức độ tin cậy của khách hàng đối với ngân hàng. Ngân hàng có thương hiệu mạnh, hoạt động ổn định thường có lợi thế trong việc thu hút vốn từ khách hàng cá nhân.</w:t>
      </w:r>
    </w:p>
    <w:p w14:paraId="51BCBFA9" w14:textId="77777777" w:rsidR="0042797D" w:rsidRPr="00CB65AE" w:rsidRDefault="0042797D" w:rsidP="0042797D">
      <w:pPr>
        <w:pStyle w:val="NormalWeb"/>
        <w:spacing w:line="360" w:lineRule="auto"/>
        <w:jc w:val="both"/>
        <w:rPr>
          <w:sz w:val="26"/>
          <w:szCs w:val="26"/>
        </w:rPr>
      </w:pPr>
      <w:r>
        <w:rPr>
          <w:sz w:val="26"/>
          <w:szCs w:val="26"/>
        </w:rPr>
        <w:t xml:space="preserve">    - Mức độ ứng dụng công nghệ và ngân hàng số: </w:t>
      </w:r>
      <w:r w:rsidRPr="00CB65AE">
        <w:rPr>
          <w:sz w:val="26"/>
          <w:szCs w:val="26"/>
        </w:rPr>
        <w:t>Việc ứng dụng công nghệ, phát triển các kênh ngân hàng số giúp khách hàng giao dịch thuận tiện hơn, góp phần nâng cao khả năng tiếp cận và huy động vốn từ khách hàng cá nhân.</w:t>
      </w:r>
    </w:p>
    <w:p w14:paraId="51119D58" w14:textId="77777777" w:rsidR="0042797D" w:rsidRPr="00FC115E" w:rsidRDefault="0042797D" w:rsidP="0042797D">
      <w:pPr>
        <w:pStyle w:val="NormalWeb"/>
        <w:spacing w:line="360" w:lineRule="auto"/>
        <w:jc w:val="both"/>
        <w:rPr>
          <w:i/>
          <w:iCs/>
          <w:sz w:val="26"/>
          <w:szCs w:val="26"/>
        </w:rPr>
      </w:pPr>
      <w:r w:rsidRPr="00FC115E">
        <w:rPr>
          <w:i/>
          <w:iCs/>
          <w:sz w:val="26"/>
          <w:szCs w:val="26"/>
        </w:rPr>
        <w:t>b) Nhóm nhân tố bên ngoài ngân hàng</w:t>
      </w:r>
    </w:p>
    <w:p w14:paraId="2BCE28D7" w14:textId="77777777" w:rsidR="0042797D" w:rsidRPr="00CA7D41" w:rsidRDefault="0042797D" w:rsidP="0042797D">
      <w:pPr>
        <w:pStyle w:val="NormalWeb"/>
        <w:spacing w:line="360" w:lineRule="auto"/>
        <w:jc w:val="both"/>
        <w:rPr>
          <w:sz w:val="26"/>
          <w:szCs w:val="26"/>
        </w:rPr>
      </w:pPr>
      <w:r>
        <w:rPr>
          <w:sz w:val="26"/>
          <w:szCs w:val="26"/>
        </w:rPr>
        <w:t xml:space="preserve">    - Môi trường kinh tế - xã hội: </w:t>
      </w:r>
      <w:r w:rsidRPr="00CA7D41">
        <w:rPr>
          <w:sz w:val="26"/>
          <w:szCs w:val="26"/>
        </w:rPr>
        <w:t>Tình hình kinh tế, thu nhập và mức sống của dân cư ảnh hưởng trực tiếp đến khả năng tích lũy và gửi tiền của khách hàng cá nhân. Khi kinh tế ổn định và thu nhập tăng, nhu cầu gửi tiền tại ngân hàng có xu hướng gia tăng.</w:t>
      </w:r>
    </w:p>
    <w:p w14:paraId="1F017ADA" w14:textId="77777777" w:rsidR="0042797D" w:rsidRPr="00CA7D41" w:rsidRDefault="0042797D" w:rsidP="0042797D">
      <w:pPr>
        <w:pStyle w:val="NormalWeb"/>
        <w:spacing w:line="360" w:lineRule="auto"/>
        <w:jc w:val="both"/>
        <w:rPr>
          <w:sz w:val="26"/>
          <w:szCs w:val="26"/>
        </w:rPr>
      </w:pPr>
      <w:r>
        <w:rPr>
          <w:sz w:val="26"/>
          <w:szCs w:val="26"/>
        </w:rPr>
        <w:t xml:space="preserve">    - Chính sách và quy định của nhà nước: </w:t>
      </w:r>
      <w:r w:rsidRPr="00CA7D41">
        <w:rPr>
          <w:sz w:val="26"/>
          <w:szCs w:val="26"/>
        </w:rPr>
        <w:t>Các quy định về lãi suất, an toàn vốn, bảo hiểm tiền gửi và chính sách tiền tệ của Ngân hàng Nhà nước có tác động lớn đến hoạt động huy động vốn của ngân hàng thương mại.</w:t>
      </w:r>
    </w:p>
    <w:p w14:paraId="16D2C042" w14:textId="77777777" w:rsidR="0042797D" w:rsidRPr="00CA7D41" w:rsidRDefault="0042797D" w:rsidP="0042797D">
      <w:pPr>
        <w:pStyle w:val="NormalWeb"/>
        <w:spacing w:line="360" w:lineRule="auto"/>
        <w:jc w:val="both"/>
        <w:rPr>
          <w:sz w:val="26"/>
          <w:szCs w:val="26"/>
        </w:rPr>
      </w:pPr>
      <w:r>
        <w:rPr>
          <w:sz w:val="26"/>
          <w:szCs w:val="26"/>
        </w:rPr>
        <w:t xml:space="preserve">    - Mức độ cạnh tranh trên thị trường ngân hàng: </w:t>
      </w:r>
      <w:r w:rsidRPr="00CA7D41">
        <w:rPr>
          <w:sz w:val="26"/>
          <w:szCs w:val="26"/>
        </w:rPr>
        <w:t>Sự cạnh tranh giữa các ngân hàng thương mại và các tổ chức tài chính khác ảnh hưởng đến khả năng thu hút khách hàng cá nhân, đặc biệt trong bối cảnh các sản phẩm huy động vốn ngày càng tương đồng.</w:t>
      </w:r>
    </w:p>
    <w:p w14:paraId="2E266D42" w14:textId="77777777" w:rsidR="0042797D" w:rsidRPr="00CA7D41" w:rsidRDefault="0042797D" w:rsidP="0042797D">
      <w:pPr>
        <w:pStyle w:val="NormalWeb"/>
        <w:spacing w:line="360" w:lineRule="auto"/>
        <w:jc w:val="both"/>
        <w:rPr>
          <w:sz w:val="26"/>
          <w:szCs w:val="26"/>
        </w:rPr>
      </w:pPr>
      <w:r>
        <w:rPr>
          <w:sz w:val="26"/>
          <w:szCs w:val="26"/>
        </w:rPr>
        <w:t xml:space="preserve">    - Tâm lý và thói quen của khách hàng cá nhân: </w:t>
      </w:r>
      <w:r w:rsidRPr="00CA7D41">
        <w:rPr>
          <w:sz w:val="26"/>
          <w:szCs w:val="26"/>
        </w:rPr>
        <w:t>Tâm lý ưa an toàn, thói quen gửi tiền và mức độ hiểu biết tài chính của khách hàng cá nhân là những yếu tố ảnh hưởng đến quyết định lựa chọn ngân hàng và hình thức gửi tiền.</w:t>
      </w:r>
    </w:p>
    <w:p w14:paraId="56540E7C" w14:textId="77777777" w:rsidR="0042797D" w:rsidRDefault="0042797D" w:rsidP="0042797D">
      <w:pPr>
        <w:pStyle w:val="NormalWeb"/>
        <w:spacing w:line="360" w:lineRule="auto"/>
        <w:jc w:val="both"/>
        <w:rPr>
          <w:b/>
          <w:bCs/>
          <w:sz w:val="26"/>
          <w:szCs w:val="26"/>
        </w:rPr>
      </w:pPr>
      <w:r w:rsidRPr="004D3F34">
        <w:rPr>
          <w:b/>
          <w:bCs/>
          <w:sz w:val="26"/>
          <w:szCs w:val="26"/>
        </w:rPr>
        <w:lastRenderedPageBreak/>
        <w:t xml:space="preserve">CHƯƠNG 2: THỰC TRẠNG HOẠT ĐỘNG HUY ĐỘNG VỐN ĐỐI VỚI KHÁCH CÁ NHÂN TẠI NGÂN HÀNG TMCP NAM Á – CHI NHÁNH ĐÀ NẴNG – PHÒNG GIAO DỊCH CẨM LỆ </w:t>
      </w:r>
    </w:p>
    <w:p w14:paraId="71BC8DA7" w14:textId="77777777" w:rsidR="0042797D" w:rsidRDefault="0042797D" w:rsidP="0042797D">
      <w:pPr>
        <w:pStyle w:val="NormalWeb"/>
        <w:spacing w:line="360" w:lineRule="auto"/>
        <w:jc w:val="both"/>
        <w:rPr>
          <w:b/>
          <w:bCs/>
          <w:sz w:val="26"/>
          <w:szCs w:val="26"/>
        </w:rPr>
      </w:pPr>
      <w:r>
        <w:rPr>
          <w:b/>
          <w:bCs/>
          <w:sz w:val="26"/>
          <w:szCs w:val="26"/>
        </w:rPr>
        <w:t xml:space="preserve">2.1 GIỚI THIỆU CHUNG VỀ NGÂN HÀNG THƯƠNG MẠI CỔ PHẦN NAM Á -CHI NHÁNH ĐÀ NẴNG – PDG CẨM LỆ </w:t>
      </w:r>
    </w:p>
    <w:p w14:paraId="69933202" w14:textId="77777777" w:rsidR="0042797D" w:rsidRDefault="0042797D" w:rsidP="0042797D">
      <w:pPr>
        <w:pStyle w:val="NormalWeb"/>
        <w:spacing w:line="360" w:lineRule="auto"/>
        <w:jc w:val="both"/>
        <w:rPr>
          <w:b/>
          <w:bCs/>
          <w:sz w:val="26"/>
          <w:szCs w:val="26"/>
        </w:rPr>
      </w:pPr>
      <w:r>
        <w:rPr>
          <w:b/>
          <w:bCs/>
          <w:sz w:val="26"/>
          <w:szCs w:val="26"/>
        </w:rPr>
        <w:t>2.1.1 Quá trình hình thành và phát triển của Ngân hàng TMCP Nam Á – Chi nhánh Đà Nẵng – PGD Cẩm Lệ</w:t>
      </w:r>
    </w:p>
    <w:p w14:paraId="4EF257C2" w14:textId="77777777" w:rsidR="0042797D" w:rsidRDefault="0042797D" w:rsidP="0042797D">
      <w:pPr>
        <w:pStyle w:val="NormalWeb"/>
        <w:spacing w:line="360" w:lineRule="auto"/>
        <w:jc w:val="both"/>
        <w:rPr>
          <w:sz w:val="26"/>
          <w:szCs w:val="26"/>
        </w:rPr>
      </w:pPr>
      <w:r w:rsidRPr="00052DFF">
        <w:rPr>
          <w:sz w:val="26"/>
          <w:szCs w:val="26"/>
        </w:rPr>
        <w:t>Tên đơn vị: Ngân hàng Thương mại Cổ phần Nam Á (Nam A Bank) – PGD Cẩm Lệ</w:t>
      </w:r>
    </w:p>
    <w:p w14:paraId="421D8FEF" w14:textId="77777777" w:rsidR="0042797D" w:rsidRDefault="0042797D" w:rsidP="0042797D">
      <w:pPr>
        <w:pStyle w:val="NormalWeb"/>
        <w:spacing w:line="360" w:lineRule="auto"/>
        <w:jc w:val="both"/>
        <w:rPr>
          <w:sz w:val="26"/>
          <w:szCs w:val="26"/>
        </w:rPr>
      </w:pPr>
      <w:r>
        <w:rPr>
          <w:noProof/>
          <w:color w:val="000000" w:themeColor="text1"/>
          <w:szCs w:val="26"/>
          <w:shd w:val="clear" w:color="auto" w:fill="FFFFFF"/>
        </w:rPr>
        <w:drawing>
          <wp:inline distT="0" distB="0" distL="0" distR="0" wp14:anchorId="5933407C" wp14:editId="1E3DA8BF">
            <wp:extent cx="5580380" cy="2232660"/>
            <wp:effectExtent l="0" t="0" r="127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80380" cy="2232660"/>
                    </a:xfrm>
                    <a:prstGeom prst="rect">
                      <a:avLst/>
                    </a:prstGeom>
                  </pic:spPr>
                </pic:pic>
              </a:graphicData>
            </a:graphic>
          </wp:inline>
        </w:drawing>
      </w:r>
    </w:p>
    <w:p w14:paraId="0327913B" w14:textId="77777777" w:rsidR="0042797D" w:rsidRPr="00AC4ED1" w:rsidRDefault="0042797D" w:rsidP="0042797D">
      <w:pPr>
        <w:pStyle w:val="NormalWeb"/>
        <w:spacing w:line="360" w:lineRule="auto"/>
        <w:jc w:val="both"/>
        <w:rPr>
          <w:i/>
          <w:iCs/>
          <w:sz w:val="26"/>
          <w:szCs w:val="26"/>
        </w:rPr>
      </w:pPr>
      <w:r w:rsidRPr="00AC4ED1">
        <w:rPr>
          <w:i/>
          <w:iCs/>
          <w:sz w:val="26"/>
          <w:szCs w:val="26"/>
        </w:rPr>
        <w:t>Hình 2.1 Logo của Ngân hàng Thương mại Cổ phần Nam Á</w:t>
      </w:r>
    </w:p>
    <w:p w14:paraId="1FFB29E6" w14:textId="77777777" w:rsidR="0042797D" w:rsidRPr="00052DFF" w:rsidRDefault="0042797D" w:rsidP="0042797D">
      <w:pPr>
        <w:pStyle w:val="NormalWeb"/>
        <w:spacing w:line="360" w:lineRule="auto"/>
        <w:jc w:val="both"/>
        <w:rPr>
          <w:sz w:val="26"/>
          <w:szCs w:val="26"/>
        </w:rPr>
      </w:pPr>
      <w:r w:rsidRPr="00052DFF">
        <w:rPr>
          <w:sz w:val="26"/>
          <w:szCs w:val="26"/>
        </w:rPr>
        <w:t>Ngày 31/8/2011 Nam A Bank thành lập Phòng giao dịch Lê Duẩn trực thuộc Chi nhánh Đà Nẵng, tọa lạc tại số 46 Lê Duẩn, quận Hải Châu, TP. Đà Nẵng.</w:t>
      </w:r>
      <w:r>
        <w:rPr>
          <w:sz w:val="26"/>
          <w:szCs w:val="26"/>
        </w:rPr>
        <w:t xml:space="preserve"> </w:t>
      </w:r>
      <w:r w:rsidRPr="00052DFF">
        <w:rPr>
          <w:sz w:val="26"/>
          <w:szCs w:val="26"/>
        </w:rPr>
        <w:t>Phòng giao dịch được thành lập nhằm đáp ứng nhu cầu gửi tiền, nhu cầu vốn phục vụ tiêu dùng và mở rộng hoạt động sản xuất kinh doanh của khách hàng, đồng thời góp phần thúc đẩy phát triển kinh tế địa phương.</w:t>
      </w:r>
      <w:r>
        <w:rPr>
          <w:sz w:val="26"/>
          <w:szCs w:val="26"/>
        </w:rPr>
        <w:t xml:space="preserve"> </w:t>
      </w:r>
      <w:r w:rsidRPr="00052DFF">
        <w:rPr>
          <w:sz w:val="26"/>
          <w:szCs w:val="26"/>
        </w:rPr>
        <w:t>Cung cấp đầy đủ các sản phẩm và dịch vụ ngân hàng hiện đại như: huy động vốn, cho vay, hệ thống ATM/POS, SMS Banking, Internet Banking, thanh toán hóa đơn điện, nước và các dịch vụ ngân hàng tiện ích khác.</w:t>
      </w:r>
    </w:p>
    <w:p w14:paraId="01832F82" w14:textId="77777777" w:rsidR="0042797D" w:rsidRPr="00052DFF" w:rsidRDefault="0042797D" w:rsidP="0042797D">
      <w:pPr>
        <w:pStyle w:val="NormalWeb"/>
        <w:spacing w:line="360" w:lineRule="auto"/>
        <w:jc w:val="both"/>
        <w:rPr>
          <w:sz w:val="26"/>
          <w:szCs w:val="26"/>
        </w:rPr>
      </w:pPr>
      <w:r w:rsidRPr="00052DFF">
        <w:rPr>
          <w:sz w:val="26"/>
          <w:szCs w:val="26"/>
        </w:rPr>
        <w:t>Căn cứ Nghị quyết số 1143/2022/NNQT-NHNA ngày 07/11/2022 của Hội đồng Quản trị.</w:t>
      </w:r>
      <w:r>
        <w:rPr>
          <w:sz w:val="26"/>
          <w:szCs w:val="26"/>
        </w:rPr>
        <w:t xml:space="preserve"> </w:t>
      </w:r>
      <w:r w:rsidRPr="00052DFF">
        <w:rPr>
          <w:sz w:val="26"/>
          <w:szCs w:val="26"/>
        </w:rPr>
        <w:t xml:space="preserve">Căn cứ Giấy chứng nhận đăng ký địa điểm kinh doanh do Phòng Đăng ký Kinh doanh – Sở </w:t>
      </w:r>
      <w:r w:rsidRPr="00052DFF">
        <w:rPr>
          <w:sz w:val="26"/>
          <w:szCs w:val="26"/>
        </w:rPr>
        <w:lastRenderedPageBreak/>
        <w:t>Kế hoạch và Đầu tư TP. Đà Nẵng cấp (thay đổi lần thứ 4 ngày 15/11/2022).</w:t>
      </w:r>
      <w:r>
        <w:rPr>
          <w:sz w:val="26"/>
          <w:szCs w:val="26"/>
        </w:rPr>
        <w:t xml:space="preserve"> </w:t>
      </w:r>
      <w:r w:rsidRPr="00052DFF">
        <w:rPr>
          <w:sz w:val="26"/>
          <w:szCs w:val="26"/>
        </w:rPr>
        <w:t>Tên gọi cũ: Ngân hàng TMCP Nam Á – Phòng giao dịch Lê Duẩn.</w:t>
      </w:r>
      <w:r>
        <w:rPr>
          <w:sz w:val="26"/>
          <w:szCs w:val="26"/>
        </w:rPr>
        <w:t xml:space="preserve"> </w:t>
      </w:r>
      <w:r w:rsidRPr="00052DFF">
        <w:rPr>
          <w:sz w:val="26"/>
          <w:szCs w:val="26"/>
        </w:rPr>
        <w:t>Tên gọi mới: Ngân hàng TMCP Nam Á – Phòng giao dịch Cẩm Lệ.</w:t>
      </w:r>
      <w:r>
        <w:rPr>
          <w:sz w:val="26"/>
          <w:szCs w:val="26"/>
        </w:rPr>
        <w:t xml:space="preserve"> </w:t>
      </w:r>
      <w:r w:rsidRPr="00052DFF">
        <w:rPr>
          <w:sz w:val="26"/>
          <w:szCs w:val="26"/>
        </w:rPr>
        <w:t>Thời gian áp dụng: Kể từ ngày 28/11/2022.</w:t>
      </w:r>
      <w:r>
        <w:rPr>
          <w:sz w:val="26"/>
          <w:szCs w:val="26"/>
        </w:rPr>
        <w:t xml:space="preserve"> </w:t>
      </w:r>
      <w:r w:rsidRPr="00052DFF">
        <w:rPr>
          <w:sz w:val="26"/>
          <w:szCs w:val="26"/>
        </w:rPr>
        <w:t>Địa chỉ trụ sở mới: Số 51–53–55 Nguyễn Phước Lan, phường Hòa Xuân, quận Cẩm Lệ, thành phố Đà Nẵng.</w:t>
      </w:r>
    </w:p>
    <w:p w14:paraId="20C23544" w14:textId="77777777" w:rsidR="0042797D" w:rsidRPr="00052DFF" w:rsidRDefault="0042797D" w:rsidP="0042797D">
      <w:pPr>
        <w:pStyle w:val="NormalWeb"/>
        <w:spacing w:line="360" w:lineRule="auto"/>
        <w:jc w:val="both"/>
        <w:rPr>
          <w:sz w:val="26"/>
          <w:szCs w:val="26"/>
        </w:rPr>
      </w:pPr>
      <w:r w:rsidRPr="00052DFF">
        <w:rPr>
          <w:sz w:val="26"/>
          <w:szCs w:val="26"/>
        </w:rPr>
        <w:t xml:space="preserve"> </w:t>
      </w:r>
      <w:r>
        <w:rPr>
          <w:sz w:val="26"/>
          <w:szCs w:val="26"/>
        </w:rPr>
        <w:tab/>
      </w:r>
      <w:r w:rsidRPr="00052DFF">
        <w:rPr>
          <w:sz w:val="26"/>
          <w:szCs w:val="26"/>
        </w:rPr>
        <w:t>Phòng giao dịch Cẩm Lệ thực hiện đầy đủ các nghiệp vụ ngân hàng cơ bản nhằm phục vụ nhu cầu tài chính – ngân hàng của khách hàng cá nhân và các tổ chức kinh tế trên địa bàn. Cụ thể, Phòng giao dịch tiếp nhận và xử lý các giao dịch gửi – rút tiền mặt, chuyển khoản trong và ngoài hệ thống, thanh toán các loại hóa đơn dịch vụ, phát hành thẻ ngân hàng, cung cấp sao kê tài khoản và hỗ trợ các yêu cầu phát sinh khác của khách hàng trong quá trình giao dịch. Song song với đó, đơn vị còn triển khai hoạt động huy động vốn thông qua các sản phẩm tiền gửi tiết kiệm đa dạng, tư vấn, thẩm định và giải ngân các khoản vay nhỏ lẻ phù hợp với nhu cầu và khả năng tài chính của khách hàng, đồng thời hỗ trợ khách hàng tiếp cận và sử dụng các dịch vụ ngân hàng số như Mobile Banking, Internet Banking và OneBank.</w:t>
      </w:r>
    </w:p>
    <w:p w14:paraId="55823D88" w14:textId="77777777" w:rsidR="0042797D" w:rsidRPr="00052DFF" w:rsidRDefault="0042797D" w:rsidP="0042797D">
      <w:pPr>
        <w:pStyle w:val="NormalWeb"/>
        <w:spacing w:line="360" w:lineRule="auto"/>
        <w:jc w:val="both"/>
        <w:rPr>
          <w:sz w:val="26"/>
          <w:szCs w:val="26"/>
        </w:rPr>
      </w:pPr>
      <w:r w:rsidRPr="00052DFF">
        <w:rPr>
          <w:sz w:val="26"/>
          <w:szCs w:val="26"/>
        </w:rPr>
        <w:t xml:space="preserve"> Bên cạnh các nghiệp vụ giao dịch truyền thống, Phòng giao dịch Cẩm Lệ còn chú trọng công tác bán chéo sản phẩm, chủ động tìm kiếm, tiếp cận và chăm sóc khách hàng trên địa bàn, tổ chức các chương trình tiếp thị, giới thiệu sản phẩm và các hoạt động khuyến mãi nhằm gia tăng mức độ nhận diện thương hiệu cũng như nâng cao sự gắn kết với khách hàng. Đồng thời, đơn vị tiếp nhận, ghi nhận và xử lý kịp thời các ý kiến phản hồi, thắc mắc và khiếu nại của khách hàng, từ đó từng bước cải thiện và nâng cao chất lượng dịch vụ cung ứng.</w:t>
      </w:r>
    </w:p>
    <w:p w14:paraId="007F68DC" w14:textId="77777777" w:rsidR="0042797D" w:rsidRPr="00052DFF" w:rsidRDefault="0042797D" w:rsidP="0042797D">
      <w:pPr>
        <w:pStyle w:val="NormalWeb"/>
        <w:spacing w:line="360" w:lineRule="auto"/>
        <w:jc w:val="both"/>
        <w:rPr>
          <w:sz w:val="26"/>
          <w:szCs w:val="26"/>
        </w:rPr>
      </w:pPr>
      <w:r w:rsidRPr="00052DFF">
        <w:rPr>
          <w:sz w:val="26"/>
          <w:szCs w:val="26"/>
        </w:rPr>
        <w:t xml:space="preserve">Ngoài ra, Phòng giao dịch còn tích cực hướng dẫn, tư vấn và khuyến khích khách hàng chuyển dần từ hình thức giao dịch truyền thống tại quầy sang sử dụng hệ sinh thái ngân hàng số của Nam A Bank như OneBank, góp phần nâng cao trải nghiệm khách hàng, tiết kiệm thời gian giao dịch và bắt kịp xu hướng chuyển đổi số trong hoạt động ngân hàng. Song song với đó, đơn vị thực hiện nghiêm túc công tác kiểm đếm, quản lý và bảo quản tiền mặt, các giấy tờ có giá của khách hàng theo đúng quy định, tuân thủ chuẩn mực tác </w:t>
      </w:r>
      <w:r w:rsidRPr="00052DFF">
        <w:rPr>
          <w:sz w:val="26"/>
          <w:szCs w:val="26"/>
        </w:rPr>
        <w:lastRenderedPageBreak/>
        <w:t>phong giao dịch chuyên nghiệp, lịch sự và thân thiện, qua đó duy trì và nâng cao uy tín, hình ảnh thương hiệu Ngân hàng Nam Á trên địa bàn thành phố Đà Nẵng.</w:t>
      </w:r>
    </w:p>
    <w:p w14:paraId="32E65EA5" w14:textId="77777777" w:rsidR="0042797D" w:rsidRDefault="0042797D" w:rsidP="0042797D">
      <w:pPr>
        <w:pStyle w:val="NormalWeb"/>
        <w:spacing w:line="360" w:lineRule="auto"/>
        <w:jc w:val="both"/>
      </w:pPr>
      <w:r>
        <w:rPr>
          <w:b/>
          <w:bCs/>
          <w:sz w:val="26"/>
          <w:szCs w:val="26"/>
        </w:rPr>
        <w:t>2.1.2 Chức năng, nhiệm vụ của Ngân hàng TMCP Nam Á – Chi nhánh Đà Nẵng – PGD Cẩm Lệ</w:t>
      </w:r>
    </w:p>
    <w:p w14:paraId="4AC9A58D" w14:textId="77777777" w:rsidR="0042797D" w:rsidRDefault="0042797D" w:rsidP="0042797D">
      <w:pPr>
        <w:pStyle w:val="NormalWeb"/>
        <w:spacing w:line="360" w:lineRule="auto"/>
        <w:jc w:val="both"/>
      </w:pPr>
      <w:r>
        <w:rPr>
          <w:sz w:val="26"/>
          <w:szCs w:val="26"/>
        </w:rPr>
        <w:t>Ngân hàng TMCP Nam Á – Chi nhánh Đà Nẵng – Phòng giao dịch Cẩm Lệ là đơn vị kinh doanh trực thuộc hệ thống Nam A Bank, hoạt động theo sự phân cấp quản lý của Hội sở và Chi nhánh Đà Nẵng. Với vai trò là điểm giao dịch bán lẻ trên địa bàn quận Cẩm Lệ và khu vực lân cận, PGD Cẩm Lệ thực hiện các chức năng cung ứng sản phẩm – dịch vụ ngân hàng, tổ chức huy động vốn, triển khai tín dụng và dịch vụ thanh toán, đồng thời đảm bảo tuân thủ quy định pháp luật và quy trình nội bộ của Nam A Bank.</w:t>
      </w:r>
    </w:p>
    <w:p w14:paraId="34E0EDC0" w14:textId="77777777" w:rsidR="0042797D" w:rsidRDefault="0042797D" w:rsidP="0042797D">
      <w:pPr>
        <w:pStyle w:val="NormalWeb"/>
        <w:spacing w:line="360" w:lineRule="auto"/>
        <w:jc w:val="both"/>
      </w:pPr>
      <w:r>
        <w:rPr>
          <w:sz w:val="26"/>
          <w:szCs w:val="26"/>
        </w:rPr>
        <w:t>Về cơ bản, các chức năng chủ yếu của PGD Cẩm Lệ bao gồm:</w:t>
      </w:r>
    </w:p>
    <w:p w14:paraId="340DA08A" w14:textId="77777777" w:rsidR="0042797D" w:rsidRPr="00E67628" w:rsidRDefault="0042797D" w:rsidP="0042797D">
      <w:pPr>
        <w:numPr>
          <w:ilvl w:val="0"/>
          <w:numId w:val="5"/>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Chức năng huy động vốn</w:t>
      </w:r>
      <w:r w:rsidRPr="00E67628">
        <w:rPr>
          <w:rFonts w:ascii="Times New Roman" w:hAnsi="Times New Roman" w:cs="Times New Roman"/>
          <w:b/>
          <w:bCs/>
          <w:sz w:val="26"/>
          <w:szCs w:val="26"/>
        </w:rPr>
        <w:t>:</w:t>
      </w:r>
      <w:r w:rsidRPr="00E67628">
        <w:rPr>
          <w:rFonts w:ascii="Times New Roman" w:hAnsi="Times New Roman" w:cs="Times New Roman"/>
          <w:sz w:val="26"/>
          <w:szCs w:val="26"/>
        </w:rPr>
        <w:t xml:space="preserve"> Tổ chức triển khai các sản phẩm tiền gửi (tiền gửi thanh toán, tiết kiệm, tiền gửi có kỳ hạn…), tư vấn chính sách lãi suất – ưu đãi theo từng thời kỳ, chăm sóc khách hàng nhằm tăng quy mô và chất lượng nguồn vốn huy động, đặc biệt là nguồn vốn từ khách hàng cá nhân.</w:t>
      </w:r>
    </w:p>
    <w:p w14:paraId="09D4940B" w14:textId="77777777" w:rsidR="0042797D" w:rsidRPr="00E67628" w:rsidRDefault="0042797D" w:rsidP="0042797D">
      <w:pPr>
        <w:numPr>
          <w:ilvl w:val="0"/>
          <w:numId w:val="5"/>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Chức năng cấp tín dụng và phát triển khách hàng: Tiếp nhận nhu cầu vay vốn; hướng dẫn hồ sơ; thẩm định, đề xuất cấp tín dụng theo phân quyền; phối hợp giải ngân, theo dõi và quản lý khoản vay nhằm đáp ứng nhu cầu vốn tiêu dùng và sản xuất – kinh doanh của khách hàng.</w:t>
      </w:r>
    </w:p>
    <w:p w14:paraId="3B402F88" w14:textId="77777777" w:rsidR="0042797D" w:rsidRPr="00E67628" w:rsidRDefault="0042797D" w:rsidP="0042797D">
      <w:pPr>
        <w:numPr>
          <w:ilvl w:val="0"/>
          <w:numId w:val="5"/>
        </w:numPr>
        <w:spacing w:beforeAutospacing="1" w:after="0" w:afterAutospacing="1" w:line="360" w:lineRule="auto"/>
        <w:jc w:val="both"/>
        <w:rPr>
          <w:rFonts w:ascii="Times New Roman" w:hAnsi="Times New Roman" w:cs="Times New Roman"/>
        </w:rPr>
      </w:pPr>
      <w:r w:rsidRPr="00B323EC">
        <w:rPr>
          <w:rFonts w:ascii="Times New Roman" w:hAnsi="Times New Roman" w:cs="Times New Roman"/>
          <w:sz w:val="26"/>
          <w:szCs w:val="26"/>
        </w:rPr>
        <w:t>Chức năng cung ứng dịch vụ thanh toán:</w:t>
      </w:r>
      <w:r w:rsidRPr="00E67628">
        <w:rPr>
          <w:rFonts w:ascii="Times New Roman" w:hAnsi="Times New Roman" w:cs="Times New Roman"/>
          <w:sz w:val="26"/>
          <w:szCs w:val="26"/>
        </w:rPr>
        <w:t xml:space="preserve"> Mở và quản lý tài khoản; thực hiện thu – chi, chuyển tiền, thanh toán trong nước; dịch vụ thẻ/ATM/POS; thanh toán hóa đơn và các dịch vụ ngân hàng điện tử theo quy định của Nam A Bank.</w:t>
      </w:r>
    </w:p>
    <w:p w14:paraId="286C3D77" w14:textId="77777777" w:rsidR="0042797D" w:rsidRPr="00E67628" w:rsidRDefault="0042797D" w:rsidP="0042797D">
      <w:pPr>
        <w:numPr>
          <w:ilvl w:val="0"/>
          <w:numId w:val="5"/>
        </w:numPr>
        <w:spacing w:beforeAutospacing="1" w:after="0" w:afterAutospacing="1" w:line="360" w:lineRule="auto"/>
        <w:jc w:val="both"/>
        <w:rPr>
          <w:rFonts w:ascii="Times New Roman" w:hAnsi="Times New Roman" w:cs="Times New Roman"/>
        </w:rPr>
      </w:pPr>
      <w:r w:rsidRPr="00B323EC">
        <w:rPr>
          <w:rFonts w:ascii="Times New Roman" w:hAnsi="Times New Roman" w:cs="Times New Roman"/>
          <w:sz w:val="26"/>
          <w:szCs w:val="26"/>
        </w:rPr>
        <w:t>Chức năng kinh doanh dịch vụ và bán chéo:</w:t>
      </w:r>
      <w:r w:rsidRPr="00E67628">
        <w:rPr>
          <w:rFonts w:ascii="Times New Roman" w:hAnsi="Times New Roman" w:cs="Times New Roman"/>
          <w:sz w:val="26"/>
          <w:szCs w:val="26"/>
        </w:rPr>
        <w:t xml:space="preserve"> Tư vấn và cung cấp các sản phẩm dịch vụ khác (bảo hiểm liên kết, kiều hối, ngoại tệ theo phân quyền, dịch vụ số…), phát triển tệp khách hàng và gia tăng mức độ gắn kết thông qua hoạt động bán chéo.</w:t>
      </w:r>
    </w:p>
    <w:p w14:paraId="5B7EB587" w14:textId="77777777" w:rsidR="0042797D" w:rsidRPr="00E67628" w:rsidRDefault="0042797D" w:rsidP="0042797D">
      <w:pPr>
        <w:numPr>
          <w:ilvl w:val="0"/>
          <w:numId w:val="5"/>
        </w:numPr>
        <w:spacing w:beforeAutospacing="1" w:after="0" w:afterAutospacing="1" w:line="360" w:lineRule="auto"/>
        <w:jc w:val="both"/>
        <w:rPr>
          <w:rFonts w:ascii="Times New Roman" w:hAnsi="Times New Roman" w:cs="Times New Roman"/>
        </w:rPr>
      </w:pPr>
      <w:r w:rsidRPr="00B323EC">
        <w:rPr>
          <w:rFonts w:ascii="Times New Roman" w:hAnsi="Times New Roman" w:cs="Times New Roman"/>
          <w:sz w:val="26"/>
          <w:szCs w:val="26"/>
        </w:rPr>
        <w:t>Chức năng quản trị vận hành tại đơn vị:</w:t>
      </w:r>
      <w:r w:rsidRPr="00E67628">
        <w:rPr>
          <w:rFonts w:ascii="Times New Roman" w:hAnsi="Times New Roman" w:cs="Times New Roman"/>
          <w:sz w:val="26"/>
          <w:szCs w:val="26"/>
        </w:rPr>
        <w:t xml:space="preserve"> Tổ chức nhân sự, quản lý hồ sơ – chứng từ, quản lý tài sản – tiền mặt – giấy tờ có giá, đảm bảo an toàn kho quỹ và chất lượng phục vụ tại quầy.</w:t>
      </w:r>
    </w:p>
    <w:p w14:paraId="2706D7D5" w14:textId="77777777" w:rsidR="0042797D" w:rsidRPr="00E67628" w:rsidRDefault="0042797D" w:rsidP="0042797D">
      <w:pPr>
        <w:spacing w:line="360" w:lineRule="auto"/>
        <w:jc w:val="both"/>
        <w:rPr>
          <w:rFonts w:ascii="Times New Roman" w:hAnsi="Times New Roman" w:cs="Times New Roman"/>
        </w:rPr>
      </w:pPr>
      <w:r w:rsidRPr="00E67628">
        <w:rPr>
          <w:rFonts w:ascii="Times New Roman" w:hAnsi="Times New Roman" w:cs="Times New Roman"/>
          <w:sz w:val="26"/>
          <w:szCs w:val="26"/>
        </w:rPr>
        <w:lastRenderedPageBreak/>
        <w:t>Trên cơ sở các chức năng nêu trên, PGD Cẩm Lệ thực hiện một số nhiệm vụ trọng tâm sau:</w:t>
      </w:r>
    </w:p>
    <w:p w14:paraId="4C92CD69" w14:textId="77777777" w:rsidR="0042797D" w:rsidRPr="00E67628" w:rsidRDefault="0042797D" w:rsidP="0042797D">
      <w:pPr>
        <w:numPr>
          <w:ilvl w:val="0"/>
          <w:numId w:val="6"/>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Triển khai kế hoạch kinh doanh, chỉ tiêu huy động vốn và tín dụng được giao; chủ động xây dựng danh sách khách hàng mục tiêu, tiếp thị sản phẩm phù hợp từng phân khúc trên địa bàn.</w:t>
      </w:r>
    </w:p>
    <w:p w14:paraId="36DF167A" w14:textId="77777777" w:rsidR="0042797D" w:rsidRPr="00E67628" w:rsidRDefault="0042797D" w:rsidP="0042797D">
      <w:pPr>
        <w:numPr>
          <w:ilvl w:val="0"/>
          <w:numId w:val="6"/>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Tổ chức tiếp nhận và xử lý giao dịch tại quầy nhanh chóng, chính xác; đảm bảo trải nghiệm khách hàng và chất lượng dịch vụ theo tiêu chuẩn của Nam A Bank.</w:t>
      </w:r>
    </w:p>
    <w:p w14:paraId="276E1E4A" w14:textId="77777777" w:rsidR="0042797D" w:rsidRPr="00E67628" w:rsidRDefault="0042797D" w:rsidP="0042797D">
      <w:pPr>
        <w:numPr>
          <w:ilvl w:val="0"/>
          <w:numId w:val="6"/>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Thực hiện công tác tư vấn, mở tài khoản, phát triển tiền gửi thanh toán (CASA); hướng dẫn khách hàng sử dụng Mobile Banking/Internet Banking/OneBank để gia tăng mức độ gắn kết và duy trì số dư tiền gửi.</w:t>
      </w:r>
    </w:p>
    <w:p w14:paraId="468CB9CD" w14:textId="77777777" w:rsidR="0042797D" w:rsidRPr="00E67628" w:rsidRDefault="0042797D" w:rsidP="0042797D">
      <w:pPr>
        <w:numPr>
          <w:ilvl w:val="0"/>
          <w:numId w:val="6"/>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Tiếp nhận, thẩm định hồ sơ tín dụng theo quy trình; kiểm tra mục đích sử dụng vốn; theo dõi tình hình trả nợ và phối hợp xử lý các khoản nợ phát sinh theo quy định.</w:t>
      </w:r>
    </w:p>
    <w:p w14:paraId="1FC0BACD" w14:textId="77777777" w:rsidR="0042797D" w:rsidRPr="00E67628" w:rsidRDefault="0042797D" w:rsidP="0042797D">
      <w:pPr>
        <w:numPr>
          <w:ilvl w:val="0"/>
          <w:numId w:val="6"/>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Thực hiện nghiệp vụ thu – chi tiền mặt, quản lý kho quỹ, kiểm đếm và bảo quản tiền mặt/ấn chỉ/giấy tờ có giá; đảm bảo an toàn tài sản và tuân thủ quy trình kiểm soát nội bộ.</w:t>
      </w:r>
    </w:p>
    <w:p w14:paraId="3FCB0F55" w14:textId="77777777" w:rsidR="0042797D" w:rsidRPr="00E67628" w:rsidRDefault="0042797D" w:rsidP="0042797D">
      <w:pPr>
        <w:numPr>
          <w:ilvl w:val="0"/>
          <w:numId w:val="6"/>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Thực hiện đầy đủ quy định về nhận biết khách hàng (KYC), phòng chống rửa tiền, phòng chống gian lận; bảo mật thông tin và lưu trữ hồ sơ chứng từ theo quy định pháp luật và quy chế nội bộ.</w:t>
      </w:r>
    </w:p>
    <w:p w14:paraId="6C1806F1" w14:textId="77777777" w:rsidR="0042797D" w:rsidRPr="0026726E" w:rsidRDefault="0042797D" w:rsidP="0042797D">
      <w:pPr>
        <w:numPr>
          <w:ilvl w:val="0"/>
          <w:numId w:val="6"/>
        </w:numPr>
        <w:spacing w:beforeAutospacing="1" w:after="0" w:afterAutospacing="1" w:line="360" w:lineRule="auto"/>
        <w:jc w:val="both"/>
        <w:rPr>
          <w:rFonts w:ascii="Times New Roman" w:hAnsi="Times New Roman" w:cs="Times New Roman"/>
        </w:rPr>
      </w:pPr>
      <w:r w:rsidRPr="00E67628">
        <w:rPr>
          <w:rFonts w:ascii="Times New Roman" w:hAnsi="Times New Roman" w:cs="Times New Roman"/>
          <w:sz w:val="26"/>
          <w:szCs w:val="26"/>
        </w:rPr>
        <w:t>Báo cáo định kỳ/đột xuất kết quả hoạt động, tình hình huy động vốn – tín dụng – dịch vụ; đề xuất giải pháp nhằm nâng cao hiệu quả kinh doanh và hạn chế rủi ro tại đơn vị.</w:t>
      </w:r>
    </w:p>
    <w:p w14:paraId="70CF4E4C" w14:textId="77777777" w:rsidR="0042797D" w:rsidRDefault="0042797D" w:rsidP="0042797D">
      <w:pPr>
        <w:pStyle w:val="NormalWeb"/>
        <w:spacing w:line="360" w:lineRule="auto"/>
        <w:jc w:val="both"/>
        <w:rPr>
          <w:b/>
          <w:bCs/>
          <w:sz w:val="26"/>
          <w:szCs w:val="26"/>
        </w:rPr>
      </w:pPr>
      <w:r>
        <w:rPr>
          <w:b/>
          <w:bCs/>
          <w:sz w:val="26"/>
          <w:szCs w:val="26"/>
        </w:rPr>
        <w:t>2.1.3 Cơ cấu tổ chức và chức năng nhiệm vụ của các bộ phận trong Ngân hàng TMCP Nam Á – Chi nhánh Đà Nẵng – PGD Cẩm Lệ</w:t>
      </w:r>
    </w:p>
    <w:p w14:paraId="5BFBB876" w14:textId="77777777" w:rsidR="0042797D" w:rsidRPr="00234890" w:rsidRDefault="0042797D" w:rsidP="0042797D">
      <w:pPr>
        <w:pStyle w:val="NormalWeb"/>
        <w:spacing w:line="360" w:lineRule="auto"/>
        <w:jc w:val="center"/>
        <w:rPr>
          <w:b/>
          <w:bCs/>
          <w:sz w:val="26"/>
          <w:szCs w:val="26"/>
        </w:rPr>
      </w:pPr>
      <w:r>
        <w:rPr>
          <w:noProof/>
        </w:rPr>
        <w:lastRenderedPageBreak/>
        <w:drawing>
          <wp:inline distT="0" distB="0" distL="0" distR="0" wp14:anchorId="3E7F56BE" wp14:editId="362F8912">
            <wp:extent cx="6212938" cy="3280410"/>
            <wp:effectExtent l="0" t="0" r="0" b="15240"/>
            <wp:docPr id="19930584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r w:rsidRPr="0026726E">
        <w:rPr>
          <w:i/>
          <w:iCs/>
          <w:szCs w:val="26"/>
        </w:rPr>
        <w:t xml:space="preserve">Hình </w:t>
      </w:r>
      <w:r>
        <w:rPr>
          <w:i/>
          <w:iCs/>
          <w:szCs w:val="26"/>
        </w:rPr>
        <w:t>2.1</w:t>
      </w:r>
      <w:r w:rsidRPr="0026726E">
        <w:rPr>
          <w:i/>
          <w:iCs/>
          <w:szCs w:val="26"/>
        </w:rPr>
        <w:t>: Sơ đồ cơ cấu tổ chức của Ngân hàng TMCP Nam Á – PGD Cẩm Lệ</w:t>
      </w:r>
    </w:p>
    <w:p w14:paraId="62E074A3"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 xml:space="preserve">a. Giám đốc </w:t>
      </w:r>
    </w:p>
    <w:p w14:paraId="57E76F06" w14:textId="77777777" w:rsidR="0042797D" w:rsidRPr="00D12824" w:rsidRDefault="0042797D" w:rsidP="0042797D">
      <w:pPr>
        <w:pStyle w:val="NormalWeb"/>
        <w:spacing w:line="360" w:lineRule="auto"/>
        <w:jc w:val="both"/>
        <w:rPr>
          <w:sz w:val="26"/>
          <w:szCs w:val="26"/>
        </w:rPr>
      </w:pPr>
      <w:r w:rsidRPr="00D12824">
        <w:rPr>
          <w:sz w:val="26"/>
          <w:szCs w:val="26"/>
        </w:rPr>
        <w:t xml:space="preserve">  Chức năng: Là người đứng đầu Phòng Giao dịch, chịu trách nhiệm toàn diện về tổ chức, điều hành và kiểm soát mọi hoạt động của Phòng Giao dịch. </w:t>
      </w:r>
    </w:p>
    <w:p w14:paraId="649B22E7" w14:textId="77777777" w:rsidR="0042797D" w:rsidRPr="00B32556" w:rsidRDefault="0042797D" w:rsidP="0042797D">
      <w:pPr>
        <w:pStyle w:val="NormalWeb"/>
        <w:spacing w:line="360" w:lineRule="auto"/>
        <w:jc w:val="both"/>
        <w:rPr>
          <w:sz w:val="26"/>
          <w:szCs w:val="26"/>
        </w:rPr>
      </w:pPr>
      <w:r w:rsidRPr="00D12824">
        <w:rPr>
          <w:sz w:val="26"/>
          <w:szCs w:val="26"/>
        </w:rPr>
        <w:t xml:space="preserve">  Nhiệm vụ: </w:t>
      </w:r>
      <w:r w:rsidRPr="00B32556">
        <w:rPr>
          <w:sz w:val="26"/>
          <w:szCs w:val="26"/>
        </w:rPr>
        <w:t>Giám đốc Phòng Giao dịch là người chịu trách nhiệm tổ chức, điều hành và kiểm soát toàn bộ hoạt động kinh doanh, nghiệp vụ và công tác nhân sự tại đơn vị; thực hiện phân công, giám sát và đánh giá hiệu quả làm việc của cán bộ nhân viên; đồng thời đảm bảo mọi hoạt động của Phòng Giao dịch tuân thủ đúng quy định của pháp luật, Ngân hàng Nhà nước Việt Nam và các quy định nội bộ của Nam A Bank, cũng như chịu trách nhiệm trước Nam A Bank về kết quả hoạt động của Phòng Giao dịch.</w:t>
      </w:r>
    </w:p>
    <w:p w14:paraId="2E96DD13"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 xml:space="preserve">b. Trưởng bộ phận khách hàng cá nhân </w:t>
      </w:r>
    </w:p>
    <w:p w14:paraId="6CABDD9E" w14:textId="77777777" w:rsidR="0042797D" w:rsidRPr="00D12824" w:rsidRDefault="0042797D" w:rsidP="0042797D">
      <w:pPr>
        <w:pStyle w:val="NormalWeb"/>
        <w:spacing w:line="360" w:lineRule="auto"/>
        <w:jc w:val="both"/>
        <w:rPr>
          <w:sz w:val="26"/>
          <w:szCs w:val="26"/>
        </w:rPr>
      </w:pPr>
      <w:r w:rsidRPr="00D12824">
        <w:rPr>
          <w:sz w:val="26"/>
          <w:szCs w:val="26"/>
        </w:rPr>
        <w:t xml:space="preserve">  Chức năng: Quản lý và điều phối các hoạt động liên quan đến khách hàng cá nhân, chịu trách nhiệm phát triển kinh doanh và chất lượng dịch vụ đối với phân khúc khách hàng cá nhân tại Phòng Giao dịch. </w:t>
      </w:r>
    </w:p>
    <w:p w14:paraId="1861EDB0" w14:textId="77777777" w:rsidR="0042797D" w:rsidRPr="00D12824" w:rsidRDefault="0042797D" w:rsidP="0042797D">
      <w:pPr>
        <w:pStyle w:val="NormalWeb"/>
        <w:spacing w:line="360" w:lineRule="auto"/>
        <w:jc w:val="both"/>
        <w:rPr>
          <w:sz w:val="26"/>
          <w:szCs w:val="26"/>
        </w:rPr>
      </w:pPr>
      <w:r w:rsidRPr="00D12824">
        <w:rPr>
          <w:sz w:val="26"/>
          <w:szCs w:val="26"/>
        </w:rPr>
        <w:lastRenderedPageBreak/>
        <w:t xml:space="preserve">  Nhiệm vụ: </w:t>
      </w:r>
      <w:r w:rsidRPr="00B60513">
        <w:rPr>
          <w:sz w:val="26"/>
          <w:szCs w:val="26"/>
        </w:rPr>
        <w:t>Trưởng bộ phận khách hàng cá nhân chịu trách nhiệm tổ chức, quản lý và giám sát hoạt động của đội ngũ chuyên viên KHCN; phát triển và mở rộng tệp khách hàng cá nhân trên địa bàn; kiểm soát chất lượng tư vấn, bán các sản phẩm và dịch vụ ngân hàng; theo dõi, đánh giá hiệu quả hoạt động kinh doanh của bộ phận và báo cáo cho Giám đốc Phòng Giao dịch, đồng thời phối hợp với các bộ phận liên quan trong công tác tín dụng và chăm sóc khách hàng.</w:t>
      </w:r>
    </w:p>
    <w:p w14:paraId="7FE83301"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c. Trưởng bộ phận khách hàng doanh nghiệp</w:t>
      </w:r>
    </w:p>
    <w:p w14:paraId="09F9A4CD" w14:textId="77777777" w:rsidR="0042797D" w:rsidRPr="00D12824" w:rsidRDefault="0042797D" w:rsidP="0042797D">
      <w:pPr>
        <w:pStyle w:val="NormalWeb"/>
        <w:spacing w:line="360" w:lineRule="auto"/>
        <w:jc w:val="both"/>
        <w:rPr>
          <w:sz w:val="26"/>
          <w:szCs w:val="26"/>
        </w:rPr>
      </w:pPr>
      <w:r w:rsidRPr="00D12824">
        <w:rPr>
          <w:sz w:val="26"/>
          <w:szCs w:val="26"/>
        </w:rPr>
        <w:t xml:space="preserve">  Chức năng:</w:t>
      </w:r>
      <w:r>
        <w:rPr>
          <w:sz w:val="26"/>
          <w:szCs w:val="26"/>
        </w:rPr>
        <w:t xml:space="preserve"> </w:t>
      </w:r>
      <w:r w:rsidRPr="00D12824">
        <w:rPr>
          <w:sz w:val="26"/>
          <w:szCs w:val="26"/>
        </w:rPr>
        <w:t>Người chịu trách nhiệm xây dựng và triển khai chiến lược chăm sóc, phát triển mối quan hệ với khách hàng doanh nghiệp nhằm đạt chỉ tiêu doanh thu và nâng cao sự gắn bó của khách hàng. Vị trí này quản lý đội ngũ nhân sự, xây dựng quy trình và tiêu chuẩn dịch vụ, xử lý các vấn đề phát sinh phức tạp, đồng thời phân tích và báo cáo hiệu quả hoạt động cho ban lãnh đạo. Công việc đòi hỏi kỹ năng lãnh đạo, giao tiếp, phân tích và am hiểu thị trường.</w:t>
      </w:r>
    </w:p>
    <w:p w14:paraId="493414A1" w14:textId="77777777" w:rsidR="0042797D" w:rsidRPr="00D12824" w:rsidRDefault="0042797D" w:rsidP="0042797D">
      <w:pPr>
        <w:pStyle w:val="NormalWeb"/>
        <w:spacing w:line="360" w:lineRule="auto"/>
        <w:jc w:val="both"/>
        <w:rPr>
          <w:sz w:val="26"/>
          <w:szCs w:val="26"/>
        </w:rPr>
      </w:pPr>
      <w:r w:rsidRPr="00D12824">
        <w:rPr>
          <w:sz w:val="26"/>
          <w:szCs w:val="26"/>
        </w:rPr>
        <w:t xml:space="preserve">  Nhiệm vụ:</w:t>
      </w:r>
      <w:r>
        <w:rPr>
          <w:sz w:val="26"/>
          <w:szCs w:val="26"/>
        </w:rPr>
        <w:t xml:space="preserve"> </w:t>
      </w:r>
      <w:r w:rsidRPr="00312F22">
        <w:rPr>
          <w:sz w:val="26"/>
          <w:szCs w:val="26"/>
        </w:rPr>
        <w:t>Trưởng bộ phận khách hàng doanh nghiệp chịu trách nhiệm quản lý và giám sát nhân sự, xây dựng chính sách và kế hoạch kinh doanh cho phân khúc khách hàng doanh nghiệp, thúc đẩy phát triển kinh doanh, kiểm soát chất lượng dịch vụ và định kỳ báo cáo kết quả hoạt động.</w:t>
      </w:r>
      <w:r w:rsidRPr="00D12824">
        <w:rPr>
          <w:sz w:val="26"/>
          <w:szCs w:val="26"/>
        </w:rPr>
        <w:t xml:space="preserve">  </w:t>
      </w:r>
    </w:p>
    <w:p w14:paraId="6E083B41"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 xml:space="preserve">d. Kiểm soát viên </w:t>
      </w:r>
    </w:p>
    <w:p w14:paraId="4CD6137D" w14:textId="77777777" w:rsidR="0042797D" w:rsidRPr="00D12824" w:rsidRDefault="0042797D" w:rsidP="0042797D">
      <w:pPr>
        <w:pStyle w:val="NormalWeb"/>
        <w:spacing w:line="360" w:lineRule="auto"/>
        <w:jc w:val="both"/>
        <w:rPr>
          <w:sz w:val="26"/>
          <w:szCs w:val="26"/>
        </w:rPr>
      </w:pPr>
      <w:r w:rsidRPr="00D12824">
        <w:rPr>
          <w:sz w:val="26"/>
          <w:szCs w:val="26"/>
        </w:rPr>
        <w:t xml:space="preserve">  Chức năng: Kiểm soát, giám sát các hoạt động nghiệp vụ nhằm đảm bảo tuân thủ quy trình và hạn chế rủi ro tại Phòng Giao dịch. </w:t>
      </w:r>
    </w:p>
    <w:p w14:paraId="4BB68B62" w14:textId="77777777" w:rsidR="0042797D" w:rsidRPr="00D12824" w:rsidRDefault="0042797D" w:rsidP="0042797D">
      <w:pPr>
        <w:pStyle w:val="NormalWeb"/>
        <w:spacing w:line="360" w:lineRule="auto"/>
        <w:jc w:val="both"/>
        <w:rPr>
          <w:sz w:val="26"/>
          <w:szCs w:val="26"/>
        </w:rPr>
      </w:pPr>
      <w:r w:rsidRPr="00D12824">
        <w:rPr>
          <w:sz w:val="26"/>
          <w:szCs w:val="26"/>
        </w:rPr>
        <w:t xml:space="preserve">   Nhiệm vụ: </w:t>
      </w:r>
      <w:r w:rsidRPr="00AF417E">
        <w:rPr>
          <w:sz w:val="26"/>
          <w:szCs w:val="26"/>
        </w:rPr>
        <w:t>Cán bộ kiểm soát nội bộ chịu trách nhiệm kiểm tra, giám sát các giao dịch phát sinh tại Phòng Giao dịch, đảm bảo tuân thủ quy định nội bộ và pháp luật, kịp thời phát hiện, ngăn ngừa rủi ro và phối hợp với Giám đốc Phòng Giao dịch trong công tác kiểm tra, kiểm soát nội bộ.</w:t>
      </w:r>
    </w:p>
    <w:p w14:paraId="350E1ACD"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 xml:space="preserve">e. Trưởng đại diện One Bank </w:t>
      </w:r>
    </w:p>
    <w:p w14:paraId="7926E909" w14:textId="77777777" w:rsidR="0042797D" w:rsidRPr="00D12824" w:rsidRDefault="0042797D" w:rsidP="0042797D">
      <w:pPr>
        <w:pStyle w:val="NormalWeb"/>
        <w:spacing w:line="360" w:lineRule="auto"/>
        <w:jc w:val="both"/>
        <w:rPr>
          <w:sz w:val="26"/>
          <w:szCs w:val="26"/>
        </w:rPr>
      </w:pPr>
      <w:r w:rsidRPr="00D12824">
        <w:rPr>
          <w:sz w:val="26"/>
          <w:szCs w:val="26"/>
        </w:rPr>
        <w:lastRenderedPageBreak/>
        <w:t xml:space="preserve">  Chức năng: Phụ trách phát triển các sản phẩm, dịch vụ ngân hàng số và hệ sinh thái OneBank tại Phòng Giao dịch. </w:t>
      </w:r>
    </w:p>
    <w:p w14:paraId="64C6F1CF" w14:textId="77777777" w:rsidR="0042797D" w:rsidRPr="00D12824" w:rsidRDefault="0042797D" w:rsidP="0042797D">
      <w:pPr>
        <w:pStyle w:val="NormalWeb"/>
        <w:spacing w:line="360" w:lineRule="auto"/>
        <w:jc w:val="both"/>
        <w:rPr>
          <w:sz w:val="26"/>
          <w:szCs w:val="26"/>
        </w:rPr>
      </w:pPr>
      <w:r w:rsidRPr="00D12824">
        <w:rPr>
          <w:sz w:val="26"/>
          <w:szCs w:val="26"/>
        </w:rPr>
        <w:t xml:space="preserve">  Nhiệm vụ: </w:t>
      </w:r>
      <w:r w:rsidRPr="00974791">
        <w:rPr>
          <w:sz w:val="26"/>
          <w:szCs w:val="26"/>
        </w:rPr>
        <w:t>Trưởng đại diện OneBank có trách nhiệm tư vấn, hướng dẫn khách hàng sử dụng các sản phẩm ngân hàng số của Nam Á Bank, phối hợp phát triển khách hàng sử dụng OneBank, hỗ trợ xử lý các vấn đề phát sinh và góp phần nâng cao trải nghiệm, mức độ hài lòng của khách hàng.</w:t>
      </w:r>
    </w:p>
    <w:p w14:paraId="3F376FA3"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 xml:space="preserve">f. Chuyên viên quan hệ khách hàng cá nhân </w:t>
      </w:r>
    </w:p>
    <w:p w14:paraId="4CC28719" w14:textId="77777777" w:rsidR="0042797D" w:rsidRPr="00D12824" w:rsidRDefault="0042797D" w:rsidP="0042797D">
      <w:pPr>
        <w:pStyle w:val="NormalWeb"/>
        <w:spacing w:line="360" w:lineRule="auto"/>
        <w:jc w:val="both"/>
        <w:rPr>
          <w:sz w:val="26"/>
          <w:szCs w:val="26"/>
        </w:rPr>
      </w:pPr>
      <w:r w:rsidRPr="00D12824">
        <w:rPr>
          <w:sz w:val="26"/>
          <w:szCs w:val="26"/>
        </w:rPr>
        <w:t xml:space="preserve">  Chức năng: Phát triển khách hàng, tư vấn và cung cấp sản phẩm dịch vụ ngân hàng, góp phần hoàn thành các chỉ tiêu kinh doanh được giao </w:t>
      </w:r>
    </w:p>
    <w:p w14:paraId="5DC59D7A" w14:textId="77777777" w:rsidR="0042797D" w:rsidRPr="00D12824" w:rsidRDefault="0042797D" w:rsidP="0042797D">
      <w:pPr>
        <w:pStyle w:val="NormalWeb"/>
        <w:spacing w:line="360" w:lineRule="auto"/>
        <w:jc w:val="both"/>
        <w:rPr>
          <w:sz w:val="26"/>
          <w:szCs w:val="26"/>
        </w:rPr>
      </w:pPr>
      <w:r w:rsidRPr="00D12824">
        <w:rPr>
          <w:sz w:val="26"/>
          <w:szCs w:val="26"/>
        </w:rPr>
        <w:t xml:space="preserve">  Nhiệm vụ: </w:t>
      </w:r>
      <w:r w:rsidRPr="004F461F">
        <w:rPr>
          <w:sz w:val="26"/>
          <w:szCs w:val="26"/>
        </w:rPr>
        <w:t>Chuyên viên quan hệ khách hàng cá nhân thực hiện tư vấn và bán các sản phẩm ngân hàng, thu thập và thẩm định hồ sơ tín dụng, theo dõi quá trình giải ngân – thu hồi nợ, đồng thời quản lý danh mục khách hàng nhằm đảm bảo chất lượng tín dụng và hạn chế rủi ro.</w:t>
      </w:r>
    </w:p>
    <w:p w14:paraId="01373188"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 xml:space="preserve">g. Giao dịch viên </w:t>
      </w:r>
    </w:p>
    <w:p w14:paraId="3D73EA93" w14:textId="77777777" w:rsidR="0042797D" w:rsidRPr="00D12824" w:rsidRDefault="0042797D" w:rsidP="0042797D">
      <w:pPr>
        <w:pStyle w:val="NormalWeb"/>
        <w:spacing w:line="360" w:lineRule="auto"/>
        <w:jc w:val="both"/>
        <w:rPr>
          <w:sz w:val="26"/>
          <w:szCs w:val="26"/>
        </w:rPr>
      </w:pPr>
      <w:r w:rsidRPr="00D12824">
        <w:rPr>
          <w:sz w:val="26"/>
          <w:szCs w:val="26"/>
        </w:rPr>
        <w:t xml:space="preserve">  Chức năng: Thực hiện các nghiệp vụ giao dịch trực tiếp với khách hàng tại quầy. </w:t>
      </w:r>
    </w:p>
    <w:p w14:paraId="22FADDC6" w14:textId="77777777" w:rsidR="0042797D" w:rsidRPr="00D12824" w:rsidRDefault="0042797D" w:rsidP="0042797D">
      <w:pPr>
        <w:pStyle w:val="NormalWeb"/>
        <w:spacing w:line="360" w:lineRule="auto"/>
        <w:jc w:val="both"/>
        <w:rPr>
          <w:sz w:val="26"/>
          <w:szCs w:val="26"/>
        </w:rPr>
      </w:pPr>
      <w:r w:rsidRPr="00D12824">
        <w:rPr>
          <w:sz w:val="26"/>
          <w:szCs w:val="26"/>
        </w:rPr>
        <w:t xml:space="preserve">  Nhiệm vụ:</w:t>
      </w:r>
      <w:r>
        <w:rPr>
          <w:sz w:val="26"/>
          <w:szCs w:val="26"/>
        </w:rPr>
        <w:t xml:space="preserve"> </w:t>
      </w:r>
      <w:r w:rsidRPr="003F0B80">
        <w:rPr>
          <w:sz w:val="26"/>
          <w:szCs w:val="26"/>
        </w:rPr>
        <w:t>Giao dịch viên chịu trách nhiệm thực hiện các giao dịch ngân hàng tại quầy, hướng dẫn và hỗ trợ khách hàng, kiểm tra và hạch toán chứng từ đảm bảo an toàn – chính xác, đồng thời tư vấn, chăm sóc và phát triển mối quan hệ với khách hàng cá nhân nhằm nâng cao mức độ hài lòng và hiệu quả sử dụng dịch vụ.</w:t>
      </w:r>
    </w:p>
    <w:p w14:paraId="0D1AC81B" w14:textId="77777777" w:rsidR="0042797D" w:rsidRPr="00D12824" w:rsidRDefault="0042797D" w:rsidP="0042797D">
      <w:pPr>
        <w:pStyle w:val="NormalWeb"/>
        <w:spacing w:line="360" w:lineRule="auto"/>
        <w:jc w:val="both"/>
        <w:rPr>
          <w:b/>
          <w:bCs/>
          <w:i/>
          <w:iCs/>
          <w:sz w:val="26"/>
          <w:szCs w:val="26"/>
        </w:rPr>
      </w:pPr>
      <w:r w:rsidRPr="00D12824">
        <w:rPr>
          <w:b/>
          <w:bCs/>
          <w:i/>
          <w:iCs/>
          <w:sz w:val="26"/>
          <w:szCs w:val="26"/>
        </w:rPr>
        <w:t>h. Thủ quỹ</w:t>
      </w:r>
    </w:p>
    <w:p w14:paraId="577B58BF" w14:textId="77777777" w:rsidR="0042797D" w:rsidRPr="00D12824" w:rsidRDefault="0042797D" w:rsidP="0042797D">
      <w:pPr>
        <w:pStyle w:val="NormalWeb"/>
        <w:spacing w:line="360" w:lineRule="auto"/>
        <w:jc w:val="both"/>
        <w:rPr>
          <w:sz w:val="26"/>
          <w:szCs w:val="26"/>
        </w:rPr>
      </w:pPr>
      <w:r w:rsidRPr="00D12824">
        <w:rPr>
          <w:sz w:val="26"/>
          <w:szCs w:val="26"/>
        </w:rPr>
        <w:t xml:space="preserve">  Chức năng: Thủ quỹ có chức năng quản lý, bảo quản và thực hiện thu, chi tiền mặt, tài sản quý tại đơn vị theo đúng quy định của Nam A Bank và Ngân hàng Nhà nước, đảm bảo an toàn kho quỹ và tính chính xác trong các giao dịch tiền mặt. </w:t>
      </w:r>
    </w:p>
    <w:p w14:paraId="32088648" w14:textId="77777777" w:rsidR="0042797D" w:rsidRDefault="0042797D" w:rsidP="0042797D">
      <w:pPr>
        <w:pStyle w:val="NormalWeb"/>
        <w:spacing w:line="360" w:lineRule="auto"/>
        <w:jc w:val="both"/>
        <w:rPr>
          <w:sz w:val="26"/>
          <w:szCs w:val="26"/>
        </w:rPr>
      </w:pPr>
      <w:r w:rsidRPr="00D12824">
        <w:rPr>
          <w:sz w:val="26"/>
          <w:szCs w:val="26"/>
        </w:rPr>
        <w:lastRenderedPageBreak/>
        <w:t xml:space="preserve">  Nhiệm vụ: </w:t>
      </w:r>
      <w:r w:rsidRPr="00FC08B2">
        <w:rPr>
          <w:sz w:val="26"/>
          <w:szCs w:val="26"/>
        </w:rPr>
        <w:t>Thủ quỹ chịu trách nhiệm thực hiện thu, chi tiền mặt đúng quy trình; quản lý, bảo quản tiền mặt, tài sản quý và giấy tờ có giá; kiểm đếm, đối chiếu số liệu hằng ngày và đảm bảo an toàn kho quỹ, phòng ngừa rủi ro và gian lận.</w:t>
      </w:r>
    </w:p>
    <w:p w14:paraId="0C144B68" w14:textId="77777777" w:rsidR="0042797D" w:rsidRDefault="0042797D" w:rsidP="0042797D">
      <w:pPr>
        <w:pStyle w:val="NormalWeb"/>
        <w:spacing w:line="360" w:lineRule="auto"/>
        <w:jc w:val="both"/>
        <w:rPr>
          <w:sz w:val="26"/>
          <w:szCs w:val="26"/>
        </w:rPr>
      </w:pPr>
      <w:r>
        <w:rPr>
          <w:b/>
          <w:bCs/>
          <w:sz w:val="26"/>
          <w:szCs w:val="26"/>
        </w:rPr>
        <w:t xml:space="preserve">2.1.4 Các sản phẩm dịch vụ kinh doanh tại Ngân hàng TMCP Nam Á – Chi nhánh Đà Nẵng – PGD Cẩm Lệ </w:t>
      </w:r>
    </w:p>
    <w:p w14:paraId="019D80B2" w14:textId="77777777" w:rsidR="0042797D" w:rsidRPr="005E466F" w:rsidRDefault="0042797D" w:rsidP="0042797D">
      <w:pPr>
        <w:pStyle w:val="NormalWeb"/>
        <w:spacing w:line="360" w:lineRule="auto"/>
        <w:jc w:val="both"/>
        <w:rPr>
          <w:sz w:val="26"/>
          <w:szCs w:val="26"/>
        </w:rPr>
      </w:pPr>
      <w:r w:rsidRPr="0010021E">
        <w:rPr>
          <w:b/>
          <w:bCs/>
          <w:sz w:val="26"/>
          <w:szCs w:val="26"/>
        </w:rPr>
        <w:t xml:space="preserve">Bảng </w:t>
      </w:r>
      <w:r>
        <w:rPr>
          <w:b/>
          <w:bCs/>
          <w:sz w:val="26"/>
          <w:szCs w:val="26"/>
        </w:rPr>
        <w:t>2</w:t>
      </w:r>
      <w:r w:rsidRPr="0010021E">
        <w:rPr>
          <w:b/>
          <w:bCs/>
          <w:sz w:val="26"/>
          <w:szCs w:val="26"/>
        </w:rPr>
        <w:t>.1 Sản phẩm kinh doanh của Ngân hàng TMCP Nam Á</w:t>
      </w:r>
    </w:p>
    <w:tbl>
      <w:tblPr>
        <w:tblStyle w:val="TableGrid"/>
        <w:tblW w:w="0" w:type="auto"/>
        <w:tblLook w:val="04A0" w:firstRow="1" w:lastRow="0" w:firstColumn="1" w:lastColumn="0" w:noHBand="0" w:noVBand="1"/>
      </w:tblPr>
      <w:tblGrid>
        <w:gridCol w:w="4389"/>
        <w:gridCol w:w="4389"/>
      </w:tblGrid>
      <w:tr w:rsidR="0042797D" w:rsidRPr="0010021E" w14:paraId="09FEDBEA" w14:textId="77777777" w:rsidTr="002F73B2">
        <w:tc>
          <w:tcPr>
            <w:tcW w:w="4389" w:type="dxa"/>
            <w:tcBorders>
              <w:top w:val="single" w:sz="4" w:space="0" w:color="auto"/>
              <w:left w:val="single" w:sz="4" w:space="0" w:color="auto"/>
              <w:bottom w:val="single" w:sz="4" w:space="0" w:color="auto"/>
              <w:right w:val="single" w:sz="4" w:space="0" w:color="auto"/>
            </w:tcBorders>
            <w:hideMark/>
          </w:tcPr>
          <w:p w14:paraId="125ECAB7" w14:textId="77777777" w:rsidR="0042797D" w:rsidRPr="0010021E" w:rsidRDefault="0042797D" w:rsidP="002F73B2">
            <w:pPr>
              <w:pStyle w:val="NormalWeb"/>
              <w:jc w:val="both"/>
              <w:rPr>
                <w:b/>
                <w:bCs/>
                <w:sz w:val="26"/>
                <w:szCs w:val="26"/>
              </w:rPr>
            </w:pPr>
            <w:r w:rsidRPr="0010021E">
              <w:rPr>
                <w:b/>
                <w:bCs/>
                <w:sz w:val="26"/>
                <w:szCs w:val="26"/>
              </w:rPr>
              <w:t>Cá nhân</w:t>
            </w:r>
          </w:p>
        </w:tc>
        <w:tc>
          <w:tcPr>
            <w:tcW w:w="4389" w:type="dxa"/>
            <w:tcBorders>
              <w:top w:val="single" w:sz="4" w:space="0" w:color="auto"/>
              <w:left w:val="single" w:sz="4" w:space="0" w:color="auto"/>
              <w:bottom w:val="single" w:sz="4" w:space="0" w:color="auto"/>
              <w:right w:val="single" w:sz="4" w:space="0" w:color="auto"/>
            </w:tcBorders>
            <w:hideMark/>
          </w:tcPr>
          <w:p w14:paraId="59937BBD" w14:textId="77777777" w:rsidR="0042797D" w:rsidRPr="0010021E" w:rsidRDefault="0042797D" w:rsidP="002F73B2">
            <w:pPr>
              <w:pStyle w:val="NormalWeb"/>
              <w:jc w:val="both"/>
              <w:rPr>
                <w:b/>
                <w:bCs/>
                <w:sz w:val="26"/>
                <w:szCs w:val="26"/>
              </w:rPr>
            </w:pPr>
            <w:r w:rsidRPr="0010021E">
              <w:rPr>
                <w:b/>
                <w:bCs/>
                <w:sz w:val="26"/>
                <w:szCs w:val="26"/>
              </w:rPr>
              <w:t>Doanh nghiệp</w:t>
            </w:r>
          </w:p>
        </w:tc>
      </w:tr>
      <w:tr w:rsidR="0042797D" w:rsidRPr="0010021E" w14:paraId="5E0E2242" w14:textId="77777777" w:rsidTr="002F73B2">
        <w:trPr>
          <w:trHeight w:val="3050"/>
        </w:trPr>
        <w:tc>
          <w:tcPr>
            <w:tcW w:w="4389" w:type="dxa"/>
            <w:tcBorders>
              <w:top w:val="single" w:sz="4" w:space="0" w:color="auto"/>
              <w:left w:val="single" w:sz="4" w:space="0" w:color="auto"/>
              <w:bottom w:val="single" w:sz="4" w:space="0" w:color="auto"/>
              <w:right w:val="single" w:sz="4" w:space="0" w:color="auto"/>
            </w:tcBorders>
            <w:hideMark/>
          </w:tcPr>
          <w:p w14:paraId="11475E80" w14:textId="77777777" w:rsidR="0042797D" w:rsidRPr="0010021E" w:rsidRDefault="0042797D" w:rsidP="002F73B2">
            <w:pPr>
              <w:pStyle w:val="NormalWeb"/>
              <w:spacing w:line="360" w:lineRule="auto"/>
              <w:rPr>
                <w:sz w:val="26"/>
                <w:szCs w:val="26"/>
              </w:rPr>
            </w:pPr>
            <w:r w:rsidRPr="0010021E">
              <w:rPr>
                <w:sz w:val="26"/>
                <w:szCs w:val="26"/>
              </w:rPr>
              <w:t>Tài trợ vốn: Vay mua xe ô tô, vay tiêu dùng có tài sản đảm bảo, vay kinh doanh, vay tiêu dùng.</w:t>
            </w:r>
          </w:p>
          <w:p w14:paraId="7A011AB4" w14:textId="77777777" w:rsidR="0042797D" w:rsidRPr="0010021E" w:rsidRDefault="0042797D" w:rsidP="002F73B2">
            <w:pPr>
              <w:pStyle w:val="NormalWeb"/>
              <w:spacing w:line="360" w:lineRule="auto"/>
              <w:rPr>
                <w:sz w:val="26"/>
                <w:szCs w:val="26"/>
              </w:rPr>
            </w:pPr>
            <w:r w:rsidRPr="0010021E">
              <w:rPr>
                <w:sz w:val="26"/>
                <w:szCs w:val="26"/>
              </w:rPr>
              <w:t>Tiết kiệm: Tiết kiệm online, tiết kiệm thông thường</w:t>
            </w:r>
          </w:p>
          <w:p w14:paraId="176A732A" w14:textId="77777777" w:rsidR="0042797D" w:rsidRPr="0010021E" w:rsidRDefault="0042797D" w:rsidP="002F73B2">
            <w:pPr>
              <w:pStyle w:val="NormalWeb"/>
              <w:spacing w:line="360" w:lineRule="auto"/>
              <w:rPr>
                <w:sz w:val="26"/>
                <w:szCs w:val="26"/>
              </w:rPr>
            </w:pPr>
            <w:r w:rsidRPr="0010021E">
              <w:rPr>
                <w:sz w:val="26"/>
                <w:szCs w:val="26"/>
              </w:rPr>
              <w:t xml:space="preserve">Thẻ tín dụng: Visa, JCB, Mastercard, Cash </w:t>
            </w:r>
          </w:p>
          <w:p w14:paraId="69D0CAD4" w14:textId="77777777" w:rsidR="0042797D" w:rsidRPr="0010021E" w:rsidRDefault="0042797D" w:rsidP="002F73B2">
            <w:pPr>
              <w:pStyle w:val="NormalWeb"/>
              <w:spacing w:line="360" w:lineRule="auto"/>
              <w:rPr>
                <w:sz w:val="26"/>
                <w:szCs w:val="26"/>
              </w:rPr>
            </w:pPr>
            <w:r w:rsidRPr="0010021E">
              <w:rPr>
                <w:sz w:val="26"/>
                <w:szCs w:val="26"/>
              </w:rPr>
              <w:t xml:space="preserve">Thẻ ghi nợ: Napas Debit, Mastercard Debit </w:t>
            </w:r>
          </w:p>
          <w:p w14:paraId="0A02062E" w14:textId="77777777" w:rsidR="0042797D" w:rsidRPr="0010021E" w:rsidRDefault="0042797D" w:rsidP="002F73B2">
            <w:pPr>
              <w:pStyle w:val="NormalWeb"/>
              <w:rPr>
                <w:sz w:val="26"/>
                <w:szCs w:val="26"/>
              </w:rPr>
            </w:pPr>
            <w:r w:rsidRPr="0010021E">
              <w:rPr>
                <w:sz w:val="26"/>
                <w:szCs w:val="26"/>
              </w:rPr>
              <w:t>Thẻ trả trước: Mastercard Prepaird</w:t>
            </w:r>
          </w:p>
          <w:p w14:paraId="0AB3BA0D" w14:textId="77777777" w:rsidR="0042797D" w:rsidRPr="0010021E" w:rsidRDefault="0042797D" w:rsidP="002F73B2">
            <w:pPr>
              <w:pStyle w:val="NormalWeb"/>
              <w:spacing w:line="360" w:lineRule="auto"/>
              <w:rPr>
                <w:sz w:val="26"/>
                <w:szCs w:val="26"/>
              </w:rPr>
            </w:pPr>
            <w:r w:rsidRPr="0010021E">
              <w:rPr>
                <w:sz w:val="26"/>
                <w:szCs w:val="26"/>
              </w:rPr>
              <w:t>Dịch vụ: Chuyển tiền trợ cấp thân nhân, chuyển tiền trong/ ngoài nước, nhận tiền trong/ngoài nước, mua bán ngoại tệ</w:t>
            </w:r>
          </w:p>
        </w:tc>
        <w:tc>
          <w:tcPr>
            <w:tcW w:w="4389" w:type="dxa"/>
            <w:tcBorders>
              <w:top w:val="single" w:sz="4" w:space="0" w:color="auto"/>
              <w:left w:val="single" w:sz="4" w:space="0" w:color="auto"/>
              <w:bottom w:val="single" w:sz="4" w:space="0" w:color="auto"/>
              <w:right w:val="single" w:sz="4" w:space="0" w:color="auto"/>
            </w:tcBorders>
            <w:hideMark/>
          </w:tcPr>
          <w:p w14:paraId="2BF54610" w14:textId="77777777" w:rsidR="0042797D" w:rsidRPr="0010021E" w:rsidRDefault="0042797D" w:rsidP="002F73B2">
            <w:pPr>
              <w:pStyle w:val="NormalWeb"/>
              <w:spacing w:line="360" w:lineRule="auto"/>
              <w:rPr>
                <w:sz w:val="26"/>
                <w:szCs w:val="26"/>
              </w:rPr>
            </w:pPr>
            <w:r w:rsidRPr="0010021E">
              <w:rPr>
                <w:sz w:val="26"/>
                <w:szCs w:val="26"/>
              </w:rPr>
              <w:t>Tiền gửi doanh nghiệp: Tiền gửi có kỳ hạn, tiền gửi không kì hạn, tiền gửi ký quỹ.</w:t>
            </w:r>
          </w:p>
          <w:p w14:paraId="7B8D9645" w14:textId="77777777" w:rsidR="0042797D" w:rsidRPr="0010021E" w:rsidRDefault="0042797D" w:rsidP="002F73B2">
            <w:pPr>
              <w:pStyle w:val="NormalWeb"/>
              <w:spacing w:line="360" w:lineRule="auto"/>
              <w:rPr>
                <w:sz w:val="26"/>
                <w:szCs w:val="26"/>
              </w:rPr>
            </w:pPr>
            <w:r w:rsidRPr="0010021E">
              <w:rPr>
                <w:sz w:val="26"/>
                <w:szCs w:val="26"/>
              </w:rPr>
              <w:t xml:space="preserve">Tài trợ vốn: Cho vay dự án, cho vay đầu tư máy móc thiết bị, cho vay cầm cố giấy tờ có giá, vay mua xe ô tô, </w:t>
            </w:r>
          </w:p>
          <w:p w14:paraId="01CAD9B2" w14:textId="77777777" w:rsidR="0042797D" w:rsidRPr="0010021E" w:rsidRDefault="0042797D" w:rsidP="002F73B2">
            <w:pPr>
              <w:pStyle w:val="NormalWeb"/>
              <w:spacing w:line="360" w:lineRule="auto"/>
              <w:rPr>
                <w:sz w:val="26"/>
                <w:szCs w:val="26"/>
              </w:rPr>
            </w:pPr>
            <w:r w:rsidRPr="0010021E">
              <w:rPr>
                <w:sz w:val="26"/>
                <w:szCs w:val="26"/>
              </w:rPr>
              <w:t>Thanh toán quốc tế: Chuyển tiền nhanh quốc tế, UPAS L/C, SMS Banking, thanh toán hoá đơn, thông báo biến động số dư</w:t>
            </w:r>
          </w:p>
        </w:tc>
      </w:tr>
    </w:tbl>
    <w:p w14:paraId="5F451857" w14:textId="77777777" w:rsidR="0042797D" w:rsidRPr="005A5CB3" w:rsidRDefault="0042797D" w:rsidP="0042797D">
      <w:pPr>
        <w:pStyle w:val="NormalWeb"/>
        <w:spacing w:before="0" w:beforeAutospacing="0" w:line="360" w:lineRule="auto"/>
        <w:rPr>
          <w:i/>
          <w:iCs/>
          <w:sz w:val="26"/>
          <w:szCs w:val="26"/>
        </w:rPr>
      </w:pPr>
      <w:r>
        <w:rPr>
          <w:i/>
          <w:iCs/>
          <w:sz w:val="26"/>
          <w:szCs w:val="26"/>
        </w:rPr>
        <w:t xml:space="preserve">                                                               </w:t>
      </w:r>
      <w:r w:rsidRPr="005A5CB3">
        <w:rPr>
          <w:i/>
          <w:iCs/>
          <w:sz w:val="26"/>
          <w:szCs w:val="26"/>
        </w:rPr>
        <w:t>( Nguồn: Website Ngân hàng TMCP Nam Á)</w:t>
      </w:r>
    </w:p>
    <w:p w14:paraId="78C3B4B1" w14:textId="77777777" w:rsidR="0042797D" w:rsidRDefault="0042797D" w:rsidP="0042797D">
      <w:pPr>
        <w:pStyle w:val="NormalWeb"/>
        <w:spacing w:line="360" w:lineRule="auto"/>
        <w:jc w:val="both"/>
        <w:rPr>
          <w:b/>
          <w:bCs/>
          <w:sz w:val="26"/>
          <w:szCs w:val="26"/>
        </w:rPr>
      </w:pPr>
      <w:r>
        <w:rPr>
          <w:b/>
          <w:bCs/>
          <w:sz w:val="26"/>
          <w:szCs w:val="26"/>
        </w:rPr>
        <w:t>2.1.5 Tình hình hoạt động kinh doanh của Ngân hàng TMCP Nam Á – Chi nhánh Đà Nẵng – PGD Cẩm Lệ giai đoạn 2023 -2025</w:t>
      </w:r>
    </w:p>
    <w:p w14:paraId="06F7EA82" w14:textId="77777777" w:rsidR="0042797D" w:rsidRPr="0098139F" w:rsidRDefault="0042797D" w:rsidP="0042797D">
      <w:pPr>
        <w:pStyle w:val="NormalWeb"/>
        <w:spacing w:line="360" w:lineRule="auto"/>
        <w:jc w:val="both"/>
        <w:rPr>
          <w:b/>
          <w:bCs/>
          <w:i/>
          <w:iCs/>
          <w:sz w:val="26"/>
          <w:szCs w:val="26"/>
        </w:rPr>
      </w:pPr>
      <w:r w:rsidRPr="0098139F">
        <w:rPr>
          <w:b/>
          <w:bCs/>
          <w:i/>
          <w:iCs/>
          <w:sz w:val="26"/>
          <w:szCs w:val="26"/>
        </w:rPr>
        <w:lastRenderedPageBreak/>
        <w:t>2.1.5.1 Tình hình huy động vốn của Ngân hàng TMCP Nam Á – Chi nhánh Đà Nẵng – PDG Cẩm Lệ giai đoạn 2023 -2025</w:t>
      </w:r>
    </w:p>
    <w:p w14:paraId="6FEC289C" w14:textId="77777777" w:rsidR="0042797D" w:rsidRPr="007F5A81" w:rsidRDefault="0042797D" w:rsidP="0042797D">
      <w:pPr>
        <w:pStyle w:val="NormalWeb"/>
        <w:spacing w:line="360" w:lineRule="auto"/>
        <w:ind w:firstLine="720"/>
        <w:jc w:val="both"/>
        <w:rPr>
          <w:sz w:val="26"/>
          <w:szCs w:val="26"/>
        </w:rPr>
      </w:pPr>
      <w:r w:rsidRPr="008C2293">
        <w:rPr>
          <w:sz w:val="26"/>
          <w:szCs w:val="26"/>
        </w:rPr>
        <w:t>Trong thời gian gần đây, hoạt động huy động vốn của Ngân hàng TMCP Nam Á (Nam A Bank) đã có nhiều bước phát triển tích cực, giữ vai trò then chốt trong việc cung ứng nguồn vốn cho các hoạt động kinh doanh và định hướng phát triển của ngân hàng. Nguồn vốn huy động liên tục tăng trưởng về quy mô, thể hiện sự gia tăng niềm tin của khách hàng cũng như uy tín ngày càng được khẳng định của Nam Á Bank trên thị trường tài chính. Đồng thời, cơ cấu nguồn vốn huy động từng bước được điều chỉnh theo hướng phong phú và ổn định hơn, cho thấy ngân hàng đã chủ động đa dạng hóa sản phẩm, đáp ứng tốt hơn nhu cầu của các phân khúc khách hàng khác nhau. Những kết quả này đã góp phần tạo nền tảng quan trọng để Nam Á Bank mở rộng hoạt động tín dụng, nâng cao hiệu quả sử dụng vốn và củng cố năng lực cạnh tranh trong môi trường kinh doanh ngày càng cạnh tranh. Trên cơ sở đó, nội dung tiếp theo sẽ tập trung phân tích cụ thể thực trạng huy động vốn của ngân hàng thông qua các chỉ tiêu và số liệu thực tế.</w:t>
      </w:r>
    </w:p>
    <w:p w14:paraId="51DEC907" w14:textId="77777777" w:rsidR="0042797D" w:rsidRPr="001308FF" w:rsidRDefault="0042797D" w:rsidP="0042797D">
      <w:pPr>
        <w:spacing w:beforeLines="60" w:before="144" w:afterLines="60" w:after="144" w:line="360" w:lineRule="auto"/>
        <w:ind w:right="146"/>
        <w:jc w:val="center"/>
        <w:rPr>
          <w:rFonts w:ascii="Times New Roman" w:hAnsi="Times New Roman" w:cs="Times New Roman"/>
          <w:b/>
          <w:sz w:val="26"/>
          <w:szCs w:val="26"/>
          <w:lang w:val="vi-VN"/>
        </w:rPr>
      </w:pPr>
      <w:r w:rsidRPr="001308FF">
        <w:rPr>
          <w:rFonts w:ascii="Times New Roman" w:hAnsi="Times New Roman" w:cs="Times New Roman"/>
          <w:b/>
          <w:sz w:val="26"/>
          <w:szCs w:val="26"/>
        </w:rPr>
        <w:t>Bảng 2</w:t>
      </w:r>
      <w:r>
        <w:rPr>
          <w:rFonts w:ascii="Times New Roman" w:hAnsi="Times New Roman" w:cs="Times New Roman"/>
          <w:b/>
          <w:sz w:val="26"/>
          <w:szCs w:val="26"/>
        </w:rPr>
        <w:t>.2</w:t>
      </w:r>
      <w:r w:rsidRPr="001308FF">
        <w:rPr>
          <w:rFonts w:ascii="Times New Roman" w:hAnsi="Times New Roman" w:cs="Times New Roman"/>
          <w:b/>
          <w:sz w:val="26"/>
          <w:szCs w:val="26"/>
        </w:rPr>
        <w:t xml:space="preserve"> Tình hình huy động vốn của Ngân hàng</w:t>
      </w:r>
      <w:r w:rsidRPr="001308FF">
        <w:rPr>
          <w:rFonts w:ascii="Times New Roman" w:hAnsi="Times New Roman" w:cs="Times New Roman"/>
          <w:b/>
          <w:sz w:val="26"/>
          <w:szCs w:val="26"/>
          <w:lang w:val="vi-VN"/>
        </w:rPr>
        <w:t xml:space="preserve"> TMCP</w:t>
      </w:r>
      <w:r w:rsidRPr="001308FF">
        <w:rPr>
          <w:rFonts w:ascii="Times New Roman" w:hAnsi="Times New Roman" w:cs="Times New Roman"/>
          <w:b/>
          <w:sz w:val="26"/>
          <w:szCs w:val="26"/>
        </w:rPr>
        <w:t xml:space="preserve"> Nam Á</w:t>
      </w:r>
      <w:r w:rsidRPr="001308FF">
        <w:rPr>
          <w:rFonts w:ascii="Times New Roman" w:hAnsi="Times New Roman" w:cs="Times New Roman"/>
          <w:b/>
          <w:sz w:val="26"/>
          <w:szCs w:val="26"/>
          <w:lang w:val="vi-VN"/>
        </w:rPr>
        <w:t xml:space="preserve"> </w:t>
      </w:r>
      <w:r w:rsidRPr="001308FF">
        <w:rPr>
          <w:rFonts w:ascii="Times New Roman" w:hAnsi="Times New Roman" w:cs="Times New Roman"/>
          <w:b/>
          <w:sz w:val="26"/>
          <w:szCs w:val="26"/>
        </w:rPr>
        <w:t>– Chi</w:t>
      </w:r>
      <w:r w:rsidRPr="001308FF">
        <w:rPr>
          <w:rFonts w:ascii="Times New Roman" w:hAnsi="Times New Roman" w:cs="Times New Roman"/>
          <w:b/>
          <w:sz w:val="26"/>
          <w:szCs w:val="26"/>
          <w:lang w:val="vi-VN"/>
        </w:rPr>
        <w:t xml:space="preserve"> nhánh Đà Nẵng</w:t>
      </w:r>
      <w:r w:rsidRPr="001308FF">
        <w:rPr>
          <w:rFonts w:ascii="Times New Roman" w:hAnsi="Times New Roman" w:cs="Times New Roman"/>
          <w:b/>
          <w:sz w:val="26"/>
          <w:szCs w:val="26"/>
        </w:rPr>
        <w:t xml:space="preserve"> – PGD Cẩm Lệ</w:t>
      </w:r>
      <w:r w:rsidRPr="001308FF">
        <w:rPr>
          <w:rFonts w:ascii="Times New Roman" w:hAnsi="Times New Roman" w:cs="Times New Roman"/>
          <w:b/>
          <w:sz w:val="26"/>
          <w:szCs w:val="26"/>
          <w:lang w:val="vi-VN"/>
        </w:rPr>
        <w:t xml:space="preserve"> 202</w:t>
      </w:r>
      <w:r>
        <w:rPr>
          <w:rFonts w:ascii="Times New Roman" w:hAnsi="Times New Roman" w:cs="Times New Roman"/>
          <w:b/>
          <w:sz w:val="26"/>
          <w:szCs w:val="26"/>
          <w:lang w:val="vi-VN"/>
        </w:rPr>
        <w:t>3</w:t>
      </w:r>
      <w:r w:rsidRPr="001308FF">
        <w:rPr>
          <w:rFonts w:ascii="Times New Roman" w:hAnsi="Times New Roman" w:cs="Times New Roman"/>
          <w:b/>
          <w:sz w:val="26"/>
          <w:szCs w:val="26"/>
          <w:lang w:val="vi-VN"/>
        </w:rPr>
        <w:t xml:space="preserve"> </w:t>
      </w:r>
      <w:r w:rsidRPr="001308FF">
        <w:rPr>
          <w:rFonts w:ascii="Times New Roman" w:hAnsi="Times New Roman" w:cs="Times New Roman"/>
          <w:b/>
          <w:sz w:val="26"/>
          <w:szCs w:val="26"/>
        </w:rPr>
        <w:t>–</w:t>
      </w:r>
      <w:r w:rsidRPr="001308FF">
        <w:rPr>
          <w:rFonts w:ascii="Times New Roman" w:hAnsi="Times New Roman" w:cs="Times New Roman"/>
          <w:b/>
          <w:sz w:val="26"/>
          <w:szCs w:val="26"/>
          <w:lang w:val="vi-VN"/>
        </w:rPr>
        <w:t xml:space="preserve"> 202</w:t>
      </w:r>
      <w:r>
        <w:rPr>
          <w:rFonts w:ascii="Times New Roman" w:hAnsi="Times New Roman" w:cs="Times New Roman"/>
          <w:b/>
          <w:sz w:val="26"/>
          <w:szCs w:val="26"/>
          <w:lang w:val="vi-VN"/>
        </w:rPr>
        <w:t>5</w:t>
      </w:r>
    </w:p>
    <w:p w14:paraId="6AD30228" w14:textId="77777777" w:rsidR="0042797D" w:rsidRPr="001308FF" w:rsidRDefault="0042797D" w:rsidP="0042797D">
      <w:pPr>
        <w:spacing w:beforeLines="60" w:before="144" w:afterLines="60" w:after="144" w:line="360" w:lineRule="auto"/>
        <w:ind w:right="146"/>
        <w:jc w:val="right"/>
        <w:rPr>
          <w:rFonts w:ascii="Times New Roman" w:hAnsi="Times New Roman" w:cs="Times New Roman"/>
          <w:bCs/>
          <w:i/>
          <w:iCs/>
          <w:sz w:val="26"/>
          <w:szCs w:val="26"/>
          <w:lang w:val="vi-VN"/>
        </w:rPr>
      </w:pPr>
      <w:r w:rsidRPr="001308FF">
        <w:rPr>
          <w:rFonts w:ascii="Times New Roman" w:hAnsi="Times New Roman" w:cs="Times New Roman"/>
          <w:bCs/>
          <w:i/>
          <w:iCs/>
          <w:sz w:val="26"/>
          <w:szCs w:val="26"/>
          <w:lang w:val="vi-VN"/>
        </w:rPr>
        <w:t>(Đơn vị tính: Triệu đồng)</w:t>
      </w:r>
    </w:p>
    <w:tbl>
      <w:tblPr>
        <w:tblStyle w:val="TableGrid"/>
        <w:tblW w:w="5147" w:type="pct"/>
        <w:jc w:val="center"/>
        <w:tblLook w:val="04A0" w:firstRow="1" w:lastRow="0" w:firstColumn="1" w:lastColumn="0" w:noHBand="0" w:noVBand="1"/>
      </w:tblPr>
      <w:tblGrid>
        <w:gridCol w:w="852"/>
        <w:gridCol w:w="1078"/>
        <w:gridCol w:w="968"/>
        <w:gridCol w:w="1078"/>
        <w:gridCol w:w="968"/>
        <w:gridCol w:w="1078"/>
        <w:gridCol w:w="968"/>
        <w:gridCol w:w="968"/>
        <w:gridCol w:w="858"/>
        <w:gridCol w:w="968"/>
        <w:gridCol w:w="858"/>
      </w:tblGrid>
      <w:tr w:rsidR="0042797D" w:rsidRPr="001308FF" w14:paraId="4A4A98E2" w14:textId="77777777" w:rsidTr="002F73B2">
        <w:trPr>
          <w:trHeight w:val="762"/>
          <w:jc w:val="center"/>
        </w:trPr>
        <w:tc>
          <w:tcPr>
            <w:tcW w:w="390" w:type="pct"/>
            <w:vMerge w:val="restart"/>
            <w:vAlign w:val="center"/>
          </w:tcPr>
          <w:p w14:paraId="3C06B8F5"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lang w:val="vi-VN"/>
              </w:rPr>
              <w:t>Chỉ tiêu</w:t>
            </w:r>
          </w:p>
        </w:tc>
        <w:tc>
          <w:tcPr>
            <w:tcW w:w="932" w:type="pct"/>
            <w:gridSpan w:val="2"/>
            <w:vAlign w:val="center"/>
          </w:tcPr>
          <w:p w14:paraId="68F275BA" w14:textId="77777777" w:rsidR="0042797D" w:rsidRPr="001308FF" w:rsidRDefault="0042797D" w:rsidP="002F73B2">
            <w:pPr>
              <w:spacing w:beforeLines="60" w:before="144" w:afterLines="60" w:after="144"/>
              <w:ind w:left="158" w:right="146"/>
              <w:jc w:val="center"/>
              <w:rPr>
                <w:rFonts w:ascii="Times New Roman" w:hAnsi="Times New Roman" w:cs="Times New Roman"/>
                <w:b/>
                <w:bCs/>
                <w:lang w:val="vi-VN"/>
              </w:rPr>
            </w:pPr>
            <w:r w:rsidRPr="001308FF">
              <w:rPr>
                <w:rFonts w:ascii="Times New Roman" w:hAnsi="Times New Roman" w:cs="Times New Roman"/>
                <w:b/>
                <w:bCs/>
                <w:color w:val="000000"/>
              </w:rPr>
              <w:t>2023</w:t>
            </w:r>
          </w:p>
        </w:tc>
        <w:tc>
          <w:tcPr>
            <w:tcW w:w="933" w:type="pct"/>
            <w:gridSpan w:val="2"/>
            <w:vAlign w:val="center"/>
          </w:tcPr>
          <w:p w14:paraId="389B61E6"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2024</w:t>
            </w:r>
          </w:p>
        </w:tc>
        <w:tc>
          <w:tcPr>
            <w:tcW w:w="933" w:type="pct"/>
            <w:gridSpan w:val="2"/>
            <w:vAlign w:val="center"/>
          </w:tcPr>
          <w:p w14:paraId="3C077BAA"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202</w:t>
            </w:r>
            <w:r>
              <w:rPr>
                <w:rFonts w:ascii="Times New Roman" w:hAnsi="Times New Roman" w:cs="Times New Roman"/>
                <w:b/>
                <w:bCs/>
                <w:color w:val="000000"/>
                <w:lang w:val="vi-VN"/>
              </w:rPr>
              <w:t>5</w:t>
            </w:r>
          </w:p>
        </w:tc>
        <w:tc>
          <w:tcPr>
            <w:tcW w:w="835" w:type="pct"/>
            <w:gridSpan w:val="2"/>
            <w:vAlign w:val="center"/>
          </w:tcPr>
          <w:p w14:paraId="061FEAB3"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Chênh lệch 202</w:t>
            </w:r>
            <w:r>
              <w:rPr>
                <w:rFonts w:ascii="Times New Roman" w:hAnsi="Times New Roman" w:cs="Times New Roman"/>
                <w:b/>
                <w:bCs/>
                <w:color w:val="000000"/>
                <w:lang w:val="vi-VN"/>
              </w:rPr>
              <w:t>4</w:t>
            </w:r>
            <w:r w:rsidRPr="001308FF">
              <w:rPr>
                <w:rFonts w:ascii="Times New Roman" w:hAnsi="Times New Roman" w:cs="Times New Roman"/>
                <w:b/>
                <w:bCs/>
                <w:color w:val="000000"/>
              </w:rPr>
              <w:t>/202</w:t>
            </w:r>
            <w:r>
              <w:rPr>
                <w:rFonts w:ascii="Times New Roman" w:hAnsi="Times New Roman" w:cs="Times New Roman"/>
                <w:b/>
                <w:bCs/>
                <w:color w:val="000000"/>
                <w:lang w:val="vi-VN"/>
              </w:rPr>
              <w:t>3</w:t>
            </w:r>
          </w:p>
        </w:tc>
        <w:tc>
          <w:tcPr>
            <w:tcW w:w="978" w:type="pct"/>
            <w:gridSpan w:val="2"/>
            <w:vAlign w:val="center"/>
          </w:tcPr>
          <w:p w14:paraId="117B8283"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Chênh lệch 202</w:t>
            </w:r>
            <w:r>
              <w:rPr>
                <w:rFonts w:ascii="Times New Roman" w:hAnsi="Times New Roman" w:cs="Times New Roman"/>
                <w:b/>
                <w:bCs/>
                <w:color w:val="000000"/>
                <w:lang w:val="vi-VN"/>
              </w:rPr>
              <w:t>5</w:t>
            </w:r>
            <w:r w:rsidRPr="001308FF">
              <w:rPr>
                <w:rFonts w:ascii="Times New Roman" w:hAnsi="Times New Roman" w:cs="Times New Roman"/>
                <w:b/>
                <w:bCs/>
                <w:color w:val="000000"/>
              </w:rPr>
              <w:t>/202</w:t>
            </w:r>
            <w:r>
              <w:rPr>
                <w:rFonts w:ascii="Times New Roman" w:hAnsi="Times New Roman" w:cs="Times New Roman"/>
                <w:b/>
                <w:bCs/>
                <w:color w:val="000000"/>
                <w:lang w:val="vi-VN"/>
              </w:rPr>
              <w:t>4</w:t>
            </w:r>
          </w:p>
        </w:tc>
      </w:tr>
      <w:tr w:rsidR="0042797D" w:rsidRPr="001308FF" w14:paraId="7BE8F9BF" w14:textId="77777777" w:rsidTr="002F73B2">
        <w:trPr>
          <w:trHeight w:val="845"/>
          <w:jc w:val="center"/>
        </w:trPr>
        <w:tc>
          <w:tcPr>
            <w:tcW w:w="390" w:type="pct"/>
            <w:vMerge/>
            <w:vAlign w:val="center"/>
          </w:tcPr>
          <w:p w14:paraId="2AD7DFE8"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p>
        </w:tc>
        <w:tc>
          <w:tcPr>
            <w:tcW w:w="490" w:type="pct"/>
            <w:vAlign w:val="center"/>
          </w:tcPr>
          <w:p w14:paraId="36B59DE6"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Số tiền</w:t>
            </w:r>
          </w:p>
        </w:tc>
        <w:tc>
          <w:tcPr>
            <w:tcW w:w="442" w:type="pct"/>
            <w:vAlign w:val="center"/>
          </w:tcPr>
          <w:p w14:paraId="7077597E"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Tỷ trọng</w:t>
            </w:r>
            <w:r w:rsidRPr="001308FF">
              <w:rPr>
                <w:rFonts w:ascii="Times New Roman" w:hAnsi="Times New Roman" w:cs="Times New Roman"/>
                <w:b/>
                <w:bCs/>
                <w:color w:val="000000"/>
                <w:lang w:val="vi-VN"/>
              </w:rPr>
              <w:t xml:space="preserve"> </w:t>
            </w:r>
            <w:r w:rsidRPr="001308FF">
              <w:rPr>
                <w:rFonts w:ascii="Times New Roman" w:hAnsi="Times New Roman" w:cs="Times New Roman"/>
                <w:b/>
                <w:bCs/>
                <w:color w:val="000000"/>
              </w:rPr>
              <w:t>(%)</w:t>
            </w:r>
          </w:p>
        </w:tc>
        <w:tc>
          <w:tcPr>
            <w:tcW w:w="491" w:type="pct"/>
            <w:vAlign w:val="center"/>
          </w:tcPr>
          <w:p w14:paraId="2DB127EB"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Số tiền</w:t>
            </w:r>
          </w:p>
        </w:tc>
        <w:tc>
          <w:tcPr>
            <w:tcW w:w="442" w:type="pct"/>
            <w:vAlign w:val="center"/>
          </w:tcPr>
          <w:p w14:paraId="005520A4"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Tỷ trọng</w:t>
            </w:r>
            <w:r w:rsidRPr="001308FF">
              <w:rPr>
                <w:rFonts w:ascii="Times New Roman" w:hAnsi="Times New Roman" w:cs="Times New Roman"/>
                <w:b/>
                <w:bCs/>
                <w:color w:val="000000"/>
                <w:lang w:val="vi-VN"/>
              </w:rPr>
              <w:t xml:space="preserve"> </w:t>
            </w:r>
            <w:r w:rsidRPr="001308FF">
              <w:rPr>
                <w:rFonts w:ascii="Times New Roman" w:hAnsi="Times New Roman" w:cs="Times New Roman"/>
                <w:b/>
                <w:bCs/>
                <w:color w:val="000000"/>
              </w:rPr>
              <w:t>(%)</w:t>
            </w:r>
          </w:p>
        </w:tc>
        <w:tc>
          <w:tcPr>
            <w:tcW w:w="491" w:type="pct"/>
            <w:vAlign w:val="center"/>
          </w:tcPr>
          <w:p w14:paraId="5CD1E4E1"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Số tiền</w:t>
            </w:r>
          </w:p>
        </w:tc>
        <w:tc>
          <w:tcPr>
            <w:tcW w:w="442" w:type="pct"/>
            <w:vAlign w:val="center"/>
          </w:tcPr>
          <w:p w14:paraId="7B467982" w14:textId="77777777" w:rsidR="0042797D" w:rsidRPr="001308FF" w:rsidRDefault="0042797D" w:rsidP="002F73B2">
            <w:pPr>
              <w:spacing w:beforeLines="60" w:before="144" w:afterLines="60" w:after="144"/>
              <w:ind w:right="146"/>
              <w:jc w:val="center"/>
              <w:rPr>
                <w:rFonts w:ascii="Times New Roman" w:hAnsi="Times New Roman" w:cs="Times New Roman"/>
                <w:b/>
                <w:bCs/>
                <w:color w:val="000000"/>
              </w:rPr>
            </w:pPr>
            <w:r w:rsidRPr="001308FF">
              <w:rPr>
                <w:rFonts w:ascii="Times New Roman" w:hAnsi="Times New Roman" w:cs="Times New Roman"/>
                <w:b/>
                <w:bCs/>
                <w:color w:val="000000"/>
              </w:rPr>
              <w:t>Tỷ trọng</w:t>
            </w:r>
            <w:r w:rsidRPr="001308FF">
              <w:rPr>
                <w:rFonts w:ascii="Times New Roman" w:hAnsi="Times New Roman" w:cs="Times New Roman"/>
                <w:b/>
                <w:bCs/>
                <w:color w:val="000000"/>
                <w:lang w:val="vi-VN"/>
              </w:rPr>
              <w:t xml:space="preserve"> </w:t>
            </w:r>
            <w:r w:rsidRPr="001308FF">
              <w:rPr>
                <w:rFonts w:ascii="Times New Roman" w:hAnsi="Times New Roman" w:cs="Times New Roman"/>
                <w:b/>
                <w:bCs/>
                <w:color w:val="000000"/>
              </w:rPr>
              <w:t>(%)</w:t>
            </w:r>
          </w:p>
        </w:tc>
        <w:tc>
          <w:tcPr>
            <w:tcW w:w="442" w:type="pct"/>
            <w:vAlign w:val="center"/>
          </w:tcPr>
          <w:p w14:paraId="59B05C6C"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Số tiền</w:t>
            </w:r>
          </w:p>
        </w:tc>
        <w:tc>
          <w:tcPr>
            <w:tcW w:w="393" w:type="pct"/>
            <w:vAlign w:val="center"/>
          </w:tcPr>
          <w:p w14:paraId="5DD68029"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Tỷ lệ</w:t>
            </w:r>
            <w:r w:rsidRPr="001308FF">
              <w:rPr>
                <w:rFonts w:ascii="Times New Roman" w:hAnsi="Times New Roman" w:cs="Times New Roman"/>
                <w:b/>
                <w:bCs/>
                <w:color w:val="000000"/>
                <w:lang w:val="vi-VN"/>
              </w:rPr>
              <w:t xml:space="preserve"> </w:t>
            </w:r>
            <w:r w:rsidRPr="001308FF">
              <w:rPr>
                <w:rFonts w:ascii="Times New Roman" w:hAnsi="Times New Roman" w:cs="Times New Roman"/>
                <w:b/>
                <w:bCs/>
                <w:color w:val="000000"/>
              </w:rPr>
              <w:t>(%)</w:t>
            </w:r>
          </w:p>
        </w:tc>
        <w:tc>
          <w:tcPr>
            <w:tcW w:w="442" w:type="pct"/>
            <w:vAlign w:val="center"/>
          </w:tcPr>
          <w:p w14:paraId="08FF9870" w14:textId="77777777" w:rsidR="0042797D" w:rsidRPr="001308FF" w:rsidRDefault="0042797D" w:rsidP="002F73B2">
            <w:pPr>
              <w:spacing w:beforeLines="60" w:before="144" w:afterLines="60" w:after="144"/>
              <w:ind w:right="146"/>
              <w:jc w:val="center"/>
              <w:rPr>
                <w:rFonts w:ascii="Times New Roman" w:hAnsi="Times New Roman" w:cs="Times New Roman"/>
                <w:b/>
                <w:bCs/>
                <w:color w:val="000000"/>
              </w:rPr>
            </w:pPr>
            <w:r w:rsidRPr="001308FF">
              <w:rPr>
                <w:rFonts w:ascii="Times New Roman" w:hAnsi="Times New Roman" w:cs="Times New Roman"/>
                <w:b/>
                <w:bCs/>
                <w:color w:val="000000"/>
              </w:rPr>
              <w:t>Số</w:t>
            </w:r>
          </w:p>
          <w:p w14:paraId="5087B79C"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tiền</w:t>
            </w:r>
          </w:p>
        </w:tc>
        <w:tc>
          <w:tcPr>
            <w:tcW w:w="536" w:type="pct"/>
            <w:vAlign w:val="center"/>
          </w:tcPr>
          <w:p w14:paraId="019BBAFC" w14:textId="77777777" w:rsidR="0042797D" w:rsidRPr="001308FF" w:rsidRDefault="0042797D" w:rsidP="002F73B2">
            <w:pPr>
              <w:jc w:val="center"/>
              <w:rPr>
                <w:rFonts w:ascii="Times New Roman" w:hAnsi="Times New Roman" w:cs="Times New Roman"/>
                <w:b/>
                <w:bCs/>
              </w:rPr>
            </w:pPr>
            <w:r w:rsidRPr="001308FF">
              <w:rPr>
                <w:rFonts w:ascii="Times New Roman" w:hAnsi="Times New Roman" w:cs="Times New Roman"/>
                <w:b/>
                <w:bCs/>
              </w:rPr>
              <w:t>Tỷ lệ</w:t>
            </w:r>
          </w:p>
          <w:p w14:paraId="4E610AD2" w14:textId="77777777" w:rsidR="0042797D" w:rsidRPr="001308FF" w:rsidRDefault="0042797D" w:rsidP="002F73B2">
            <w:pPr>
              <w:jc w:val="center"/>
              <w:rPr>
                <w:rFonts w:ascii="Times New Roman" w:hAnsi="Times New Roman" w:cs="Times New Roman"/>
                <w:lang w:val="vi-VN"/>
              </w:rPr>
            </w:pPr>
            <w:r w:rsidRPr="001308FF">
              <w:rPr>
                <w:rFonts w:ascii="Times New Roman" w:hAnsi="Times New Roman" w:cs="Times New Roman"/>
                <w:b/>
                <w:bCs/>
                <w:lang w:val="vi-VN"/>
              </w:rPr>
              <w:t>(%)</w:t>
            </w:r>
          </w:p>
        </w:tc>
      </w:tr>
      <w:tr w:rsidR="0042797D" w:rsidRPr="001308FF" w14:paraId="7D34B010" w14:textId="77777777" w:rsidTr="002F73B2">
        <w:trPr>
          <w:trHeight w:val="463"/>
          <w:jc w:val="center"/>
        </w:trPr>
        <w:tc>
          <w:tcPr>
            <w:tcW w:w="390" w:type="pct"/>
            <w:vAlign w:val="center"/>
          </w:tcPr>
          <w:p w14:paraId="33C2096D"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lang w:val="vi-VN"/>
              </w:rPr>
              <w:t>Cá nhân</w:t>
            </w:r>
          </w:p>
        </w:tc>
        <w:tc>
          <w:tcPr>
            <w:tcW w:w="490" w:type="pct"/>
            <w:vAlign w:val="center"/>
          </w:tcPr>
          <w:p w14:paraId="35F069F3"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492</w:t>
            </w:r>
            <w:r w:rsidRPr="001308FF">
              <w:rPr>
                <w:rFonts w:ascii="Times New Roman" w:hAnsi="Times New Roman" w:cs="Times New Roman"/>
                <w:color w:val="000000"/>
                <w:lang w:val="vi-VN"/>
              </w:rPr>
              <w:t>.484</w:t>
            </w:r>
          </w:p>
        </w:tc>
        <w:tc>
          <w:tcPr>
            <w:tcW w:w="442" w:type="pct"/>
            <w:vAlign w:val="center"/>
          </w:tcPr>
          <w:p w14:paraId="631D5077"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66</w:t>
            </w:r>
            <w:r w:rsidRPr="001308FF">
              <w:rPr>
                <w:rFonts w:ascii="Times New Roman" w:hAnsi="Times New Roman" w:cs="Times New Roman"/>
                <w:color w:val="000000"/>
                <w:lang w:val="vi-VN"/>
              </w:rPr>
              <w:t>,30</w:t>
            </w:r>
          </w:p>
        </w:tc>
        <w:tc>
          <w:tcPr>
            <w:tcW w:w="491" w:type="pct"/>
            <w:vAlign w:val="center"/>
          </w:tcPr>
          <w:p w14:paraId="76A4C01E"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532</w:t>
            </w:r>
            <w:r w:rsidRPr="001308FF">
              <w:rPr>
                <w:rFonts w:ascii="Times New Roman" w:hAnsi="Times New Roman" w:cs="Times New Roman"/>
                <w:color w:val="000000"/>
                <w:lang w:val="vi-VN"/>
              </w:rPr>
              <w:t>.347</w:t>
            </w:r>
          </w:p>
        </w:tc>
        <w:tc>
          <w:tcPr>
            <w:tcW w:w="442" w:type="pct"/>
            <w:vAlign w:val="center"/>
          </w:tcPr>
          <w:p w14:paraId="296B2567"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64,4</w:t>
            </w:r>
            <w:r w:rsidRPr="001308FF">
              <w:rPr>
                <w:rFonts w:ascii="Times New Roman" w:hAnsi="Times New Roman" w:cs="Times New Roman"/>
                <w:color w:val="000000"/>
                <w:lang w:val="vi-VN"/>
              </w:rPr>
              <w:t>0</w:t>
            </w:r>
          </w:p>
        </w:tc>
        <w:tc>
          <w:tcPr>
            <w:tcW w:w="491" w:type="pct"/>
            <w:vAlign w:val="center"/>
          </w:tcPr>
          <w:p w14:paraId="0E86A67B"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596,252</w:t>
            </w:r>
          </w:p>
        </w:tc>
        <w:tc>
          <w:tcPr>
            <w:tcW w:w="442" w:type="pct"/>
            <w:vAlign w:val="center"/>
          </w:tcPr>
          <w:p w14:paraId="5EAD69CA"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65,62</w:t>
            </w:r>
          </w:p>
        </w:tc>
        <w:tc>
          <w:tcPr>
            <w:tcW w:w="442" w:type="pct"/>
            <w:vAlign w:val="center"/>
          </w:tcPr>
          <w:p w14:paraId="3DC0518F"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39,867</w:t>
            </w:r>
          </w:p>
        </w:tc>
        <w:tc>
          <w:tcPr>
            <w:tcW w:w="393" w:type="pct"/>
            <w:vAlign w:val="center"/>
          </w:tcPr>
          <w:p w14:paraId="1605B95D"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8,10</w:t>
            </w:r>
          </w:p>
        </w:tc>
        <w:tc>
          <w:tcPr>
            <w:tcW w:w="442" w:type="pct"/>
            <w:vAlign w:val="center"/>
          </w:tcPr>
          <w:p w14:paraId="74A4D32A" w14:textId="77777777" w:rsidR="0042797D" w:rsidRPr="00570AF2" w:rsidRDefault="0042797D" w:rsidP="002F73B2">
            <w:pPr>
              <w:spacing w:beforeLines="60" w:before="144" w:afterLines="60" w:after="144"/>
              <w:ind w:right="146"/>
              <w:jc w:val="center"/>
              <w:rPr>
                <w:rFonts w:ascii="Times New Roman" w:hAnsi="Times New Roman" w:cs="Times New Roman"/>
                <w:lang w:val="vi-VN"/>
              </w:rPr>
            </w:pPr>
            <w:r w:rsidRPr="00570AF2">
              <w:rPr>
                <w:rFonts w:ascii="Times New Roman" w:hAnsi="Times New Roman" w:cs="Times New Roman"/>
                <w:color w:val="000000"/>
              </w:rPr>
              <w:t>63,905</w:t>
            </w:r>
          </w:p>
        </w:tc>
        <w:tc>
          <w:tcPr>
            <w:tcW w:w="536" w:type="pct"/>
            <w:vAlign w:val="center"/>
          </w:tcPr>
          <w:p w14:paraId="7245DCCE"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12,00</w:t>
            </w:r>
          </w:p>
        </w:tc>
      </w:tr>
      <w:tr w:rsidR="0042797D" w:rsidRPr="001308FF" w14:paraId="13327FF5" w14:textId="77777777" w:rsidTr="002F73B2">
        <w:trPr>
          <w:trHeight w:val="412"/>
          <w:jc w:val="center"/>
        </w:trPr>
        <w:tc>
          <w:tcPr>
            <w:tcW w:w="390" w:type="pct"/>
            <w:vAlign w:val="center"/>
          </w:tcPr>
          <w:p w14:paraId="69533EEF"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lang w:val="vi-VN"/>
              </w:rPr>
              <w:t>Tổ chức</w:t>
            </w:r>
          </w:p>
        </w:tc>
        <w:tc>
          <w:tcPr>
            <w:tcW w:w="490" w:type="pct"/>
            <w:vAlign w:val="center"/>
          </w:tcPr>
          <w:p w14:paraId="39A25108"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250</w:t>
            </w:r>
            <w:r w:rsidRPr="001308FF">
              <w:rPr>
                <w:rFonts w:ascii="Times New Roman" w:hAnsi="Times New Roman" w:cs="Times New Roman"/>
                <w:color w:val="000000"/>
                <w:lang w:val="vi-VN"/>
              </w:rPr>
              <w:t>.329</w:t>
            </w:r>
          </w:p>
        </w:tc>
        <w:tc>
          <w:tcPr>
            <w:tcW w:w="442" w:type="pct"/>
            <w:vAlign w:val="center"/>
          </w:tcPr>
          <w:p w14:paraId="230B8390"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33</w:t>
            </w:r>
            <w:r w:rsidRPr="001308FF">
              <w:rPr>
                <w:rFonts w:ascii="Times New Roman" w:hAnsi="Times New Roman" w:cs="Times New Roman"/>
                <w:color w:val="000000"/>
                <w:lang w:val="vi-VN"/>
              </w:rPr>
              <w:t>,70</w:t>
            </w:r>
          </w:p>
        </w:tc>
        <w:tc>
          <w:tcPr>
            <w:tcW w:w="491" w:type="pct"/>
            <w:vAlign w:val="center"/>
          </w:tcPr>
          <w:p w14:paraId="0BC2F51F"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294</w:t>
            </w:r>
            <w:r w:rsidRPr="001308FF">
              <w:rPr>
                <w:rFonts w:ascii="Times New Roman" w:hAnsi="Times New Roman" w:cs="Times New Roman"/>
                <w:color w:val="000000"/>
                <w:lang w:val="vi-VN"/>
              </w:rPr>
              <w:t>.246</w:t>
            </w:r>
          </w:p>
        </w:tc>
        <w:tc>
          <w:tcPr>
            <w:tcW w:w="442" w:type="pct"/>
            <w:vAlign w:val="center"/>
          </w:tcPr>
          <w:p w14:paraId="51425684"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color w:val="000000"/>
              </w:rPr>
              <w:t>35,</w:t>
            </w:r>
            <w:r w:rsidRPr="001308FF">
              <w:rPr>
                <w:rFonts w:ascii="Times New Roman" w:hAnsi="Times New Roman" w:cs="Times New Roman"/>
                <w:color w:val="000000"/>
                <w:lang w:val="vi-VN"/>
              </w:rPr>
              <w:t>60</w:t>
            </w:r>
          </w:p>
        </w:tc>
        <w:tc>
          <w:tcPr>
            <w:tcW w:w="491" w:type="pct"/>
            <w:vAlign w:val="center"/>
          </w:tcPr>
          <w:p w14:paraId="78FDDEE4"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312,422</w:t>
            </w:r>
          </w:p>
        </w:tc>
        <w:tc>
          <w:tcPr>
            <w:tcW w:w="442" w:type="pct"/>
            <w:vAlign w:val="center"/>
          </w:tcPr>
          <w:p w14:paraId="3E5CC1F8"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34,38</w:t>
            </w:r>
          </w:p>
        </w:tc>
        <w:tc>
          <w:tcPr>
            <w:tcW w:w="442" w:type="pct"/>
            <w:vAlign w:val="center"/>
          </w:tcPr>
          <w:p w14:paraId="078A2BBA"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43,916</w:t>
            </w:r>
          </w:p>
        </w:tc>
        <w:tc>
          <w:tcPr>
            <w:tcW w:w="393" w:type="pct"/>
            <w:vAlign w:val="center"/>
          </w:tcPr>
          <w:p w14:paraId="5ABC2FDF"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17,54</w:t>
            </w:r>
          </w:p>
        </w:tc>
        <w:tc>
          <w:tcPr>
            <w:tcW w:w="442" w:type="pct"/>
            <w:vAlign w:val="center"/>
          </w:tcPr>
          <w:p w14:paraId="00856BC9"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18,176</w:t>
            </w:r>
          </w:p>
        </w:tc>
        <w:tc>
          <w:tcPr>
            <w:tcW w:w="536" w:type="pct"/>
            <w:vAlign w:val="center"/>
          </w:tcPr>
          <w:p w14:paraId="1984B578"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color w:val="000000"/>
              </w:rPr>
              <w:t>6,18</w:t>
            </w:r>
          </w:p>
        </w:tc>
      </w:tr>
      <w:tr w:rsidR="0042797D" w:rsidRPr="001308FF" w14:paraId="1AC68323" w14:textId="77777777" w:rsidTr="002F73B2">
        <w:trPr>
          <w:trHeight w:val="1140"/>
          <w:jc w:val="center"/>
        </w:trPr>
        <w:tc>
          <w:tcPr>
            <w:tcW w:w="390" w:type="pct"/>
            <w:vAlign w:val="center"/>
          </w:tcPr>
          <w:p w14:paraId="1363A44C"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lang w:val="vi-VN"/>
              </w:rPr>
              <w:t>Tổng huy động vốn</w:t>
            </w:r>
          </w:p>
        </w:tc>
        <w:tc>
          <w:tcPr>
            <w:tcW w:w="490" w:type="pct"/>
            <w:vAlign w:val="center"/>
          </w:tcPr>
          <w:p w14:paraId="70A2C1F9"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742</w:t>
            </w:r>
            <w:r w:rsidRPr="001308FF">
              <w:rPr>
                <w:rFonts w:ascii="Times New Roman" w:hAnsi="Times New Roman" w:cs="Times New Roman"/>
                <w:b/>
                <w:bCs/>
                <w:color w:val="000000"/>
                <w:lang w:val="vi-VN"/>
              </w:rPr>
              <w:t>.813</w:t>
            </w:r>
          </w:p>
        </w:tc>
        <w:tc>
          <w:tcPr>
            <w:tcW w:w="442" w:type="pct"/>
            <w:vAlign w:val="center"/>
          </w:tcPr>
          <w:p w14:paraId="2EF86528"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100</w:t>
            </w:r>
            <w:r w:rsidRPr="001308FF">
              <w:rPr>
                <w:rFonts w:ascii="Times New Roman" w:hAnsi="Times New Roman" w:cs="Times New Roman"/>
                <w:b/>
                <w:bCs/>
                <w:color w:val="000000"/>
                <w:lang w:val="vi-VN"/>
              </w:rPr>
              <w:t>,</w:t>
            </w:r>
            <w:r w:rsidRPr="001308FF">
              <w:rPr>
                <w:rFonts w:ascii="Times New Roman" w:hAnsi="Times New Roman" w:cs="Times New Roman"/>
                <w:b/>
                <w:bCs/>
                <w:color w:val="000000"/>
              </w:rPr>
              <w:t>00</w:t>
            </w:r>
          </w:p>
        </w:tc>
        <w:tc>
          <w:tcPr>
            <w:tcW w:w="491" w:type="pct"/>
            <w:vAlign w:val="center"/>
          </w:tcPr>
          <w:p w14:paraId="0A4D7CC9"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826</w:t>
            </w:r>
            <w:r w:rsidRPr="001308FF">
              <w:rPr>
                <w:rFonts w:ascii="Times New Roman" w:hAnsi="Times New Roman" w:cs="Times New Roman"/>
                <w:b/>
                <w:bCs/>
                <w:color w:val="000000"/>
                <w:lang w:val="vi-VN"/>
              </w:rPr>
              <w:t>.593</w:t>
            </w:r>
          </w:p>
        </w:tc>
        <w:tc>
          <w:tcPr>
            <w:tcW w:w="442" w:type="pct"/>
            <w:vAlign w:val="center"/>
          </w:tcPr>
          <w:p w14:paraId="59B8E8E9" w14:textId="77777777" w:rsidR="0042797D" w:rsidRPr="001308FF" w:rsidRDefault="0042797D" w:rsidP="002F73B2">
            <w:pPr>
              <w:spacing w:beforeLines="60" w:before="144" w:afterLines="60" w:after="144"/>
              <w:ind w:right="146"/>
              <w:jc w:val="center"/>
              <w:rPr>
                <w:rFonts w:ascii="Times New Roman" w:hAnsi="Times New Roman" w:cs="Times New Roman"/>
                <w:b/>
                <w:bCs/>
                <w:lang w:val="vi-VN"/>
              </w:rPr>
            </w:pPr>
            <w:r w:rsidRPr="001308FF">
              <w:rPr>
                <w:rFonts w:ascii="Times New Roman" w:hAnsi="Times New Roman" w:cs="Times New Roman"/>
                <w:b/>
                <w:bCs/>
                <w:color w:val="000000"/>
              </w:rPr>
              <w:t>100,00</w:t>
            </w:r>
          </w:p>
        </w:tc>
        <w:tc>
          <w:tcPr>
            <w:tcW w:w="491" w:type="pct"/>
            <w:vAlign w:val="center"/>
          </w:tcPr>
          <w:p w14:paraId="25CC0DD6"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b/>
                <w:bCs/>
                <w:color w:val="000000"/>
              </w:rPr>
              <w:t>908,674</w:t>
            </w:r>
          </w:p>
        </w:tc>
        <w:tc>
          <w:tcPr>
            <w:tcW w:w="442" w:type="pct"/>
            <w:vAlign w:val="center"/>
          </w:tcPr>
          <w:p w14:paraId="203B8065"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b/>
                <w:bCs/>
                <w:color w:val="000000"/>
              </w:rPr>
              <w:t>100,00</w:t>
            </w:r>
          </w:p>
        </w:tc>
        <w:tc>
          <w:tcPr>
            <w:tcW w:w="442" w:type="pct"/>
            <w:vAlign w:val="center"/>
          </w:tcPr>
          <w:p w14:paraId="25B95844"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b/>
                <w:bCs/>
                <w:color w:val="000000"/>
              </w:rPr>
              <w:t>83,783</w:t>
            </w:r>
          </w:p>
        </w:tc>
        <w:tc>
          <w:tcPr>
            <w:tcW w:w="393" w:type="pct"/>
            <w:vAlign w:val="center"/>
          </w:tcPr>
          <w:p w14:paraId="527BFDAC"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b/>
                <w:bCs/>
                <w:color w:val="000000"/>
              </w:rPr>
              <w:t>11,28</w:t>
            </w:r>
          </w:p>
        </w:tc>
        <w:tc>
          <w:tcPr>
            <w:tcW w:w="442" w:type="pct"/>
            <w:vAlign w:val="center"/>
          </w:tcPr>
          <w:p w14:paraId="79BF8892"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b/>
                <w:bCs/>
                <w:color w:val="000000"/>
              </w:rPr>
              <w:t>82,081</w:t>
            </w:r>
          </w:p>
        </w:tc>
        <w:tc>
          <w:tcPr>
            <w:tcW w:w="536" w:type="pct"/>
            <w:vAlign w:val="center"/>
          </w:tcPr>
          <w:p w14:paraId="43E7481E" w14:textId="77777777" w:rsidR="0042797D" w:rsidRPr="00570AF2" w:rsidRDefault="0042797D" w:rsidP="002F73B2">
            <w:pPr>
              <w:spacing w:beforeLines="60" w:before="144" w:afterLines="60" w:after="144"/>
              <w:ind w:right="146"/>
              <w:jc w:val="center"/>
              <w:rPr>
                <w:rFonts w:ascii="Times New Roman" w:hAnsi="Times New Roman" w:cs="Times New Roman"/>
                <w:b/>
                <w:bCs/>
                <w:lang w:val="vi-VN"/>
              </w:rPr>
            </w:pPr>
            <w:r w:rsidRPr="00570AF2">
              <w:rPr>
                <w:rFonts w:ascii="Times New Roman" w:hAnsi="Times New Roman" w:cs="Times New Roman"/>
                <w:b/>
                <w:bCs/>
                <w:color w:val="000000"/>
              </w:rPr>
              <w:t>9,93</w:t>
            </w:r>
          </w:p>
        </w:tc>
      </w:tr>
    </w:tbl>
    <w:p w14:paraId="4CA1A031" w14:textId="77777777" w:rsidR="0042797D" w:rsidRDefault="0042797D" w:rsidP="0042797D">
      <w:pPr>
        <w:pStyle w:val="ListParagraph"/>
        <w:tabs>
          <w:tab w:val="left" w:pos="5103"/>
        </w:tabs>
        <w:spacing w:beforeLines="60" w:before="144" w:afterLines="60" w:after="144" w:line="360" w:lineRule="auto"/>
        <w:ind w:left="0"/>
        <w:jc w:val="right"/>
        <w:rPr>
          <w:rFonts w:ascii="Times New Roman" w:hAnsi="Times New Roman" w:cs="Times New Roman"/>
          <w:i/>
          <w:sz w:val="26"/>
          <w:szCs w:val="26"/>
          <w:lang w:val="vi-VN"/>
        </w:rPr>
      </w:pPr>
      <w:r w:rsidRPr="001308FF">
        <w:rPr>
          <w:rFonts w:ascii="Times New Roman" w:hAnsi="Times New Roman" w:cs="Times New Roman"/>
          <w:i/>
          <w:sz w:val="26"/>
          <w:szCs w:val="26"/>
          <w:lang w:val="vi-VN"/>
        </w:rPr>
        <w:lastRenderedPageBreak/>
        <w:t>(</w:t>
      </w:r>
      <w:r w:rsidRPr="001308FF">
        <w:rPr>
          <w:rFonts w:ascii="Times New Roman" w:hAnsi="Times New Roman" w:cs="Times New Roman"/>
          <w:i/>
          <w:sz w:val="26"/>
          <w:szCs w:val="26"/>
        </w:rPr>
        <w:t>Nguồn: BCTC Ngân hàng</w:t>
      </w:r>
      <w:r w:rsidRPr="001308FF">
        <w:rPr>
          <w:rFonts w:ascii="Times New Roman" w:hAnsi="Times New Roman" w:cs="Times New Roman"/>
          <w:i/>
          <w:sz w:val="26"/>
          <w:szCs w:val="26"/>
          <w:lang w:val="vi-VN"/>
        </w:rPr>
        <w:t xml:space="preserve"> TMCP</w:t>
      </w:r>
      <w:r w:rsidRPr="001308FF">
        <w:rPr>
          <w:rFonts w:ascii="Times New Roman" w:hAnsi="Times New Roman" w:cs="Times New Roman"/>
          <w:i/>
          <w:sz w:val="26"/>
          <w:szCs w:val="26"/>
        </w:rPr>
        <w:t xml:space="preserve"> Nam Á –</w:t>
      </w:r>
      <w:r w:rsidRPr="001308FF">
        <w:rPr>
          <w:rFonts w:ascii="Times New Roman" w:hAnsi="Times New Roman" w:cs="Times New Roman"/>
          <w:i/>
          <w:sz w:val="26"/>
          <w:szCs w:val="26"/>
          <w:lang w:val="vi-VN"/>
        </w:rPr>
        <w:t xml:space="preserve"> Chi nhánh Đà Nẵng </w:t>
      </w:r>
      <w:r w:rsidRPr="001308FF">
        <w:rPr>
          <w:rFonts w:ascii="Times New Roman" w:hAnsi="Times New Roman" w:cs="Times New Roman"/>
          <w:i/>
          <w:sz w:val="26"/>
          <w:szCs w:val="26"/>
        </w:rPr>
        <w:t>– PGD Cẩm</w:t>
      </w:r>
      <w:r w:rsidRPr="001308FF">
        <w:rPr>
          <w:rFonts w:ascii="Times New Roman" w:hAnsi="Times New Roman" w:cs="Times New Roman"/>
          <w:i/>
          <w:sz w:val="26"/>
          <w:szCs w:val="26"/>
          <w:lang w:val="vi-VN"/>
        </w:rPr>
        <w:t xml:space="preserve"> Lệ)</w:t>
      </w:r>
    </w:p>
    <w:p w14:paraId="6F8B66C4" w14:textId="77777777" w:rsidR="0042797D" w:rsidRPr="00894D39" w:rsidRDefault="0042797D" w:rsidP="0042797D">
      <w:pPr>
        <w:spacing w:line="360" w:lineRule="auto"/>
        <w:jc w:val="both"/>
        <w:rPr>
          <w:rFonts w:ascii="Times New Roman" w:hAnsi="Times New Roman" w:cs="Times New Roman"/>
        </w:rPr>
      </w:pPr>
      <w:r w:rsidRPr="00894D39">
        <w:rPr>
          <w:rFonts w:ascii="Times New Roman" w:hAnsi="Times New Roman" w:cs="Times New Roman"/>
          <w:sz w:val="26"/>
          <w:szCs w:val="26"/>
        </w:rPr>
        <w:t>Trong giai đoạn 2023–2025, nguồn vốn huy động của Nam A Bank – CN Đà Nẵng – PGD Cẩm Lệ tăng ổn định từ 742.813 triệu đồng năm 2023 lên 826.593 triệu đồng năm 2024, tăng 83.780 triệu đồng (11,28%), và đạt 908.674 triệu đồng năm 2025, tăng 82.081 triệu đồng (9,93%). Dù tốc độ tăng năm 2025 thấp hơn năm 2024, quy mô vốn vẫn mở rộng, phản ánh sự ổn định và khả năng thích ứng của PGD.</w:t>
      </w:r>
    </w:p>
    <w:p w14:paraId="51F26DC8" w14:textId="77777777" w:rsidR="0042797D" w:rsidRPr="00894D39" w:rsidRDefault="0042797D" w:rsidP="0042797D">
      <w:pPr>
        <w:spacing w:line="360" w:lineRule="auto"/>
        <w:jc w:val="both"/>
        <w:rPr>
          <w:rFonts w:ascii="Times New Roman" w:hAnsi="Times New Roman" w:cs="Times New Roman"/>
        </w:rPr>
      </w:pPr>
      <w:r w:rsidRPr="00894D39">
        <w:rPr>
          <w:rFonts w:ascii="Times New Roman" w:hAnsi="Times New Roman" w:cs="Times New Roman"/>
          <w:sz w:val="26"/>
          <w:szCs w:val="26"/>
        </w:rPr>
        <w:t>Kết quả tăng trưởng chịu tác động từ bối cảnh kinh tế phục hồi sau Covid-19 và xu hướng dịch chuyển dòng tiền về kênh an toàn khi bất động sản, chứng khoán biến động giai đoạn 2024–2025. Cùng với đó, định hướng bán lẻ, đẩy mạnh số hóa (OneBank), đa dạng sản phẩm huy động và việc niêm yết HOSE (3/2024) góp phần củng cố uy tín và thu hút nguồn vốn.</w:t>
      </w:r>
    </w:p>
    <w:p w14:paraId="5C6A5FCE" w14:textId="77777777" w:rsidR="0042797D" w:rsidRPr="00894D39" w:rsidRDefault="0042797D" w:rsidP="0042797D">
      <w:pPr>
        <w:spacing w:line="360" w:lineRule="auto"/>
        <w:jc w:val="both"/>
        <w:rPr>
          <w:rFonts w:ascii="Times New Roman" w:hAnsi="Times New Roman" w:cs="Times New Roman"/>
        </w:rPr>
      </w:pPr>
      <w:r w:rsidRPr="00894D39">
        <w:rPr>
          <w:rFonts w:ascii="Times New Roman" w:hAnsi="Times New Roman" w:cs="Times New Roman"/>
          <w:sz w:val="26"/>
          <w:szCs w:val="26"/>
        </w:rPr>
        <w:t>Năm 2025, lãi suất tiền gửi tại quầy dao động 0,5%–5,6%/năm theo kỳ hạn; tiết kiệm trực tuyến 4,5%–5,9%/năm; một số khoản tiền gửi lớn kỳ hạn 36 tháng áp dụng 6,2%/năm. Mặt bằng lãi suất và sự thuận tiện giao dịch hỗ trợ duy trì đà tăng huy động vốn.</w:t>
      </w:r>
    </w:p>
    <w:p w14:paraId="77EA4CFB" w14:textId="77777777" w:rsidR="0042797D" w:rsidRPr="00894D39" w:rsidRDefault="0042797D" w:rsidP="0042797D">
      <w:pPr>
        <w:spacing w:line="360" w:lineRule="auto"/>
        <w:jc w:val="both"/>
        <w:rPr>
          <w:rFonts w:ascii="Times New Roman" w:hAnsi="Times New Roman" w:cs="Times New Roman"/>
        </w:rPr>
      </w:pPr>
      <w:r w:rsidRPr="00894D39">
        <w:rPr>
          <w:rFonts w:ascii="Times New Roman" w:hAnsi="Times New Roman" w:cs="Times New Roman"/>
          <w:sz w:val="26"/>
          <w:szCs w:val="26"/>
        </w:rPr>
        <w:t>Về cơ cấu, vốn từ khách hàng cá nhân luôn chiếm tỷ trọng chủ đạo: 492.484 triệu đồng (66,30%) năm 2023; 532.347 triệu đồng (64,40%) năm 2024; 596.252 triệu đồng (65,62%) năm 2025. Điều này phù hợp đặc điểm địa bàn dân cư đông và nhu cầu gửi tiết kiệm ổn định; năm 2024 tỷ trọng giảm nhẹ do tâm lý thận trọng trước biến động thị trường, nhưng phục hồi năm 2025 khi niềm tin cải thiện và kênh số được đẩy mạnh.</w:t>
      </w:r>
    </w:p>
    <w:p w14:paraId="72982FA4" w14:textId="77777777" w:rsidR="0042797D" w:rsidRPr="00894D39" w:rsidRDefault="0042797D" w:rsidP="0042797D">
      <w:pPr>
        <w:spacing w:line="360" w:lineRule="auto"/>
        <w:jc w:val="both"/>
        <w:rPr>
          <w:rFonts w:ascii="Times New Roman" w:hAnsi="Times New Roman" w:cs="Times New Roman"/>
        </w:rPr>
      </w:pPr>
      <w:r w:rsidRPr="00894D39">
        <w:rPr>
          <w:rFonts w:ascii="Times New Roman" w:hAnsi="Times New Roman" w:cs="Times New Roman"/>
          <w:sz w:val="26"/>
          <w:szCs w:val="26"/>
        </w:rPr>
        <w:t>Đối với khách hàng tổ chức, vốn huy động tăng từ 250.329 triệu đồng (33,70%) năm 2023 lên 294.246 triệu đồng năm 2024 (tăng 17,54%) và 312.422 triệu đồng năm 2025 (tăng 6,18%), chiếm 34,38%. Tăng trưởng năm 2024 phản ánh sự phục hồi hoạt động doanh nghiệp và nhu cầu quản lý dòng tiền; việc cung cấp đồng bộ các sản phẩm tiền gửi–tín dụng–thanh toán giúp duy trì số dư.</w:t>
      </w:r>
    </w:p>
    <w:p w14:paraId="5368AD86" w14:textId="77777777" w:rsidR="0042797D" w:rsidRPr="00894D39" w:rsidRDefault="0042797D" w:rsidP="0042797D">
      <w:pPr>
        <w:spacing w:line="360" w:lineRule="auto"/>
        <w:jc w:val="both"/>
        <w:rPr>
          <w:rFonts w:ascii="Times New Roman" w:hAnsi="Times New Roman" w:cs="Times New Roman"/>
        </w:rPr>
      </w:pPr>
      <w:r w:rsidRPr="00894D39">
        <w:rPr>
          <w:rFonts w:ascii="Times New Roman" w:hAnsi="Times New Roman" w:cs="Times New Roman"/>
          <w:sz w:val="26"/>
          <w:szCs w:val="26"/>
        </w:rPr>
        <w:t>Tóm lại, giai đoạn 2023–2025 PGD Cẩm Lệ duy trì tăng trưởng huy động vốn ổn định; cơ cấu vốn hợp lý với khách hàng cá nhân là nguồn chủ đạo và khách hàng tổ chức tăng dần, tạo nền tảng cho hoạt động kinh doanh an toàn, bền vững.</w:t>
      </w:r>
    </w:p>
    <w:p w14:paraId="71D5CCC3" w14:textId="77777777" w:rsidR="0042797D" w:rsidRPr="004F3639" w:rsidRDefault="0042797D" w:rsidP="0042797D">
      <w:pPr>
        <w:pStyle w:val="NormalWeb"/>
        <w:spacing w:line="360" w:lineRule="auto"/>
        <w:jc w:val="both"/>
        <w:rPr>
          <w:b/>
          <w:bCs/>
          <w:i/>
          <w:iCs/>
          <w:sz w:val="26"/>
          <w:szCs w:val="26"/>
        </w:rPr>
      </w:pPr>
      <w:r w:rsidRPr="004F3639">
        <w:rPr>
          <w:b/>
          <w:bCs/>
          <w:i/>
          <w:iCs/>
          <w:sz w:val="26"/>
          <w:szCs w:val="26"/>
        </w:rPr>
        <w:lastRenderedPageBreak/>
        <w:t>2.1.5.2 Tình hình hoạt động cho vay của Ngân hàng TMCP Nam Á – Chi nhánh Đà Nẵng – PDG Cẩm Lệ giai đoạn 2023 -2025</w:t>
      </w:r>
    </w:p>
    <w:p w14:paraId="321D41F0" w14:textId="77777777" w:rsidR="0042797D" w:rsidRPr="004E7022" w:rsidRDefault="0042797D" w:rsidP="0042797D">
      <w:pPr>
        <w:pStyle w:val="NormalWeb"/>
        <w:spacing w:line="360" w:lineRule="auto"/>
        <w:jc w:val="both"/>
        <w:rPr>
          <w:sz w:val="26"/>
          <w:szCs w:val="26"/>
        </w:rPr>
      </w:pPr>
      <w:r>
        <w:rPr>
          <w:sz w:val="26"/>
          <w:szCs w:val="26"/>
        </w:rPr>
        <w:t xml:space="preserve">   </w:t>
      </w:r>
      <w:r w:rsidRPr="004E7022">
        <w:rPr>
          <w:sz w:val="26"/>
          <w:szCs w:val="26"/>
        </w:rPr>
        <w:t>Trong những năm gần đây, hoạt động cho vay của Ngân hàng TMCP Nam Á (Nam A Bank) vẫn giữ vị trí trung tâm, đóng góp chủ yếu vào nguồn thu và hiệu quả kinh doanh của ngân hàng. Quy mô dư nợ cho vay có sự thay đổi theo từng thời kỳ, phản ánh sự chủ động điều chỉnh chính sách tín dụng của ngân hàng nhằm thích ứng với diễn biến của nền kinh tế và yêu cầu quản lý rủi ro. Song song với việc mở rộng hoạt động cho vay, Nam Á Bank ngày càng chú trọng đến chất lượng tín dụng, tăng cường công tác thẩm định, lựa chọn khách hàng và lĩnh vực đầu tư phù hợp, qua đó nâng cao hiệu quả sử dụng vốn và hạn chế rủi ro phát sinh. Những kết quả đạt được trong hoạt động cho vay đã góp phần giúp ngân hàng duy trì đà tăng trưởng ổn định, đồng thời khẳng định vai trò là trung gian tài chính quan trọng trong việc hỗ trợ khách hàng và thúc đẩy phát triển kinh tế. Trên cơ sở đó, phần tiếp theo sẽ tập trung phân tích chi tiết tình hình cho vay của Nam Á Bank dựa trên các số liệu thực tế.</w:t>
      </w:r>
    </w:p>
    <w:p w14:paraId="277759A6" w14:textId="77777777" w:rsidR="0042797D" w:rsidRDefault="0042797D" w:rsidP="0042797D">
      <w:pPr>
        <w:pStyle w:val="NormalWeb"/>
        <w:spacing w:line="360" w:lineRule="auto"/>
        <w:jc w:val="both"/>
        <w:rPr>
          <w:b/>
          <w:bCs/>
          <w:sz w:val="26"/>
          <w:szCs w:val="26"/>
        </w:rPr>
      </w:pPr>
    </w:p>
    <w:p w14:paraId="28B6F765" w14:textId="77777777" w:rsidR="0042797D" w:rsidRDefault="0042797D" w:rsidP="0042797D">
      <w:pPr>
        <w:pStyle w:val="NormalWeb"/>
        <w:spacing w:line="360" w:lineRule="auto"/>
        <w:jc w:val="both"/>
        <w:rPr>
          <w:b/>
          <w:bCs/>
          <w:sz w:val="26"/>
          <w:szCs w:val="26"/>
        </w:rPr>
      </w:pPr>
    </w:p>
    <w:p w14:paraId="0E3D991D" w14:textId="77777777" w:rsidR="0042797D" w:rsidRDefault="0042797D" w:rsidP="0042797D">
      <w:pPr>
        <w:pStyle w:val="NormalWeb"/>
        <w:jc w:val="both"/>
        <w:rPr>
          <w:b/>
          <w:bCs/>
          <w:sz w:val="26"/>
          <w:szCs w:val="26"/>
        </w:rPr>
      </w:pPr>
    </w:p>
    <w:p w14:paraId="6C27A295" w14:textId="77777777" w:rsidR="0042797D" w:rsidRDefault="0042797D" w:rsidP="0042797D">
      <w:pPr>
        <w:pStyle w:val="NormalWeb"/>
        <w:jc w:val="both"/>
        <w:rPr>
          <w:b/>
          <w:bCs/>
          <w:sz w:val="26"/>
          <w:szCs w:val="26"/>
        </w:rPr>
      </w:pPr>
    </w:p>
    <w:p w14:paraId="47951F0C" w14:textId="77777777" w:rsidR="0042797D" w:rsidRDefault="0042797D" w:rsidP="0042797D">
      <w:pPr>
        <w:pStyle w:val="NormalWeb"/>
        <w:jc w:val="both"/>
        <w:rPr>
          <w:b/>
          <w:bCs/>
          <w:sz w:val="26"/>
          <w:szCs w:val="26"/>
        </w:rPr>
      </w:pPr>
    </w:p>
    <w:p w14:paraId="3ED4DF02" w14:textId="77777777" w:rsidR="0042797D" w:rsidRDefault="0042797D" w:rsidP="0042797D">
      <w:pPr>
        <w:pStyle w:val="NormalWeb"/>
        <w:jc w:val="both"/>
        <w:rPr>
          <w:b/>
          <w:bCs/>
          <w:sz w:val="26"/>
          <w:szCs w:val="26"/>
        </w:rPr>
      </w:pPr>
    </w:p>
    <w:p w14:paraId="077C2CCB" w14:textId="77777777" w:rsidR="0042797D" w:rsidRDefault="0042797D" w:rsidP="0042797D">
      <w:pPr>
        <w:pStyle w:val="NormalWeb"/>
        <w:jc w:val="both"/>
        <w:rPr>
          <w:b/>
          <w:bCs/>
          <w:sz w:val="26"/>
          <w:szCs w:val="26"/>
        </w:rPr>
      </w:pPr>
    </w:p>
    <w:p w14:paraId="41CF0BC9" w14:textId="77777777" w:rsidR="0042797D" w:rsidRDefault="0042797D" w:rsidP="0042797D">
      <w:pPr>
        <w:pStyle w:val="NormalWeb"/>
        <w:jc w:val="both"/>
        <w:rPr>
          <w:b/>
          <w:bCs/>
          <w:sz w:val="26"/>
          <w:szCs w:val="26"/>
        </w:rPr>
      </w:pPr>
    </w:p>
    <w:p w14:paraId="3F040605" w14:textId="77777777" w:rsidR="0042797D" w:rsidRDefault="0042797D" w:rsidP="0042797D">
      <w:pPr>
        <w:pStyle w:val="NormalWeb"/>
        <w:jc w:val="both"/>
        <w:rPr>
          <w:b/>
          <w:bCs/>
          <w:sz w:val="26"/>
          <w:szCs w:val="26"/>
        </w:rPr>
      </w:pPr>
    </w:p>
    <w:p w14:paraId="1867CC27" w14:textId="77777777" w:rsidR="0042797D" w:rsidRDefault="0042797D" w:rsidP="0042797D">
      <w:pPr>
        <w:pStyle w:val="NormalWeb"/>
        <w:jc w:val="both"/>
        <w:rPr>
          <w:b/>
          <w:bCs/>
          <w:sz w:val="26"/>
          <w:szCs w:val="26"/>
        </w:rPr>
      </w:pPr>
    </w:p>
    <w:p w14:paraId="610FC1F1" w14:textId="77777777" w:rsidR="0042797D" w:rsidRDefault="0042797D" w:rsidP="0042797D">
      <w:pPr>
        <w:pStyle w:val="NormalWeb"/>
        <w:jc w:val="both"/>
        <w:rPr>
          <w:b/>
          <w:bCs/>
          <w:sz w:val="26"/>
          <w:szCs w:val="26"/>
        </w:rPr>
      </w:pPr>
    </w:p>
    <w:p w14:paraId="34902939" w14:textId="77777777" w:rsidR="0042797D" w:rsidRDefault="0042797D" w:rsidP="0042797D">
      <w:pPr>
        <w:pStyle w:val="NormalWeb"/>
        <w:jc w:val="both"/>
        <w:rPr>
          <w:b/>
          <w:bCs/>
          <w:sz w:val="26"/>
          <w:szCs w:val="26"/>
        </w:rPr>
      </w:pPr>
    </w:p>
    <w:p w14:paraId="198A2E0D" w14:textId="77777777" w:rsidR="0042797D" w:rsidRDefault="0042797D" w:rsidP="0042797D">
      <w:pPr>
        <w:pStyle w:val="NormalWeb"/>
        <w:jc w:val="both"/>
        <w:rPr>
          <w:b/>
          <w:bCs/>
          <w:sz w:val="26"/>
          <w:szCs w:val="26"/>
        </w:rPr>
      </w:pPr>
    </w:p>
    <w:p w14:paraId="651560FE" w14:textId="77777777" w:rsidR="0042797D" w:rsidRDefault="0042797D" w:rsidP="0042797D">
      <w:pPr>
        <w:pStyle w:val="NormalWeb"/>
        <w:jc w:val="both"/>
        <w:rPr>
          <w:b/>
          <w:bCs/>
          <w:sz w:val="26"/>
          <w:szCs w:val="26"/>
        </w:rPr>
      </w:pPr>
    </w:p>
    <w:p w14:paraId="0036D9ED" w14:textId="77777777" w:rsidR="0042797D" w:rsidRDefault="0042797D" w:rsidP="0042797D">
      <w:pPr>
        <w:pStyle w:val="NormalWeb"/>
        <w:jc w:val="both"/>
        <w:rPr>
          <w:b/>
          <w:bCs/>
          <w:sz w:val="26"/>
          <w:szCs w:val="26"/>
        </w:rPr>
      </w:pPr>
    </w:p>
    <w:p w14:paraId="535310EB" w14:textId="77777777" w:rsidR="0042797D" w:rsidRDefault="0042797D" w:rsidP="0042797D">
      <w:pPr>
        <w:pStyle w:val="NormalWeb"/>
        <w:jc w:val="both"/>
        <w:rPr>
          <w:b/>
          <w:bCs/>
          <w:sz w:val="26"/>
          <w:szCs w:val="26"/>
        </w:rPr>
        <w:sectPr w:rsidR="0042797D" w:rsidSect="00D26AB8">
          <w:pgSz w:w="12240" w:h="15840"/>
          <w:pgMar w:top="1134" w:right="1134" w:bottom="1134" w:left="1701" w:header="709" w:footer="709" w:gutter="0"/>
          <w:pgBorders w:display="firstPage" w:offsetFrom="page">
            <w:top w:val="single" w:sz="24" w:space="24" w:color="auto"/>
            <w:left w:val="single" w:sz="24" w:space="24" w:color="auto"/>
            <w:bottom w:val="single" w:sz="24" w:space="24" w:color="auto"/>
            <w:right w:val="single" w:sz="24" w:space="24" w:color="auto"/>
          </w:pgBorders>
          <w:cols w:space="708"/>
          <w:docGrid w:linePitch="360"/>
        </w:sectPr>
      </w:pPr>
    </w:p>
    <w:p w14:paraId="34BCED93" w14:textId="77777777" w:rsidR="0042797D" w:rsidRPr="000A59D2" w:rsidRDefault="0042797D" w:rsidP="0042797D">
      <w:pPr>
        <w:pStyle w:val="NormalWeb"/>
        <w:jc w:val="center"/>
        <w:rPr>
          <w:b/>
          <w:bCs/>
          <w:sz w:val="26"/>
          <w:szCs w:val="26"/>
        </w:rPr>
      </w:pPr>
      <w:r>
        <w:rPr>
          <w:b/>
          <w:bCs/>
          <w:sz w:val="26"/>
          <w:szCs w:val="26"/>
        </w:rPr>
        <w:lastRenderedPageBreak/>
        <w:t>Bảng 2.3 Tình hình cho vay tại Ngân hàng TMCP Nam Á – Chi nhánh Đà Nẵng – Phòng giao dịch Cẩm Lệ</w:t>
      </w:r>
    </w:p>
    <w:tbl>
      <w:tblPr>
        <w:tblpPr w:leftFromText="180" w:rightFromText="180" w:vertAnchor="text" w:horzAnchor="margin" w:tblpX="-545" w:tblpY="425"/>
        <w:tblW w:w="14935" w:type="dxa"/>
        <w:tblLook w:val="04A0" w:firstRow="1" w:lastRow="0" w:firstColumn="1" w:lastColumn="0" w:noHBand="0" w:noVBand="1"/>
      </w:tblPr>
      <w:tblGrid>
        <w:gridCol w:w="2245"/>
        <w:gridCol w:w="1461"/>
        <w:gridCol w:w="1235"/>
        <w:gridCol w:w="1260"/>
        <w:gridCol w:w="1268"/>
        <w:gridCol w:w="1175"/>
        <w:gridCol w:w="1177"/>
        <w:gridCol w:w="1175"/>
        <w:gridCol w:w="1177"/>
        <w:gridCol w:w="1357"/>
        <w:gridCol w:w="1405"/>
      </w:tblGrid>
      <w:tr w:rsidR="0042797D" w:rsidRPr="00AB6EA5" w14:paraId="6898E2CD" w14:textId="77777777" w:rsidTr="002F73B2">
        <w:trPr>
          <w:trHeight w:val="241"/>
        </w:trPr>
        <w:tc>
          <w:tcPr>
            <w:tcW w:w="2245" w:type="dxa"/>
            <w:vMerge w:val="restart"/>
            <w:tcBorders>
              <w:top w:val="single" w:sz="4" w:space="0" w:color="auto"/>
              <w:left w:val="single" w:sz="4" w:space="0" w:color="auto"/>
              <w:bottom w:val="single" w:sz="4" w:space="0" w:color="000000"/>
              <w:right w:val="single" w:sz="4" w:space="0" w:color="auto"/>
            </w:tcBorders>
            <w:noWrap/>
            <w:vAlign w:val="center"/>
            <w:hideMark/>
          </w:tcPr>
          <w:p w14:paraId="4EF2FF56"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Chỉ tiêu</w:t>
            </w:r>
          </w:p>
        </w:tc>
        <w:tc>
          <w:tcPr>
            <w:tcW w:w="2696" w:type="dxa"/>
            <w:gridSpan w:val="2"/>
            <w:tcBorders>
              <w:top w:val="single" w:sz="4" w:space="0" w:color="auto"/>
              <w:left w:val="nil"/>
              <w:bottom w:val="single" w:sz="4" w:space="0" w:color="auto"/>
              <w:right w:val="single" w:sz="4" w:space="0" w:color="000000"/>
            </w:tcBorders>
            <w:noWrap/>
            <w:vAlign w:val="center"/>
            <w:hideMark/>
          </w:tcPr>
          <w:p w14:paraId="5B3A6566"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2023</w:t>
            </w:r>
          </w:p>
        </w:tc>
        <w:tc>
          <w:tcPr>
            <w:tcW w:w="2528" w:type="dxa"/>
            <w:gridSpan w:val="2"/>
            <w:tcBorders>
              <w:top w:val="single" w:sz="4" w:space="0" w:color="auto"/>
              <w:left w:val="nil"/>
              <w:bottom w:val="single" w:sz="4" w:space="0" w:color="auto"/>
              <w:right w:val="single" w:sz="4" w:space="0" w:color="000000"/>
            </w:tcBorders>
            <w:noWrap/>
            <w:vAlign w:val="center"/>
            <w:hideMark/>
          </w:tcPr>
          <w:p w14:paraId="6A50EE1E"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2024</w:t>
            </w:r>
          </w:p>
        </w:tc>
        <w:tc>
          <w:tcPr>
            <w:tcW w:w="2352" w:type="dxa"/>
            <w:gridSpan w:val="2"/>
            <w:tcBorders>
              <w:top w:val="single" w:sz="4" w:space="0" w:color="auto"/>
              <w:left w:val="nil"/>
              <w:bottom w:val="single" w:sz="4" w:space="0" w:color="auto"/>
              <w:right w:val="single" w:sz="4" w:space="0" w:color="000000"/>
            </w:tcBorders>
            <w:noWrap/>
            <w:vAlign w:val="center"/>
            <w:hideMark/>
          </w:tcPr>
          <w:p w14:paraId="3DCBDC9A"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2025</w:t>
            </w:r>
          </w:p>
        </w:tc>
        <w:tc>
          <w:tcPr>
            <w:tcW w:w="2352" w:type="dxa"/>
            <w:gridSpan w:val="2"/>
            <w:tcBorders>
              <w:top w:val="single" w:sz="4" w:space="0" w:color="auto"/>
              <w:left w:val="nil"/>
              <w:bottom w:val="single" w:sz="4" w:space="0" w:color="auto"/>
              <w:right w:val="single" w:sz="4" w:space="0" w:color="000000"/>
            </w:tcBorders>
            <w:noWrap/>
            <w:vAlign w:val="center"/>
            <w:hideMark/>
          </w:tcPr>
          <w:p w14:paraId="50DAC268"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Chênh lệch 2024/2023</w:t>
            </w:r>
          </w:p>
        </w:tc>
        <w:tc>
          <w:tcPr>
            <w:tcW w:w="2762" w:type="dxa"/>
            <w:gridSpan w:val="2"/>
            <w:tcBorders>
              <w:top w:val="single" w:sz="4" w:space="0" w:color="auto"/>
              <w:left w:val="nil"/>
              <w:bottom w:val="single" w:sz="4" w:space="0" w:color="auto"/>
              <w:right w:val="single" w:sz="4" w:space="0" w:color="000000"/>
            </w:tcBorders>
            <w:noWrap/>
            <w:vAlign w:val="center"/>
            <w:hideMark/>
          </w:tcPr>
          <w:p w14:paraId="7360EE0A"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Chênh lệch 2025/2024</w:t>
            </w:r>
          </w:p>
        </w:tc>
      </w:tr>
      <w:tr w:rsidR="0042797D" w:rsidRPr="00AB6EA5" w14:paraId="22B142E2" w14:textId="77777777" w:rsidTr="002F73B2">
        <w:trPr>
          <w:trHeight w:val="241"/>
        </w:trPr>
        <w:tc>
          <w:tcPr>
            <w:tcW w:w="2245" w:type="dxa"/>
            <w:vMerge/>
            <w:tcBorders>
              <w:top w:val="single" w:sz="4" w:space="0" w:color="auto"/>
              <w:left w:val="single" w:sz="4" w:space="0" w:color="auto"/>
              <w:bottom w:val="single" w:sz="4" w:space="0" w:color="000000"/>
              <w:right w:val="single" w:sz="4" w:space="0" w:color="auto"/>
            </w:tcBorders>
            <w:vAlign w:val="center"/>
            <w:hideMark/>
          </w:tcPr>
          <w:p w14:paraId="4C41C556" w14:textId="77777777" w:rsidR="0042797D" w:rsidRPr="00AB6EA5" w:rsidRDefault="0042797D" w:rsidP="002F73B2">
            <w:pPr>
              <w:spacing w:after="0" w:line="240" w:lineRule="auto"/>
              <w:rPr>
                <w:rFonts w:ascii="Times New Roman" w:eastAsia="Times New Roman" w:hAnsi="Times New Roman" w:cs="Times New Roman"/>
                <w:b/>
                <w:bCs/>
                <w:color w:val="000000"/>
                <w:kern w:val="0"/>
                <w14:ligatures w14:val="none"/>
              </w:rPr>
            </w:pPr>
          </w:p>
        </w:tc>
        <w:tc>
          <w:tcPr>
            <w:tcW w:w="1461" w:type="dxa"/>
            <w:tcBorders>
              <w:top w:val="nil"/>
              <w:left w:val="nil"/>
              <w:bottom w:val="single" w:sz="4" w:space="0" w:color="auto"/>
              <w:right w:val="single" w:sz="4" w:space="0" w:color="auto"/>
            </w:tcBorders>
            <w:noWrap/>
            <w:vAlign w:val="center"/>
            <w:hideMark/>
          </w:tcPr>
          <w:p w14:paraId="123C5F8B"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Số tiền</w:t>
            </w:r>
          </w:p>
        </w:tc>
        <w:tc>
          <w:tcPr>
            <w:tcW w:w="1235" w:type="dxa"/>
            <w:tcBorders>
              <w:top w:val="nil"/>
              <w:left w:val="nil"/>
              <w:bottom w:val="single" w:sz="4" w:space="0" w:color="auto"/>
              <w:right w:val="single" w:sz="4" w:space="0" w:color="auto"/>
            </w:tcBorders>
            <w:noWrap/>
            <w:vAlign w:val="center"/>
            <w:hideMark/>
          </w:tcPr>
          <w:p w14:paraId="312A0F2B"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Tỷ trọng(%)</w:t>
            </w:r>
          </w:p>
        </w:tc>
        <w:tc>
          <w:tcPr>
            <w:tcW w:w="1260" w:type="dxa"/>
            <w:tcBorders>
              <w:top w:val="nil"/>
              <w:left w:val="nil"/>
              <w:bottom w:val="single" w:sz="4" w:space="0" w:color="auto"/>
              <w:right w:val="single" w:sz="4" w:space="0" w:color="auto"/>
            </w:tcBorders>
            <w:noWrap/>
            <w:vAlign w:val="center"/>
            <w:hideMark/>
          </w:tcPr>
          <w:p w14:paraId="3594BCE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Số tiền</w:t>
            </w:r>
          </w:p>
        </w:tc>
        <w:tc>
          <w:tcPr>
            <w:tcW w:w="1268" w:type="dxa"/>
            <w:tcBorders>
              <w:top w:val="nil"/>
              <w:left w:val="nil"/>
              <w:bottom w:val="single" w:sz="4" w:space="0" w:color="auto"/>
              <w:right w:val="single" w:sz="4" w:space="0" w:color="auto"/>
            </w:tcBorders>
            <w:noWrap/>
            <w:vAlign w:val="center"/>
            <w:hideMark/>
          </w:tcPr>
          <w:p w14:paraId="261F2942"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Tỷ trọng(%)</w:t>
            </w:r>
          </w:p>
        </w:tc>
        <w:tc>
          <w:tcPr>
            <w:tcW w:w="1175" w:type="dxa"/>
            <w:tcBorders>
              <w:top w:val="nil"/>
              <w:left w:val="nil"/>
              <w:bottom w:val="single" w:sz="4" w:space="0" w:color="auto"/>
              <w:right w:val="single" w:sz="4" w:space="0" w:color="auto"/>
            </w:tcBorders>
            <w:noWrap/>
            <w:vAlign w:val="center"/>
            <w:hideMark/>
          </w:tcPr>
          <w:p w14:paraId="147E85D2"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Số tiền</w:t>
            </w:r>
          </w:p>
        </w:tc>
        <w:tc>
          <w:tcPr>
            <w:tcW w:w="1177" w:type="dxa"/>
            <w:tcBorders>
              <w:top w:val="nil"/>
              <w:left w:val="nil"/>
              <w:bottom w:val="single" w:sz="4" w:space="0" w:color="auto"/>
              <w:right w:val="single" w:sz="4" w:space="0" w:color="auto"/>
            </w:tcBorders>
            <w:noWrap/>
            <w:vAlign w:val="center"/>
            <w:hideMark/>
          </w:tcPr>
          <w:p w14:paraId="54E08FA5"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Tỷ trọng (%)</w:t>
            </w:r>
          </w:p>
        </w:tc>
        <w:tc>
          <w:tcPr>
            <w:tcW w:w="1175" w:type="dxa"/>
            <w:tcBorders>
              <w:top w:val="nil"/>
              <w:left w:val="nil"/>
              <w:bottom w:val="single" w:sz="4" w:space="0" w:color="auto"/>
              <w:right w:val="single" w:sz="4" w:space="0" w:color="auto"/>
            </w:tcBorders>
            <w:noWrap/>
            <w:vAlign w:val="center"/>
            <w:hideMark/>
          </w:tcPr>
          <w:p w14:paraId="45F39C49"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Số tiền</w:t>
            </w:r>
          </w:p>
        </w:tc>
        <w:tc>
          <w:tcPr>
            <w:tcW w:w="1177" w:type="dxa"/>
            <w:tcBorders>
              <w:top w:val="nil"/>
              <w:left w:val="nil"/>
              <w:bottom w:val="single" w:sz="4" w:space="0" w:color="auto"/>
              <w:right w:val="single" w:sz="4" w:space="0" w:color="auto"/>
            </w:tcBorders>
            <w:noWrap/>
            <w:vAlign w:val="center"/>
            <w:hideMark/>
          </w:tcPr>
          <w:p w14:paraId="2DBF7337"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Tỷ lệ(%)</w:t>
            </w:r>
          </w:p>
        </w:tc>
        <w:tc>
          <w:tcPr>
            <w:tcW w:w="1357" w:type="dxa"/>
            <w:tcBorders>
              <w:top w:val="nil"/>
              <w:left w:val="nil"/>
              <w:bottom w:val="single" w:sz="4" w:space="0" w:color="auto"/>
              <w:right w:val="single" w:sz="4" w:space="0" w:color="auto"/>
            </w:tcBorders>
            <w:noWrap/>
            <w:vAlign w:val="center"/>
            <w:hideMark/>
          </w:tcPr>
          <w:p w14:paraId="24B3BE87"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Số tiền</w:t>
            </w:r>
          </w:p>
        </w:tc>
        <w:tc>
          <w:tcPr>
            <w:tcW w:w="1405" w:type="dxa"/>
            <w:tcBorders>
              <w:top w:val="nil"/>
              <w:left w:val="nil"/>
              <w:bottom w:val="single" w:sz="4" w:space="0" w:color="auto"/>
              <w:right w:val="single" w:sz="4" w:space="0" w:color="auto"/>
            </w:tcBorders>
            <w:noWrap/>
            <w:vAlign w:val="center"/>
            <w:hideMark/>
          </w:tcPr>
          <w:p w14:paraId="1EA107B4"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AB6EA5">
              <w:rPr>
                <w:rFonts w:ascii="Times New Roman" w:eastAsia="Times New Roman" w:hAnsi="Times New Roman" w:cs="Times New Roman"/>
                <w:b/>
                <w:bCs/>
                <w:color w:val="000000"/>
                <w:kern w:val="0"/>
                <w14:ligatures w14:val="none"/>
              </w:rPr>
              <w:t>Tỷ lệ(%)</w:t>
            </w:r>
          </w:p>
        </w:tc>
      </w:tr>
      <w:tr w:rsidR="0042797D" w:rsidRPr="00AB6EA5" w14:paraId="20CD4577"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055F9E50" w14:textId="77777777" w:rsidR="0042797D" w:rsidRPr="00AB6EA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I. Doanh số cho vay</w:t>
            </w:r>
          </w:p>
        </w:tc>
        <w:tc>
          <w:tcPr>
            <w:tcW w:w="1461" w:type="dxa"/>
            <w:tcBorders>
              <w:top w:val="nil"/>
              <w:left w:val="nil"/>
              <w:bottom w:val="single" w:sz="4" w:space="0" w:color="auto"/>
              <w:right w:val="single" w:sz="4" w:space="0" w:color="auto"/>
            </w:tcBorders>
            <w:noWrap/>
            <w:vAlign w:val="center"/>
            <w:hideMark/>
          </w:tcPr>
          <w:p w14:paraId="40491E1B"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578.349</w:t>
            </w:r>
          </w:p>
        </w:tc>
        <w:tc>
          <w:tcPr>
            <w:tcW w:w="1235" w:type="dxa"/>
            <w:tcBorders>
              <w:top w:val="nil"/>
              <w:left w:val="nil"/>
              <w:bottom w:val="single" w:sz="4" w:space="0" w:color="auto"/>
              <w:right w:val="single" w:sz="4" w:space="0" w:color="auto"/>
            </w:tcBorders>
            <w:noWrap/>
            <w:vAlign w:val="center"/>
            <w:hideMark/>
          </w:tcPr>
          <w:p w14:paraId="5014D0BE"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260" w:type="dxa"/>
            <w:tcBorders>
              <w:top w:val="nil"/>
              <w:left w:val="nil"/>
              <w:bottom w:val="single" w:sz="4" w:space="0" w:color="auto"/>
              <w:right w:val="single" w:sz="4" w:space="0" w:color="auto"/>
            </w:tcBorders>
            <w:noWrap/>
            <w:vAlign w:val="center"/>
            <w:hideMark/>
          </w:tcPr>
          <w:p w14:paraId="4998E82F"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773.962</w:t>
            </w:r>
          </w:p>
        </w:tc>
        <w:tc>
          <w:tcPr>
            <w:tcW w:w="1268" w:type="dxa"/>
            <w:tcBorders>
              <w:top w:val="nil"/>
              <w:left w:val="nil"/>
              <w:bottom w:val="single" w:sz="4" w:space="0" w:color="auto"/>
              <w:right w:val="single" w:sz="4" w:space="0" w:color="auto"/>
            </w:tcBorders>
            <w:noWrap/>
            <w:vAlign w:val="center"/>
            <w:hideMark/>
          </w:tcPr>
          <w:p w14:paraId="0A1020C7"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175" w:type="dxa"/>
            <w:tcBorders>
              <w:top w:val="nil"/>
              <w:left w:val="nil"/>
              <w:bottom w:val="single" w:sz="4" w:space="0" w:color="auto"/>
              <w:right w:val="single" w:sz="4" w:space="0" w:color="auto"/>
            </w:tcBorders>
            <w:noWrap/>
            <w:vAlign w:val="center"/>
            <w:hideMark/>
          </w:tcPr>
          <w:p w14:paraId="27C633A2"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812.736</w:t>
            </w:r>
          </w:p>
        </w:tc>
        <w:tc>
          <w:tcPr>
            <w:tcW w:w="1177" w:type="dxa"/>
            <w:tcBorders>
              <w:top w:val="nil"/>
              <w:left w:val="nil"/>
              <w:bottom w:val="single" w:sz="4" w:space="0" w:color="auto"/>
              <w:right w:val="single" w:sz="4" w:space="0" w:color="auto"/>
            </w:tcBorders>
            <w:noWrap/>
            <w:vAlign w:val="center"/>
            <w:hideMark/>
          </w:tcPr>
          <w:p w14:paraId="79B7904F"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175" w:type="dxa"/>
            <w:tcBorders>
              <w:top w:val="nil"/>
              <w:left w:val="nil"/>
              <w:bottom w:val="single" w:sz="4" w:space="0" w:color="auto"/>
              <w:right w:val="single" w:sz="4" w:space="0" w:color="auto"/>
            </w:tcBorders>
            <w:noWrap/>
            <w:vAlign w:val="center"/>
            <w:hideMark/>
          </w:tcPr>
          <w:p w14:paraId="12282B5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195.613</w:t>
            </w:r>
          </w:p>
        </w:tc>
        <w:tc>
          <w:tcPr>
            <w:tcW w:w="1177" w:type="dxa"/>
            <w:tcBorders>
              <w:top w:val="nil"/>
              <w:left w:val="nil"/>
              <w:bottom w:val="single" w:sz="4" w:space="0" w:color="auto"/>
              <w:right w:val="single" w:sz="4" w:space="0" w:color="auto"/>
            </w:tcBorders>
            <w:noWrap/>
            <w:vAlign w:val="center"/>
            <w:hideMark/>
          </w:tcPr>
          <w:p w14:paraId="2A12D61C"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33.82</w:t>
            </w:r>
          </w:p>
        </w:tc>
        <w:tc>
          <w:tcPr>
            <w:tcW w:w="1357" w:type="dxa"/>
            <w:tcBorders>
              <w:top w:val="nil"/>
              <w:left w:val="nil"/>
              <w:bottom w:val="single" w:sz="4" w:space="0" w:color="auto"/>
              <w:right w:val="single" w:sz="4" w:space="0" w:color="auto"/>
            </w:tcBorders>
            <w:noWrap/>
            <w:vAlign w:val="center"/>
            <w:hideMark/>
          </w:tcPr>
          <w:p w14:paraId="2FACCA89"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38.774</w:t>
            </w:r>
          </w:p>
        </w:tc>
        <w:tc>
          <w:tcPr>
            <w:tcW w:w="1405" w:type="dxa"/>
            <w:tcBorders>
              <w:top w:val="nil"/>
              <w:left w:val="nil"/>
              <w:bottom w:val="single" w:sz="4" w:space="0" w:color="auto"/>
              <w:right w:val="single" w:sz="4" w:space="0" w:color="auto"/>
            </w:tcBorders>
            <w:noWrap/>
            <w:vAlign w:val="center"/>
            <w:hideMark/>
          </w:tcPr>
          <w:p w14:paraId="12E2C5DC"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xml:space="preserve">                 5.01 </w:t>
            </w:r>
          </w:p>
        </w:tc>
      </w:tr>
      <w:tr w:rsidR="0042797D" w:rsidRPr="00AB6EA5" w14:paraId="57D77B1B"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7DEEB713"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 Ngắn hạn</w:t>
            </w:r>
          </w:p>
        </w:tc>
        <w:tc>
          <w:tcPr>
            <w:tcW w:w="1461" w:type="dxa"/>
            <w:tcBorders>
              <w:top w:val="nil"/>
              <w:left w:val="nil"/>
              <w:bottom w:val="single" w:sz="4" w:space="0" w:color="auto"/>
              <w:right w:val="single" w:sz="4" w:space="0" w:color="auto"/>
            </w:tcBorders>
            <w:noWrap/>
            <w:vAlign w:val="center"/>
            <w:hideMark/>
          </w:tcPr>
          <w:p w14:paraId="49F253BB"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178.692</w:t>
            </w:r>
          </w:p>
        </w:tc>
        <w:tc>
          <w:tcPr>
            <w:tcW w:w="1235" w:type="dxa"/>
            <w:tcBorders>
              <w:top w:val="nil"/>
              <w:left w:val="nil"/>
              <w:bottom w:val="single" w:sz="4" w:space="0" w:color="auto"/>
              <w:right w:val="single" w:sz="4" w:space="0" w:color="auto"/>
            </w:tcBorders>
            <w:noWrap/>
            <w:vAlign w:val="center"/>
            <w:hideMark/>
          </w:tcPr>
          <w:p w14:paraId="7083024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30.90</w:t>
            </w:r>
          </w:p>
        </w:tc>
        <w:tc>
          <w:tcPr>
            <w:tcW w:w="1260" w:type="dxa"/>
            <w:tcBorders>
              <w:top w:val="nil"/>
              <w:left w:val="nil"/>
              <w:bottom w:val="single" w:sz="4" w:space="0" w:color="auto"/>
              <w:right w:val="single" w:sz="4" w:space="0" w:color="auto"/>
            </w:tcBorders>
            <w:noWrap/>
            <w:vAlign w:val="center"/>
            <w:hideMark/>
          </w:tcPr>
          <w:p w14:paraId="6CFB335C"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219.471</w:t>
            </w:r>
          </w:p>
        </w:tc>
        <w:tc>
          <w:tcPr>
            <w:tcW w:w="1268" w:type="dxa"/>
            <w:tcBorders>
              <w:top w:val="nil"/>
              <w:left w:val="nil"/>
              <w:bottom w:val="single" w:sz="4" w:space="0" w:color="auto"/>
              <w:right w:val="single" w:sz="4" w:space="0" w:color="auto"/>
            </w:tcBorders>
            <w:noWrap/>
            <w:vAlign w:val="center"/>
            <w:hideMark/>
          </w:tcPr>
          <w:p w14:paraId="7BEE3B0B"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28.36</w:t>
            </w:r>
          </w:p>
        </w:tc>
        <w:tc>
          <w:tcPr>
            <w:tcW w:w="1175" w:type="dxa"/>
            <w:tcBorders>
              <w:top w:val="nil"/>
              <w:left w:val="nil"/>
              <w:bottom w:val="single" w:sz="4" w:space="0" w:color="auto"/>
              <w:right w:val="single" w:sz="4" w:space="0" w:color="auto"/>
            </w:tcBorders>
            <w:noWrap/>
            <w:vAlign w:val="center"/>
            <w:hideMark/>
          </w:tcPr>
          <w:p w14:paraId="7D5C011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224.518</w:t>
            </w:r>
          </w:p>
        </w:tc>
        <w:tc>
          <w:tcPr>
            <w:tcW w:w="1177" w:type="dxa"/>
            <w:tcBorders>
              <w:top w:val="nil"/>
              <w:left w:val="nil"/>
              <w:bottom w:val="single" w:sz="4" w:space="0" w:color="auto"/>
              <w:right w:val="single" w:sz="4" w:space="0" w:color="auto"/>
            </w:tcBorders>
            <w:noWrap/>
            <w:vAlign w:val="center"/>
            <w:hideMark/>
          </w:tcPr>
          <w:p w14:paraId="4DA3B9EF"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27.62</w:t>
            </w:r>
          </w:p>
        </w:tc>
        <w:tc>
          <w:tcPr>
            <w:tcW w:w="1175" w:type="dxa"/>
            <w:tcBorders>
              <w:top w:val="nil"/>
              <w:left w:val="nil"/>
              <w:bottom w:val="single" w:sz="4" w:space="0" w:color="auto"/>
              <w:right w:val="single" w:sz="4" w:space="0" w:color="auto"/>
            </w:tcBorders>
            <w:noWrap/>
            <w:vAlign w:val="center"/>
            <w:hideMark/>
          </w:tcPr>
          <w:p w14:paraId="1D20DE2B"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40.779</w:t>
            </w:r>
          </w:p>
        </w:tc>
        <w:tc>
          <w:tcPr>
            <w:tcW w:w="1177" w:type="dxa"/>
            <w:tcBorders>
              <w:top w:val="nil"/>
              <w:left w:val="nil"/>
              <w:bottom w:val="single" w:sz="4" w:space="0" w:color="auto"/>
              <w:right w:val="single" w:sz="4" w:space="0" w:color="auto"/>
            </w:tcBorders>
            <w:noWrap/>
            <w:vAlign w:val="center"/>
            <w:hideMark/>
          </w:tcPr>
          <w:p w14:paraId="10F7D10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22.82</w:t>
            </w:r>
          </w:p>
        </w:tc>
        <w:tc>
          <w:tcPr>
            <w:tcW w:w="1357" w:type="dxa"/>
            <w:tcBorders>
              <w:top w:val="nil"/>
              <w:left w:val="nil"/>
              <w:bottom w:val="single" w:sz="4" w:space="0" w:color="auto"/>
              <w:right w:val="single" w:sz="4" w:space="0" w:color="auto"/>
            </w:tcBorders>
            <w:noWrap/>
            <w:vAlign w:val="center"/>
            <w:hideMark/>
          </w:tcPr>
          <w:p w14:paraId="0E1A658A"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5.047</w:t>
            </w:r>
          </w:p>
        </w:tc>
        <w:tc>
          <w:tcPr>
            <w:tcW w:w="1405" w:type="dxa"/>
            <w:tcBorders>
              <w:top w:val="nil"/>
              <w:left w:val="nil"/>
              <w:bottom w:val="single" w:sz="4" w:space="0" w:color="auto"/>
              <w:right w:val="single" w:sz="4" w:space="0" w:color="auto"/>
            </w:tcBorders>
            <w:noWrap/>
            <w:vAlign w:val="center"/>
            <w:hideMark/>
          </w:tcPr>
          <w:p w14:paraId="25B625DE"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xml:space="preserve">                 2.30 </w:t>
            </w:r>
          </w:p>
        </w:tc>
      </w:tr>
      <w:tr w:rsidR="0042797D" w:rsidRPr="00AB6EA5" w14:paraId="2C5C0995"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009AA343"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 Trung, dài hạn</w:t>
            </w:r>
          </w:p>
        </w:tc>
        <w:tc>
          <w:tcPr>
            <w:tcW w:w="1461" w:type="dxa"/>
            <w:tcBorders>
              <w:top w:val="nil"/>
              <w:left w:val="nil"/>
              <w:bottom w:val="single" w:sz="4" w:space="0" w:color="auto"/>
              <w:right w:val="single" w:sz="4" w:space="0" w:color="auto"/>
            </w:tcBorders>
            <w:noWrap/>
            <w:vAlign w:val="center"/>
            <w:hideMark/>
          </w:tcPr>
          <w:p w14:paraId="4775FCC2"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399.657</w:t>
            </w:r>
          </w:p>
        </w:tc>
        <w:tc>
          <w:tcPr>
            <w:tcW w:w="1235" w:type="dxa"/>
            <w:tcBorders>
              <w:top w:val="nil"/>
              <w:left w:val="nil"/>
              <w:bottom w:val="single" w:sz="4" w:space="0" w:color="auto"/>
              <w:right w:val="single" w:sz="4" w:space="0" w:color="auto"/>
            </w:tcBorders>
            <w:noWrap/>
            <w:vAlign w:val="center"/>
            <w:hideMark/>
          </w:tcPr>
          <w:p w14:paraId="146E79E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69.10</w:t>
            </w:r>
          </w:p>
        </w:tc>
        <w:tc>
          <w:tcPr>
            <w:tcW w:w="1260" w:type="dxa"/>
            <w:tcBorders>
              <w:top w:val="nil"/>
              <w:left w:val="nil"/>
              <w:bottom w:val="single" w:sz="4" w:space="0" w:color="auto"/>
              <w:right w:val="single" w:sz="4" w:space="0" w:color="auto"/>
            </w:tcBorders>
            <w:noWrap/>
            <w:vAlign w:val="center"/>
            <w:hideMark/>
          </w:tcPr>
          <w:p w14:paraId="6D46F5D8"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554.491</w:t>
            </w:r>
          </w:p>
        </w:tc>
        <w:tc>
          <w:tcPr>
            <w:tcW w:w="1268" w:type="dxa"/>
            <w:tcBorders>
              <w:top w:val="nil"/>
              <w:left w:val="nil"/>
              <w:bottom w:val="single" w:sz="4" w:space="0" w:color="auto"/>
              <w:right w:val="single" w:sz="4" w:space="0" w:color="auto"/>
            </w:tcBorders>
            <w:noWrap/>
            <w:vAlign w:val="center"/>
            <w:hideMark/>
          </w:tcPr>
          <w:p w14:paraId="56524D63"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71.64</w:t>
            </w:r>
          </w:p>
        </w:tc>
        <w:tc>
          <w:tcPr>
            <w:tcW w:w="1175" w:type="dxa"/>
            <w:tcBorders>
              <w:top w:val="nil"/>
              <w:left w:val="nil"/>
              <w:bottom w:val="single" w:sz="4" w:space="0" w:color="auto"/>
              <w:right w:val="single" w:sz="4" w:space="0" w:color="auto"/>
            </w:tcBorders>
            <w:noWrap/>
            <w:vAlign w:val="center"/>
            <w:hideMark/>
          </w:tcPr>
          <w:p w14:paraId="2E6FBACA"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588.218</w:t>
            </w:r>
          </w:p>
        </w:tc>
        <w:tc>
          <w:tcPr>
            <w:tcW w:w="1177" w:type="dxa"/>
            <w:tcBorders>
              <w:top w:val="nil"/>
              <w:left w:val="nil"/>
              <w:bottom w:val="single" w:sz="4" w:space="0" w:color="auto"/>
              <w:right w:val="single" w:sz="4" w:space="0" w:color="auto"/>
            </w:tcBorders>
            <w:noWrap/>
            <w:vAlign w:val="center"/>
            <w:hideMark/>
          </w:tcPr>
          <w:p w14:paraId="0F5D9979"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72.38</w:t>
            </w:r>
          </w:p>
        </w:tc>
        <w:tc>
          <w:tcPr>
            <w:tcW w:w="1175" w:type="dxa"/>
            <w:tcBorders>
              <w:top w:val="nil"/>
              <w:left w:val="nil"/>
              <w:bottom w:val="single" w:sz="4" w:space="0" w:color="auto"/>
              <w:right w:val="single" w:sz="4" w:space="0" w:color="auto"/>
            </w:tcBorders>
            <w:noWrap/>
            <w:vAlign w:val="center"/>
            <w:hideMark/>
          </w:tcPr>
          <w:p w14:paraId="14D57261"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154.834</w:t>
            </w:r>
          </w:p>
        </w:tc>
        <w:tc>
          <w:tcPr>
            <w:tcW w:w="1177" w:type="dxa"/>
            <w:tcBorders>
              <w:top w:val="nil"/>
              <w:left w:val="nil"/>
              <w:bottom w:val="single" w:sz="4" w:space="0" w:color="auto"/>
              <w:right w:val="single" w:sz="4" w:space="0" w:color="auto"/>
            </w:tcBorders>
            <w:noWrap/>
            <w:vAlign w:val="center"/>
            <w:hideMark/>
          </w:tcPr>
          <w:p w14:paraId="5B91A849"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38.74</w:t>
            </w:r>
          </w:p>
        </w:tc>
        <w:tc>
          <w:tcPr>
            <w:tcW w:w="1357" w:type="dxa"/>
            <w:tcBorders>
              <w:top w:val="nil"/>
              <w:left w:val="nil"/>
              <w:bottom w:val="single" w:sz="4" w:space="0" w:color="auto"/>
              <w:right w:val="single" w:sz="4" w:space="0" w:color="auto"/>
            </w:tcBorders>
            <w:noWrap/>
            <w:vAlign w:val="center"/>
            <w:hideMark/>
          </w:tcPr>
          <w:p w14:paraId="7DF1E96F"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33.727</w:t>
            </w:r>
          </w:p>
        </w:tc>
        <w:tc>
          <w:tcPr>
            <w:tcW w:w="1405" w:type="dxa"/>
            <w:tcBorders>
              <w:top w:val="nil"/>
              <w:left w:val="nil"/>
              <w:bottom w:val="single" w:sz="4" w:space="0" w:color="auto"/>
              <w:right w:val="single" w:sz="4" w:space="0" w:color="auto"/>
            </w:tcBorders>
            <w:noWrap/>
            <w:vAlign w:val="center"/>
            <w:hideMark/>
          </w:tcPr>
          <w:p w14:paraId="44953D43"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xml:space="preserve">                 6.08 </w:t>
            </w:r>
          </w:p>
        </w:tc>
      </w:tr>
      <w:tr w:rsidR="0042797D" w:rsidRPr="00AB6EA5" w14:paraId="522A172B"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61E87597" w14:textId="77777777" w:rsidR="0042797D" w:rsidRPr="00AB6EA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II. Doanh số thu nợ</w:t>
            </w:r>
          </w:p>
        </w:tc>
        <w:tc>
          <w:tcPr>
            <w:tcW w:w="1461" w:type="dxa"/>
            <w:tcBorders>
              <w:top w:val="nil"/>
              <w:left w:val="nil"/>
              <w:bottom w:val="single" w:sz="4" w:space="0" w:color="auto"/>
              <w:right w:val="single" w:sz="4" w:space="0" w:color="auto"/>
            </w:tcBorders>
            <w:noWrap/>
            <w:vAlign w:val="center"/>
            <w:hideMark/>
          </w:tcPr>
          <w:p w14:paraId="2DF4013E"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452.347</w:t>
            </w:r>
          </w:p>
        </w:tc>
        <w:tc>
          <w:tcPr>
            <w:tcW w:w="1235" w:type="dxa"/>
            <w:tcBorders>
              <w:top w:val="nil"/>
              <w:left w:val="nil"/>
              <w:bottom w:val="single" w:sz="4" w:space="0" w:color="auto"/>
              <w:right w:val="single" w:sz="4" w:space="0" w:color="auto"/>
            </w:tcBorders>
            <w:noWrap/>
            <w:vAlign w:val="center"/>
            <w:hideMark/>
          </w:tcPr>
          <w:p w14:paraId="04E063C5"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260" w:type="dxa"/>
            <w:tcBorders>
              <w:top w:val="nil"/>
              <w:left w:val="nil"/>
              <w:bottom w:val="single" w:sz="4" w:space="0" w:color="auto"/>
              <w:right w:val="single" w:sz="4" w:space="0" w:color="auto"/>
            </w:tcBorders>
            <w:noWrap/>
            <w:vAlign w:val="center"/>
            <w:hideMark/>
          </w:tcPr>
          <w:p w14:paraId="2F60318B"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682.927</w:t>
            </w:r>
          </w:p>
        </w:tc>
        <w:tc>
          <w:tcPr>
            <w:tcW w:w="1268" w:type="dxa"/>
            <w:tcBorders>
              <w:top w:val="nil"/>
              <w:left w:val="nil"/>
              <w:bottom w:val="single" w:sz="4" w:space="0" w:color="auto"/>
              <w:right w:val="single" w:sz="4" w:space="0" w:color="auto"/>
            </w:tcBorders>
            <w:noWrap/>
            <w:vAlign w:val="center"/>
            <w:hideMark/>
          </w:tcPr>
          <w:p w14:paraId="18596516"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175" w:type="dxa"/>
            <w:tcBorders>
              <w:top w:val="nil"/>
              <w:left w:val="nil"/>
              <w:bottom w:val="single" w:sz="4" w:space="0" w:color="auto"/>
              <w:right w:val="single" w:sz="4" w:space="0" w:color="auto"/>
            </w:tcBorders>
            <w:noWrap/>
            <w:vAlign w:val="center"/>
            <w:hideMark/>
          </w:tcPr>
          <w:p w14:paraId="3887AA5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702.485</w:t>
            </w:r>
          </w:p>
        </w:tc>
        <w:tc>
          <w:tcPr>
            <w:tcW w:w="1177" w:type="dxa"/>
            <w:tcBorders>
              <w:top w:val="nil"/>
              <w:left w:val="nil"/>
              <w:bottom w:val="single" w:sz="4" w:space="0" w:color="auto"/>
              <w:right w:val="single" w:sz="4" w:space="0" w:color="auto"/>
            </w:tcBorders>
            <w:noWrap/>
            <w:vAlign w:val="center"/>
            <w:hideMark/>
          </w:tcPr>
          <w:p w14:paraId="479E07DF"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175" w:type="dxa"/>
            <w:tcBorders>
              <w:top w:val="nil"/>
              <w:left w:val="nil"/>
              <w:bottom w:val="single" w:sz="4" w:space="0" w:color="auto"/>
              <w:right w:val="single" w:sz="4" w:space="0" w:color="auto"/>
            </w:tcBorders>
            <w:noWrap/>
            <w:vAlign w:val="center"/>
            <w:hideMark/>
          </w:tcPr>
          <w:p w14:paraId="14A0C810"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230.58</w:t>
            </w:r>
          </w:p>
        </w:tc>
        <w:tc>
          <w:tcPr>
            <w:tcW w:w="1177" w:type="dxa"/>
            <w:tcBorders>
              <w:top w:val="nil"/>
              <w:left w:val="nil"/>
              <w:bottom w:val="single" w:sz="4" w:space="0" w:color="auto"/>
              <w:right w:val="single" w:sz="4" w:space="0" w:color="auto"/>
            </w:tcBorders>
            <w:noWrap/>
            <w:vAlign w:val="center"/>
            <w:hideMark/>
          </w:tcPr>
          <w:p w14:paraId="7727BD50"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50.97</w:t>
            </w:r>
          </w:p>
        </w:tc>
        <w:tc>
          <w:tcPr>
            <w:tcW w:w="1357" w:type="dxa"/>
            <w:tcBorders>
              <w:top w:val="nil"/>
              <w:left w:val="nil"/>
              <w:bottom w:val="single" w:sz="4" w:space="0" w:color="auto"/>
              <w:right w:val="single" w:sz="4" w:space="0" w:color="auto"/>
            </w:tcBorders>
            <w:noWrap/>
            <w:vAlign w:val="center"/>
            <w:hideMark/>
          </w:tcPr>
          <w:p w14:paraId="4A96AC69"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19.558</w:t>
            </w:r>
          </w:p>
        </w:tc>
        <w:tc>
          <w:tcPr>
            <w:tcW w:w="1405" w:type="dxa"/>
            <w:tcBorders>
              <w:top w:val="nil"/>
              <w:left w:val="nil"/>
              <w:bottom w:val="single" w:sz="4" w:space="0" w:color="auto"/>
              <w:right w:val="single" w:sz="4" w:space="0" w:color="auto"/>
            </w:tcBorders>
            <w:noWrap/>
            <w:vAlign w:val="center"/>
            <w:hideMark/>
          </w:tcPr>
          <w:p w14:paraId="116105D9"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xml:space="preserve">                 2.86 </w:t>
            </w:r>
          </w:p>
        </w:tc>
      </w:tr>
      <w:tr w:rsidR="0042797D" w:rsidRPr="00AB6EA5" w14:paraId="70DDE5EB"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33C7B572"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 Ngắn hạn</w:t>
            </w:r>
          </w:p>
        </w:tc>
        <w:tc>
          <w:tcPr>
            <w:tcW w:w="1461" w:type="dxa"/>
            <w:tcBorders>
              <w:top w:val="nil"/>
              <w:left w:val="nil"/>
              <w:bottom w:val="single" w:sz="4" w:space="0" w:color="auto"/>
              <w:right w:val="single" w:sz="4" w:space="0" w:color="auto"/>
            </w:tcBorders>
            <w:noWrap/>
            <w:vAlign w:val="center"/>
            <w:hideMark/>
          </w:tcPr>
          <w:p w14:paraId="0F88B4A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134.751</w:t>
            </w:r>
          </w:p>
        </w:tc>
        <w:tc>
          <w:tcPr>
            <w:tcW w:w="1235" w:type="dxa"/>
            <w:tcBorders>
              <w:top w:val="nil"/>
              <w:left w:val="nil"/>
              <w:bottom w:val="single" w:sz="4" w:space="0" w:color="auto"/>
              <w:right w:val="single" w:sz="4" w:space="0" w:color="auto"/>
            </w:tcBorders>
            <w:noWrap/>
            <w:vAlign w:val="center"/>
            <w:hideMark/>
          </w:tcPr>
          <w:p w14:paraId="0A8817A9"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29.79</w:t>
            </w:r>
          </w:p>
        </w:tc>
        <w:tc>
          <w:tcPr>
            <w:tcW w:w="1260" w:type="dxa"/>
            <w:tcBorders>
              <w:top w:val="nil"/>
              <w:left w:val="nil"/>
              <w:bottom w:val="single" w:sz="4" w:space="0" w:color="auto"/>
              <w:right w:val="single" w:sz="4" w:space="0" w:color="auto"/>
            </w:tcBorders>
            <w:noWrap/>
            <w:vAlign w:val="center"/>
            <w:hideMark/>
          </w:tcPr>
          <w:p w14:paraId="2200547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249.347</w:t>
            </w:r>
          </w:p>
        </w:tc>
        <w:tc>
          <w:tcPr>
            <w:tcW w:w="1268" w:type="dxa"/>
            <w:tcBorders>
              <w:top w:val="nil"/>
              <w:left w:val="nil"/>
              <w:bottom w:val="single" w:sz="4" w:space="0" w:color="auto"/>
              <w:right w:val="single" w:sz="4" w:space="0" w:color="auto"/>
            </w:tcBorders>
            <w:noWrap/>
            <w:vAlign w:val="center"/>
            <w:hideMark/>
          </w:tcPr>
          <w:p w14:paraId="01B4F0D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36.51</w:t>
            </w:r>
          </w:p>
        </w:tc>
        <w:tc>
          <w:tcPr>
            <w:tcW w:w="1175" w:type="dxa"/>
            <w:tcBorders>
              <w:top w:val="nil"/>
              <w:left w:val="nil"/>
              <w:bottom w:val="single" w:sz="4" w:space="0" w:color="auto"/>
              <w:right w:val="single" w:sz="4" w:space="0" w:color="auto"/>
            </w:tcBorders>
            <w:noWrap/>
            <w:vAlign w:val="center"/>
            <w:hideMark/>
          </w:tcPr>
          <w:p w14:paraId="1587FD8A"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268.931</w:t>
            </w:r>
          </w:p>
        </w:tc>
        <w:tc>
          <w:tcPr>
            <w:tcW w:w="1177" w:type="dxa"/>
            <w:tcBorders>
              <w:top w:val="nil"/>
              <w:left w:val="nil"/>
              <w:bottom w:val="single" w:sz="4" w:space="0" w:color="auto"/>
              <w:right w:val="single" w:sz="4" w:space="0" w:color="auto"/>
            </w:tcBorders>
            <w:noWrap/>
            <w:vAlign w:val="center"/>
            <w:hideMark/>
          </w:tcPr>
          <w:p w14:paraId="1D1648AA"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38.28</w:t>
            </w:r>
          </w:p>
        </w:tc>
        <w:tc>
          <w:tcPr>
            <w:tcW w:w="1175" w:type="dxa"/>
            <w:tcBorders>
              <w:top w:val="nil"/>
              <w:left w:val="nil"/>
              <w:bottom w:val="single" w:sz="4" w:space="0" w:color="auto"/>
              <w:right w:val="single" w:sz="4" w:space="0" w:color="auto"/>
            </w:tcBorders>
            <w:noWrap/>
            <w:vAlign w:val="center"/>
            <w:hideMark/>
          </w:tcPr>
          <w:p w14:paraId="7AEE6EB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114.596</w:t>
            </w:r>
          </w:p>
        </w:tc>
        <w:tc>
          <w:tcPr>
            <w:tcW w:w="1177" w:type="dxa"/>
            <w:tcBorders>
              <w:top w:val="nil"/>
              <w:left w:val="nil"/>
              <w:bottom w:val="single" w:sz="4" w:space="0" w:color="auto"/>
              <w:right w:val="single" w:sz="4" w:space="0" w:color="auto"/>
            </w:tcBorders>
            <w:noWrap/>
            <w:vAlign w:val="center"/>
            <w:hideMark/>
          </w:tcPr>
          <w:p w14:paraId="281A0480"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85.04</w:t>
            </w:r>
          </w:p>
        </w:tc>
        <w:tc>
          <w:tcPr>
            <w:tcW w:w="1357" w:type="dxa"/>
            <w:tcBorders>
              <w:top w:val="nil"/>
              <w:left w:val="nil"/>
              <w:bottom w:val="single" w:sz="4" w:space="0" w:color="auto"/>
              <w:right w:val="single" w:sz="4" w:space="0" w:color="auto"/>
            </w:tcBorders>
            <w:noWrap/>
            <w:vAlign w:val="center"/>
            <w:hideMark/>
          </w:tcPr>
          <w:p w14:paraId="092B67F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19.584</w:t>
            </w:r>
          </w:p>
        </w:tc>
        <w:tc>
          <w:tcPr>
            <w:tcW w:w="1405" w:type="dxa"/>
            <w:tcBorders>
              <w:top w:val="nil"/>
              <w:left w:val="nil"/>
              <w:bottom w:val="single" w:sz="4" w:space="0" w:color="auto"/>
              <w:right w:val="single" w:sz="4" w:space="0" w:color="auto"/>
            </w:tcBorders>
            <w:noWrap/>
            <w:vAlign w:val="center"/>
            <w:hideMark/>
          </w:tcPr>
          <w:p w14:paraId="61400A74"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xml:space="preserve">                 7.85 </w:t>
            </w:r>
          </w:p>
        </w:tc>
      </w:tr>
      <w:tr w:rsidR="0042797D" w:rsidRPr="00AB6EA5" w14:paraId="75220DDA"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0BCA6A27"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 Trung, dài hạn</w:t>
            </w:r>
          </w:p>
        </w:tc>
        <w:tc>
          <w:tcPr>
            <w:tcW w:w="1461" w:type="dxa"/>
            <w:tcBorders>
              <w:top w:val="nil"/>
              <w:left w:val="nil"/>
              <w:bottom w:val="single" w:sz="4" w:space="0" w:color="auto"/>
              <w:right w:val="single" w:sz="4" w:space="0" w:color="auto"/>
            </w:tcBorders>
            <w:noWrap/>
            <w:vAlign w:val="center"/>
            <w:hideMark/>
          </w:tcPr>
          <w:p w14:paraId="6F56FE5B"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317.596</w:t>
            </w:r>
          </w:p>
        </w:tc>
        <w:tc>
          <w:tcPr>
            <w:tcW w:w="1235" w:type="dxa"/>
            <w:tcBorders>
              <w:top w:val="nil"/>
              <w:left w:val="nil"/>
              <w:bottom w:val="single" w:sz="4" w:space="0" w:color="auto"/>
              <w:right w:val="single" w:sz="4" w:space="0" w:color="auto"/>
            </w:tcBorders>
            <w:noWrap/>
            <w:vAlign w:val="center"/>
            <w:hideMark/>
          </w:tcPr>
          <w:p w14:paraId="7768DEFE"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70.21</w:t>
            </w:r>
          </w:p>
        </w:tc>
        <w:tc>
          <w:tcPr>
            <w:tcW w:w="1260" w:type="dxa"/>
            <w:tcBorders>
              <w:top w:val="nil"/>
              <w:left w:val="nil"/>
              <w:bottom w:val="single" w:sz="4" w:space="0" w:color="auto"/>
              <w:right w:val="single" w:sz="4" w:space="0" w:color="auto"/>
            </w:tcBorders>
            <w:noWrap/>
            <w:vAlign w:val="center"/>
            <w:hideMark/>
          </w:tcPr>
          <w:p w14:paraId="0D3FB2E2"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433.58</w:t>
            </w:r>
          </w:p>
        </w:tc>
        <w:tc>
          <w:tcPr>
            <w:tcW w:w="1268" w:type="dxa"/>
            <w:tcBorders>
              <w:top w:val="nil"/>
              <w:left w:val="nil"/>
              <w:bottom w:val="single" w:sz="4" w:space="0" w:color="auto"/>
              <w:right w:val="single" w:sz="4" w:space="0" w:color="auto"/>
            </w:tcBorders>
            <w:noWrap/>
            <w:vAlign w:val="center"/>
            <w:hideMark/>
          </w:tcPr>
          <w:p w14:paraId="5FBE3E4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63.49</w:t>
            </w:r>
          </w:p>
        </w:tc>
        <w:tc>
          <w:tcPr>
            <w:tcW w:w="1175" w:type="dxa"/>
            <w:tcBorders>
              <w:top w:val="nil"/>
              <w:left w:val="nil"/>
              <w:bottom w:val="single" w:sz="4" w:space="0" w:color="auto"/>
              <w:right w:val="single" w:sz="4" w:space="0" w:color="auto"/>
            </w:tcBorders>
            <w:noWrap/>
            <w:vAlign w:val="center"/>
            <w:hideMark/>
          </w:tcPr>
          <w:p w14:paraId="2067E9C9"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433.554</w:t>
            </w:r>
          </w:p>
        </w:tc>
        <w:tc>
          <w:tcPr>
            <w:tcW w:w="1177" w:type="dxa"/>
            <w:tcBorders>
              <w:top w:val="nil"/>
              <w:left w:val="nil"/>
              <w:bottom w:val="single" w:sz="4" w:space="0" w:color="auto"/>
              <w:right w:val="single" w:sz="4" w:space="0" w:color="auto"/>
            </w:tcBorders>
            <w:noWrap/>
            <w:vAlign w:val="center"/>
            <w:hideMark/>
          </w:tcPr>
          <w:p w14:paraId="4D807C24"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61.72</w:t>
            </w:r>
          </w:p>
        </w:tc>
        <w:tc>
          <w:tcPr>
            <w:tcW w:w="1175" w:type="dxa"/>
            <w:tcBorders>
              <w:top w:val="nil"/>
              <w:left w:val="nil"/>
              <w:bottom w:val="single" w:sz="4" w:space="0" w:color="auto"/>
              <w:right w:val="single" w:sz="4" w:space="0" w:color="auto"/>
            </w:tcBorders>
            <w:noWrap/>
            <w:vAlign w:val="center"/>
            <w:hideMark/>
          </w:tcPr>
          <w:p w14:paraId="55274CCA"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115.984</w:t>
            </w:r>
          </w:p>
        </w:tc>
        <w:tc>
          <w:tcPr>
            <w:tcW w:w="1177" w:type="dxa"/>
            <w:tcBorders>
              <w:top w:val="nil"/>
              <w:left w:val="nil"/>
              <w:bottom w:val="single" w:sz="4" w:space="0" w:color="auto"/>
              <w:right w:val="single" w:sz="4" w:space="0" w:color="auto"/>
            </w:tcBorders>
            <w:noWrap/>
            <w:vAlign w:val="center"/>
            <w:hideMark/>
          </w:tcPr>
          <w:p w14:paraId="5FB9C7CF"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36.52</w:t>
            </w:r>
          </w:p>
        </w:tc>
        <w:tc>
          <w:tcPr>
            <w:tcW w:w="1357" w:type="dxa"/>
            <w:tcBorders>
              <w:top w:val="nil"/>
              <w:left w:val="nil"/>
              <w:bottom w:val="single" w:sz="4" w:space="0" w:color="auto"/>
              <w:right w:val="single" w:sz="4" w:space="0" w:color="auto"/>
            </w:tcBorders>
            <w:noWrap/>
            <w:vAlign w:val="center"/>
            <w:hideMark/>
          </w:tcPr>
          <w:p w14:paraId="753335A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-0.026</w:t>
            </w:r>
          </w:p>
        </w:tc>
        <w:tc>
          <w:tcPr>
            <w:tcW w:w="1405" w:type="dxa"/>
            <w:tcBorders>
              <w:top w:val="nil"/>
              <w:left w:val="nil"/>
              <w:bottom w:val="single" w:sz="4" w:space="0" w:color="auto"/>
              <w:right w:val="single" w:sz="4" w:space="0" w:color="auto"/>
            </w:tcBorders>
            <w:noWrap/>
            <w:vAlign w:val="center"/>
            <w:hideMark/>
          </w:tcPr>
          <w:p w14:paraId="489E1F42"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xml:space="preserve">                (0.01)</w:t>
            </w:r>
          </w:p>
        </w:tc>
      </w:tr>
      <w:tr w:rsidR="0042797D" w:rsidRPr="00AB6EA5" w14:paraId="7018FE6B"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367A4D19" w14:textId="77777777" w:rsidR="0042797D" w:rsidRPr="00AB6EA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III. Dư nợ cho vay</w:t>
            </w:r>
          </w:p>
        </w:tc>
        <w:tc>
          <w:tcPr>
            <w:tcW w:w="1461" w:type="dxa"/>
            <w:tcBorders>
              <w:top w:val="nil"/>
              <w:left w:val="nil"/>
              <w:bottom w:val="single" w:sz="4" w:space="0" w:color="auto"/>
              <w:right w:val="single" w:sz="4" w:space="0" w:color="auto"/>
            </w:tcBorders>
            <w:noWrap/>
            <w:vAlign w:val="center"/>
            <w:hideMark/>
          </w:tcPr>
          <w:p w14:paraId="0CEC76F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755.858</w:t>
            </w:r>
          </w:p>
        </w:tc>
        <w:tc>
          <w:tcPr>
            <w:tcW w:w="1235" w:type="dxa"/>
            <w:tcBorders>
              <w:top w:val="nil"/>
              <w:left w:val="nil"/>
              <w:bottom w:val="single" w:sz="4" w:space="0" w:color="auto"/>
              <w:right w:val="single" w:sz="4" w:space="0" w:color="auto"/>
            </w:tcBorders>
            <w:noWrap/>
            <w:vAlign w:val="center"/>
            <w:hideMark/>
          </w:tcPr>
          <w:p w14:paraId="669C0AF6"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260" w:type="dxa"/>
            <w:tcBorders>
              <w:top w:val="nil"/>
              <w:left w:val="nil"/>
              <w:bottom w:val="single" w:sz="4" w:space="0" w:color="auto"/>
              <w:right w:val="single" w:sz="4" w:space="0" w:color="auto"/>
            </w:tcBorders>
            <w:noWrap/>
            <w:vAlign w:val="center"/>
            <w:hideMark/>
          </w:tcPr>
          <w:p w14:paraId="0B5D7289"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846.893</w:t>
            </w:r>
          </w:p>
        </w:tc>
        <w:tc>
          <w:tcPr>
            <w:tcW w:w="1268" w:type="dxa"/>
            <w:tcBorders>
              <w:top w:val="nil"/>
              <w:left w:val="nil"/>
              <w:bottom w:val="single" w:sz="4" w:space="0" w:color="auto"/>
              <w:right w:val="single" w:sz="4" w:space="0" w:color="auto"/>
            </w:tcBorders>
            <w:noWrap/>
            <w:vAlign w:val="center"/>
            <w:hideMark/>
          </w:tcPr>
          <w:p w14:paraId="1AFFAC37"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175" w:type="dxa"/>
            <w:tcBorders>
              <w:top w:val="nil"/>
              <w:left w:val="nil"/>
              <w:bottom w:val="single" w:sz="4" w:space="0" w:color="auto"/>
              <w:right w:val="single" w:sz="4" w:space="0" w:color="auto"/>
            </w:tcBorders>
            <w:noWrap/>
            <w:vAlign w:val="center"/>
            <w:hideMark/>
          </w:tcPr>
          <w:p w14:paraId="5D7E8788"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957.144</w:t>
            </w:r>
          </w:p>
        </w:tc>
        <w:tc>
          <w:tcPr>
            <w:tcW w:w="1177" w:type="dxa"/>
            <w:tcBorders>
              <w:top w:val="nil"/>
              <w:left w:val="nil"/>
              <w:bottom w:val="single" w:sz="4" w:space="0" w:color="auto"/>
              <w:right w:val="single" w:sz="4" w:space="0" w:color="auto"/>
            </w:tcBorders>
            <w:noWrap/>
            <w:vAlign w:val="center"/>
            <w:hideMark/>
          </w:tcPr>
          <w:p w14:paraId="5A22462B"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100.00</w:t>
            </w:r>
          </w:p>
        </w:tc>
        <w:tc>
          <w:tcPr>
            <w:tcW w:w="1175" w:type="dxa"/>
            <w:tcBorders>
              <w:top w:val="nil"/>
              <w:left w:val="nil"/>
              <w:bottom w:val="single" w:sz="4" w:space="0" w:color="auto"/>
              <w:right w:val="single" w:sz="4" w:space="0" w:color="auto"/>
            </w:tcBorders>
            <w:noWrap/>
            <w:vAlign w:val="center"/>
            <w:hideMark/>
          </w:tcPr>
          <w:p w14:paraId="6FEAD0AF"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91.035</w:t>
            </w:r>
          </w:p>
        </w:tc>
        <w:tc>
          <w:tcPr>
            <w:tcW w:w="1177" w:type="dxa"/>
            <w:tcBorders>
              <w:top w:val="nil"/>
              <w:left w:val="nil"/>
              <w:bottom w:val="single" w:sz="4" w:space="0" w:color="auto"/>
              <w:right w:val="single" w:sz="4" w:space="0" w:color="auto"/>
            </w:tcBorders>
            <w:noWrap/>
            <w:vAlign w:val="center"/>
            <w:hideMark/>
          </w:tcPr>
          <w:p w14:paraId="1E54CD7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12.04</w:t>
            </w:r>
          </w:p>
        </w:tc>
        <w:tc>
          <w:tcPr>
            <w:tcW w:w="1357" w:type="dxa"/>
            <w:tcBorders>
              <w:top w:val="nil"/>
              <w:left w:val="nil"/>
              <w:bottom w:val="single" w:sz="4" w:space="0" w:color="auto"/>
              <w:right w:val="single" w:sz="4" w:space="0" w:color="auto"/>
            </w:tcBorders>
            <w:noWrap/>
            <w:vAlign w:val="center"/>
            <w:hideMark/>
          </w:tcPr>
          <w:p w14:paraId="365A82A1"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110.251</w:t>
            </w:r>
          </w:p>
        </w:tc>
        <w:tc>
          <w:tcPr>
            <w:tcW w:w="1405" w:type="dxa"/>
            <w:tcBorders>
              <w:top w:val="nil"/>
              <w:left w:val="nil"/>
              <w:bottom w:val="single" w:sz="4" w:space="0" w:color="auto"/>
              <w:right w:val="single" w:sz="4" w:space="0" w:color="auto"/>
            </w:tcBorders>
            <w:noWrap/>
            <w:vAlign w:val="center"/>
            <w:hideMark/>
          </w:tcPr>
          <w:p w14:paraId="495229C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xml:space="preserve">                13.02 </w:t>
            </w:r>
          </w:p>
        </w:tc>
      </w:tr>
      <w:tr w:rsidR="0042797D" w:rsidRPr="00AB6EA5" w14:paraId="720E8028"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09E5543F"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 Ngắn hạn</w:t>
            </w:r>
          </w:p>
        </w:tc>
        <w:tc>
          <w:tcPr>
            <w:tcW w:w="1461" w:type="dxa"/>
            <w:tcBorders>
              <w:top w:val="nil"/>
              <w:left w:val="nil"/>
              <w:bottom w:val="single" w:sz="4" w:space="0" w:color="auto"/>
              <w:right w:val="single" w:sz="4" w:space="0" w:color="auto"/>
            </w:tcBorders>
            <w:noWrap/>
            <w:vAlign w:val="center"/>
            <w:hideMark/>
          </w:tcPr>
          <w:p w14:paraId="3DDDB4A7"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297.714</w:t>
            </w:r>
          </w:p>
        </w:tc>
        <w:tc>
          <w:tcPr>
            <w:tcW w:w="1235" w:type="dxa"/>
            <w:tcBorders>
              <w:top w:val="nil"/>
              <w:left w:val="nil"/>
              <w:bottom w:val="single" w:sz="4" w:space="0" w:color="auto"/>
              <w:right w:val="single" w:sz="4" w:space="0" w:color="auto"/>
            </w:tcBorders>
            <w:noWrap/>
            <w:vAlign w:val="center"/>
            <w:hideMark/>
          </w:tcPr>
          <w:p w14:paraId="7D68343E"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39.39</w:t>
            </w:r>
          </w:p>
        </w:tc>
        <w:tc>
          <w:tcPr>
            <w:tcW w:w="1260" w:type="dxa"/>
            <w:tcBorders>
              <w:top w:val="nil"/>
              <w:left w:val="nil"/>
              <w:bottom w:val="single" w:sz="4" w:space="0" w:color="auto"/>
              <w:right w:val="single" w:sz="4" w:space="0" w:color="auto"/>
            </w:tcBorders>
            <w:noWrap/>
            <w:vAlign w:val="center"/>
            <w:hideMark/>
          </w:tcPr>
          <w:p w14:paraId="21A93CF7"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342.109</w:t>
            </w:r>
          </w:p>
        </w:tc>
        <w:tc>
          <w:tcPr>
            <w:tcW w:w="1268" w:type="dxa"/>
            <w:tcBorders>
              <w:top w:val="nil"/>
              <w:left w:val="nil"/>
              <w:bottom w:val="single" w:sz="4" w:space="0" w:color="auto"/>
              <w:right w:val="single" w:sz="4" w:space="0" w:color="auto"/>
            </w:tcBorders>
            <w:noWrap/>
            <w:vAlign w:val="center"/>
            <w:hideMark/>
          </w:tcPr>
          <w:p w14:paraId="74948EBE"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40.40</w:t>
            </w:r>
          </w:p>
        </w:tc>
        <w:tc>
          <w:tcPr>
            <w:tcW w:w="1175" w:type="dxa"/>
            <w:tcBorders>
              <w:top w:val="nil"/>
              <w:left w:val="nil"/>
              <w:bottom w:val="single" w:sz="4" w:space="0" w:color="auto"/>
              <w:right w:val="single" w:sz="4" w:space="0" w:color="auto"/>
            </w:tcBorders>
            <w:noWrap/>
            <w:vAlign w:val="center"/>
            <w:hideMark/>
          </w:tcPr>
          <w:p w14:paraId="02350603"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388.417</w:t>
            </w:r>
          </w:p>
        </w:tc>
        <w:tc>
          <w:tcPr>
            <w:tcW w:w="1177" w:type="dxa"/>
            <w:tcBorders>
              <w:top w:val="nil"/>
              <w:left w:val="nil"/>
              <w:bottom w:val="single" w:sz="4" w:space="0" w:color="auto"/>
              <w:right w:val="single" w:sz="4" w:space="0" w:color="auto"/>
            </w:tcBorders>
            <w:noWrap/>
            <w:vAlign w:val="center"/>
            <w:hideMark/>
          </w:tcPr>
          <w:p w14:paraId="473465A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40.58</w:t>
            </w:r>
          </w:p>
        </w:tc>
        <w:tc>
          <w:tcPr>
            <w:tcW w:w="1175" w:type="dxa"/>
            <w:tcBorders>
              <w:top w:val="nil"/>
              <w:left w:val="nil"/>
              <w:bottom w:val="single" w:sz="4" w:space="0" w:color="auto"/>
              <w:right w:val="single" w:sz="4" w:space="0" w:color="auto"/>
            </w:tcBorders>
            <w:noWrap/>
            <w:vAlign w:val="center"/>
            <w:hideMark/>
          </w:tcPr>
          <w:p w14:paraId="402C72D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44.395</w:t>
            </w:r>
          </w:p>
        </w:tc>
        <w:tc>
          <w:tcPr>
            <w:tcW w:w="1177" w:type="dxa"/>
            <w:tcBorders>
              <w:top w:val="nil"/>
              <w:left w:val="nil"/>
              <w:bottom w:val="single" w:sz="4" w:space="0" w:color="auto"/>
              <w:right w:val="single" w:sz="4" w:space="0" w:color="auto"/>
            </w:tcBorders>
            <w:noWrap/>
            <w:vAlign w:val="center"/>
            <w:hideMark/>
          </w:tcPr>
          <w:p w14:paraId="043F65C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14.91</w:t>
            </w:r>
          </w:p>
        </w:tc>
        <w:tc>
          <w:tcPr>
            <w:tcW w:w="1357" w:type="dxa"/>
            <w:tcBorders>
              <w:top w:val="nil"/>
              <w:left w:val="nil"/>
              <w:bottom w:val="single" w:sz="4" w:space="0" w:color="auto"/>
              <w:right w:val="single" w:sz="4" w:space="0" w:color="auto"/>
            </w:tcBorders>
            <w:noWrap/>
            <w:vAlign w:val="center"/>
            <w:hideMark/>
          </w:tcPr>
          <w:p w14:paraId="0F3110F7"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46.308</w:t>
            </w:r>
          </w:p>
        </w:tc>
        <w:tc>
          <w:tcPr>
            <w:tcW w:w="1405" w:type="dxa"/>
            <w:tcBorders>
              <w:top w:val="nil"/>
              <w:left w:val="nil"/>
              <w:bottom w:val="single" w:sz="4" w:space="0" w:color="auto"/>
              <w:right w:val="single" w:sz="4" w:space="0" w:color="auto"/>
            </w:tcBorders>
            <w:noWrap/>
            <w:vAlign w:val="center"/>
            <w:hideMark/>
          </w:tcPr>
          <w:p w14:paraId="68647CA4"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xml:space="preserve">                13.54 </w:t>
            </w:r>
          </w:p>
        </w:tc>
      </w:tr>
      <w:tr w:rsidR="0042797D" w:rsidRPr="00AB6EA5" w14:paraId="360C836A" w14:textId="77777777" w:rsidTr="002F73B2">
        <w:trPr>
          <w:trHeight w:val="226"/>
        </w:trPr>
        <w:tc>
          <w:tcPr>
            <w:tcW w:w="2245" w:type="dxa"/>
            <w:tcBorders>
              <w:top w:val="nil"/>
              <w:left w:val="single" w:sz="4" w:space="0" w:color="auto"/>
              <w:bottom w:val="single" w:sz="4" w:space="0" w:color="auto"/>
              <w:right w:val="single" w:sz="4" w:space="0" w:color="auto"/>
            </w:tcBorders>
            <w:noWrap/>
            <w:vAlign w:val="center"/>
            <w:hideMark/>
          </w:tcPr>
          <w:p w14:paraId="315783E8"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 Trung, dài hạn</w:t>
            </w:r>
          </w:p>
        </w:tc>
        <w:tc>
          <w:tcPr>
            <w:tcW w:w="1461" w:type="dxa"/>
            <w:tcBorders>
              <w:top w:val="nil"/>
              <w:left w:val="nil"/>
              <w:bottom w:val="single" w:sz="4" w:space="0" w:color="auto"/>
              <w:right w:val="single" w:sz="4" w:space="0" w:color="auto"/>
            </w:tcBorders>
            <w:noWrap/>
            <w:vAlign w:val="center"/>
            <w:hideMark/>
          </w:tcPr>
          <w:p w14:paraId="056C1B0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458.144</w:t>
            </w:r>
          </w:p>
        </w:tc>
        <w:tc>
          <w:tcPr>
            <w:tcW w:w="1235" w:type="dxa"/>
            <w:tcBorders>
              <w:top w:val="nil"/>
              <w:left w:val="nil"/>
              <w:bottom w:val="single" w:sz="4" w:space="0" w:color="auto"/>
              <w:right w:val="single" w:sz="4" w:space="0" w:color="auto"/>
            </w:tcBorders>
            <w:noWrap/>
            <w:vAlign w:val="center"/>
            <w:hideMark/>
          </w:tcPr>
          <w:p w14:paraId="1F5664F1"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60.61</w:t>
            </w:r>
          </w:p>
        </w:tc>
        <w:tc>
          <w:tcPr>
            <w:tcW w:w="1260" w:type="dxa"/>
            <w:tcBorders>
              <w:top w:val="nil"/>
              <w:left w:val="nil"/>
              <w:bottom w:val="single" w:sz="4" w:space="0" w:color="auto"/>
              <w:right w:val="single" w:sz="4" w:space="0" w:color="auto"/>
            </w:tcBorders>
            <w:noWrap/>
            <w:vAlign w:val="center"/>
            <w:hideMark/>
          </w:tcPr>
          <w:p w14:paraId="506B3343"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504.784</w:t>
            </w:r>
          </w:p>
        </w:tc>
        <w:tc>
          <w:tcPr>
            <w:tcW w:w="1268" w:type="dxa"/>
            <w:tcBorders>
              <w:top w:val="nil"/>
              <w:left w:val="nil"/>
              <w:bottom w:val="single" w:sz="4" w:space="0" w:color="auto"/>
              <w:right w:val="single" w:sz="4" w:space="0" w:color="auto"/>
            </w:tcBorders>
            <w:noWrap/>
            <w:vAlign w:val="center"/>
            <w:hideMark/>
          </w:tcPr>
          <w:p w14:paraId="3B9A76A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59.60</w:t>
            </w:r>
          </w:p>
        </w:tc>
        <w:tc>
          <w:tcPr>
            <w:tcW w:w="1175" w:type="dxa"/>
            <w:tcBorders>
              <w:top w:val="nil"/>
              <w:left w:val="nil"/>
              <w:bottom w:val="single" w:sz="4" w:space="0" w:color="auto"/>
              <w:right w:val="single" w:sz="4" w:space="0" w:color="auto"/>
            </w:tcBorders>
            <w:noWrap/>
            <w:vAlign w:val="center"/>
            <w:hideMark/>
          </w:tcPr>
          <w:p w14:paraId="2FC66199"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568.727</w:t>
            </w:r>
          </w:p>
        </w:tc>
        <w:tc>
          <w:tcPr>
            <w:tcW w:w="1177" w:type="dxa"/>
            <w:tcBorders>
              <w:top w:val="nil"/>
              <w:left w:val="nil"/>
              <w:bottom w:val="single" w:sz="4" w:space="0" w:color="auto"/>
              <w:right w:val="single" w:sz="4" w:space="0" w:color="auto"/>
            </w:tcBorders>
            <w:noWrap/>
            <w:vAlign w:val="center"/>
            <w:hideMark/>
          </w:tcPr>
          <w:p w14:paraId="689AF343"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59.42</w:t>
            </w:r>
          </w:p>
        </w:tc>
        <w:tc>
          <w:tcPr>
            <w:tcW w:w="1175" w:type="dxa"/>
            <w:tcBorders>
              <w:top w:val="nil"/>
              <w:left w:val="nil"/>
              <w:bottom w:val="single" w:sz="4" w:space="0" w:color="auto"/>
              <w:right w:val="single" w:sz="4" w:space="0" w:color="auto"/>
            </w:tcBorders>
            <w:noWrap/>
            <w:vAlign w:val="center"/>
            <w:hideMark/>
          </w:tcPr>
          <w:p w14:paraId="1B73328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46.64</w:t>
            </w:r>
          </w:p>
        </w:tc>
        <w:tc>
          <w:tcPr>
            <w:tcW w:w="1177" w:type="dxa"/>
            <w:tcBorders>
              <w:top w:val="nil"/>
              <w:left w:val="nil"/>
              <w:bottom w:val="single" w:sz="4" w:space="0" w:color="auto"/>
              <w:right w:val="single" w:sz="4" w:space="0" w:color="auto"/>
            </w:tcBorders>
            <w:noWrap/>
            <w:vAlign w:val="center"/>
            <w:hideMark/>
          </w:tcPr>
          <w:p w14:paraId="2D6608B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10.18</w:t>
            </w:r>
          </w:p>
        </w:tc>
        <w:tc>
          <w:tcPr>
            <w:tcW w:w="1357" w:type="dxa"/>
            <w:tcBorders>
              <w:top w:val="nil"/>
              <w:left w:val="nil"/>
              <w:bottom w:val="single" w:sz="4" w:space="0" w:color="auto"/>
              <w:right w:val="single" w:sz="4" w:space="0" w:color="auto"/>
            </w:tcBorders>
            <w:noWrap/>
            <w:vAlign w:val="center"/>
            <w:hideMark/>
          </w:tcPr>
          <w:p w14:paraId="3E68F347"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63.943</w:t>
            </w:r>
          </w:p>
        </w:tc>
        <w:tc>
          <w:tcPr>
            <w:tcW w:w="1405" w:type="dxa"/>
            <w:tcBorders>
              <w:top w:val="nil"/>
              <w:left w:val="nil"/>
              <w:bottom w:val="single" w:sz="4" w:space="0" w:color="auto"/>
              <w:right w:val="single" w:sz="4" w:space="0" w:color="auto"/>
            </w:tcBorders>
            <w:noWrap/>
            <w:vAlign w:val="center"/>
            <w:hideMark/>
          </w:tcPr>
          <w:p w14:paraId="5B49B75E"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xml:space="preserve">                12.67 </w:t>
            </w:r>
          </w:p>
        </w:tc>
      </w:tr>
      <w:tr w:rsidR="0042797D" w:rsidRPr="00AB6EA5" w14:paraId="43442A45" w14:textId="77777777" w:rsidTr="002F73B2">
        <w:trPr>
          <w:trHeight w:val="404"/>
        </w:trPr>
        <w:tc>
          <w:tcPr>
            <w:tcW w:w="2245" w:type="dxa"/>
            <w:tcBorders>
              <w:top w:val="nil"/>
              <w:left w:val="single" w:sz="4" w:space="0" w:color="auto"/>
              <w:bottom w:val="single" w:sz="4" w:space="0" w:color="auto"/>
              <w:right w:val="single" w:sz="4" w:space="0" w:color="auto"/>
            </w:tcBorders>
            <w:noWrap/>
            <w:vAlign w:val="center"/>
            <w:hideMark/>
          </w:tcPr>
          <w:p w14:paraId="191A536D" w14:textId="77777777" w:rsidR="0042797D" w:rsidRPr="00AB6EA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Nợ xấu</w:t>
            </w:r>
          </w:p>
        </w:tc>
        <w:tc>
          <w:tcPr>
            <w:tcW w:w="1461" w:type="dxa"/>
            <w:tcBorders>
              <w:top w:val="nil"/>
              <w:left w:val="nil"/>
              <w:bottom w:val="single" w:sz="4" w:space="0" w:color="auto"/>
              <w:right w:val="single" w:sz="4" w:space="0" w:color="auto"/>
            </w:tcBorders>
            <w:noWrap/>
            <w:vAlign w:val="center"/>
            <w:hideMark/>
          </w:tcPr>
          <w:p w14:paraId="21FF2EE0"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2.612</w:t>
            </w:r>
          </w:p>
        </w:tc>
        <w:tc>
          <w:tcPr>
            <w:tcW w:w="1235" w:type="dxa"/>
            <w:tcBorders>
              <w:top w:val="nil"/>
              <w:left w:val="nil"/>
              <w:bottom w:val="single" w:sz="4" w:space="0" w:color="auto"/>
              <w:right w:val="single" w:sz="4" w:space="0" w:color="auto"/>
            </w:tcBorders>
            <w:noWrap/>
            <w:vAlign w:val="center"/>
            <w:hideMark/>
          </w:tcPr>
          <w:p w14:paraId="55B61CA4"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w:t>
            </w:r>
          </w:p>
        </w:tc>
        <w:tc>
          <w:tcPr>
            <w:tcW w:w="1260" w:type="dxa"/>
            <w:tcBorders>
              <w:top w:val="nil"/>
              <w:left w:val="nil"/>
              <w:bottom w:val="single" w:sz="4" w:space="0" w:color="auto"/>
              <w:right w:val="single" w:sz="4" w:space="0" w:color="auto"/>
            </w:tcBorders>
            <w:noWrap/>
            <w:vAlign w:val="center"/>
            <w:hideMark/>
          </w:tcPr>
          <w:p w14:paraId="4675B48B"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2.405</w:t>
            </w:r>
          </w:p>
        </w:tc>
        <w:tc>
          <w:tcPr>
            <w:tcW w:w="1268" w:type="dxa"/>
            <w:tcBorders>
              <w:top w:val="nil"/>
              <w:left w:val="nil"/>
              <w:bottom w:val="single" w:sz="4" w:space="0" w:color="auto"/>
              <w:right w:val="single" w:sz="4" w:space="0" w:color="auto"/>
            </w:tcBorders>
            <w:noWrap/>
            <w:vAlign w:val="center"/>
            <w:hideMark/>
          </w:tcPr>
          <w:p w14:paraId="2C9C00BA"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w:t>
            </w:r>
          </w:p>
        </w:tc>
        <w:tc>
          <w:tcPr>
            <w:tcW w:w="1175" w:type="dxa"/>
            <w:tcBorders>
              <w:top w:val="nil"/>
              <w:left w:val="nil"/>
              <w:bottom w:val="single" w:sz="4" w:space="0" w:color="auto"/>
              <w:right w:val="single" w:sz="4" w:space="0" w:color="auto"/>
            </w:tcBorders>
            <w:noWrap/>
            <w:vAlign w:val="center"/>
            <w:hideMark/>
          </w:tcPr>
          <w:p w14:paraId="77D4BD4D"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1.921</w:t>
            </w:r>
          </w:p>
        </w:tc>
        <w:tc>
          <w:tcPr>
            <w:tcW w:w="1177" w:type="dxa"/>
            <w:tcBorders>
              <w:top w:val="nil"/>
              <w:left w:val="nil"/>
              <w:bottom w:val="single" w:sz="4" w:space="0" w:color="auto"/>
              <w:right w:val="single" w:sz="4" w:space="0" w:color="auto"/>
            </w:tcBorders>
            <w:noWrap/>
            <w:vAlign w:val="center"/>
            <w:hideMark/>
          </w:tcPr>
          <w:p w14:paraId="376F3C18"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p>
        </w:tc>
        <w:tc>
          <w:tcPr>
            <w:tcW w:w="1175" w:type="dxa"/>
            <w:tcBorders>
              <w:top w:val="nil"/>
              <w:left w:val="nil"/>
              <w:bottom w:val="single" w:sz="4" w:space="0" w:color="auto"/>
              <w:right w:val="single" w:sz="4" w:space="0" w:color="auto"/>
            </w:tcBorders>
            <w:noWrap/>
            <w:vAlign w:val="center"/>
            <w:hideMark/>
          </w:tcPr>
          <w:p w14:paraId="416127C8"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-0.207</w:t>
            </w:r>
          </w:p>
        </w:tc>
        <w:tc>
          <w:tcPr>
            <w:tcW w:w="1177" w:type="dxa"/>
            <w:tcBorders>
              <w:top w:val="nil"/>
              <w:left w:val="nil"/>
              <w:bottom w:val="single" w:sz="4" w:space="0" w:color="auto"/>
              <w:right w:val="single" w:sz="4" w:space="0" w:color="auto"/>
            </w:tcBorders>
            <w:noWrap/>
            <w:vAlign w:val="center"/>
            <w:hideMark/>
          </w:tcPr>
          <w:p w14:paraId="473FECF0"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p>
        </w:tc>
        <w:tc>
          <w:tcPr>
            <w:tcW w:w="1357" w:type="dxa"/>
            <w:tcBorders>
              <w:top w:val="nil"/>
              <w:left w:val="nil"/>
              <w:bottom w:val="single" w:sz="4" w:space="0" w:color="auto"/>
              <w:right w:val="single" w:sz="4" w:space="0" w:color="auto"/>
            </w:tcBorders>
            <w:noWrap/>
            <w:vAlign w:val="center"/>
            <w:hideMark/>
          </w:tcPr>
          <w:p w14:paraId="7A717F6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-0.484</w:t>
            </w:r>
          </w:p>
        </w:tc>
        <w:tc>
          <w:tcPr>
            <w:tcW w:w="1405" w:type="dxa"/>
            <w:tcBorders>
              <w:top w:val="nil"/>
              <w:left w:val="nil"/>
              <w:bottom w:val="single" w:sz="4" w:space="0" w:color="auto"/>
              <w:right w:val="single" w:sz="4" w:space="0" w:color="auto"/>
            </w:tcBorders>
            <w:noWrap/>
            <w:vAlign w:val="center"/>
            <w:hideMark/>
          </w:tcPr>
          <w:p w14:paraId="6F30EEC0"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w:t>
            </w:r>
          </w:p>
        </w:tc>
      </w:tr>
      <w:tr w:rsidR="0042797D" w:rsidRPr="00AB6EA5" w14:paraId="05C931F0" w14:textId="77777777" w:rsidTr="002F73B2">
        <w:trPr>
          <w:trHeight w:val="340"/>
        </w:trPr>
        <w:tc>
          <w:tcPr>
            <w:tcW w:w="2245" w:type="dxa"/>
            <w:tcBorders>
              <w:top w:val="nil"/>
              <w:left w:val="single" w:sz="4" w:space="0" w:color="auto"/>
              <w:bottom w:val="single" w:sz="4" w:space="0" w:color="auto"/>
              <w:right w:val="single" w:sz="4" w:space="0" w:color="auto"/>
            </w:tcBorders>
            <w:noWrap/>
            <w:vAlign w:val="center"/>
            <w:hideMark/>
          </w:tcPr>
          <w:p w14:paraId="29166FE9"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1.Ngắn hạn</w:t>
            </w:r>
          </w:p>
        </w:tc>
        <w:tc>
          <w:tcPr>
            <w:tcW w:w="1461" w:type="dxa"/>
            <w:tcBorders>
              <w:top w:val="nil"/>
              <w:left w:val="nil"/>
              <w:bottom w:val="single" w:sz="4" w:space="0" w:color="auto"/>
              <w:right w:val="single" w:sz="4" w:space="0" w:color="auto"/>
            </w:tcBorders>
            <w:noWrap/>
            <w:vAlign w:val="center"/>
            <w:hideMark/>
          </w:tcPr>
          <w:p w14:paraId="5CD00520"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0.924</w:t>
            </w:r>
          </w:p>
        </w:tc>
        <w:tc>
          <w:tcPr>
            <w:tcW w:w="1235" w:type="dxa"/>
            <w:tcBorders>
              <w:top w:val="nil"/>
              <w:left w:val="nil"/>
              <w:bottom w:val="single" w:sz="4" w:space="0" w:color="auto"/>
              <w:right w:val="single" w:sz="4" w:space="0" w:color="auto"/>
            </w:tcBorders>
            <w:noWrap/>
            <w:vAlign w:val="center"/>
            <w:hideMark/>
          </w:tcPr>
          <w:p w14:paraId="33618168"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260" w:type="dxa"/>
            <w:tcBorders>
              <w:top w:val="nil"/>
              <w:left w:val="nil"/>
              <w:bottom w:val="single" w:sz="4" w:space="0" w:color="auto"/>
              <w:right w:val="single" w:sz="4" w:space="0" w:color="auto"/>
            </w:tcBorders>
            <w:noWrap/>
            <w:vAlign w:val="center"/>
            <w:hideMark/>
          </w:tcPr>
          <w:p w14:paraId="3EAE320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0.811</w:t>
            </w:r>
          </w:p>
        </w:tc>
        <w:tc>
          <w:tcPr>
            <w:tcW w:w="1268" w:type="dxa"/>
            <w:tcBorders>
              <w:top w:val="nil"/>
              <w:left w:val="nil"/>
              <w:bottom w:val="single" w:sz="4" w:space="0" w:color="auto"/>
              <w:right w:val="single" w:sz="4" w:space="0" w:color="auto"/>
            </w:tcBorders>
            <w:noWrap/>
            <w:vAlign w:val="center"/>
            <w:hideMark/>
          </w:tcPr>
          <w:p w14:paraId="3BC1CF58"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175" w:type="dxa"/>
            <w:tcBorders>
              <w:top w:val="nil"/>
              <w:left w:val="nil"/>
              <w:bottom w:val="single" w:sz="4" w:space="0" w:color="auto"/>
              <w:right w:val="single" w:sz="4" w:space="0" w:color="auto"/>
            </w:tcBorders>
            <w:noWrap/>
            <w:vAlign w:val="center"/>
            <w:hideMark/>
          </w:tcPr>
          <w:p w14:paraId="153C4188"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0.697</w:t>
            </w:r>
          </w:p>
        </w:tc>
        <w:tc>
          <w:tcPr>
            <w:tcW w:w="1177" w:type="dxa"/>
            <w:tcBorders>
              <w:top w:val="nil"/>
              <w:left w:val="nil"/>
              <w:bottom w:val="single" w:sz="4" w:space="0" w:color="auto"/>
              <w:right w:val="single" w:sz="4" w:space="0" w:color="auto"/>
            </w:tcBorders>
            <w:noWrap/>
            <w:vAlign w:val="center"/>
            <w:hideMark/>
          </w:tcPr>
          <w:p w14:paraId="43AABAB9"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175" w:type="dxa"/>
            <w:tcBorders>
              <w:top w:val="nil"/>
              <w:left w:val="nil"/>
              <w:bottom w:val="single" w:sz="4" w:space="0" w:color="auto"/>
              <w:right w:val="single" w:sz="4" w:space="0" w:color="auto"/>
            </w:tcBorders>
            <w:noWrap/>
            <w:vAlign w:val="center"/>
            <w:hideMark/>
          </w:tcPr>
          <w:p w14:paraId="07CA2D84"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-0.113</w:t>
            </w:r>
          </w:p>
        </w:tc>
        <w:tc>
          <w:tcPr>
            <w:tcW w:w="1177" w:type="dxa"/>
            <w:tcBorders>
              <w:top w:val="nil"/>
              <w:left w:val="nil"/>
              <w:bottom w:val="single" w:sz="4" w:space="0" w:color="auto"/>
              <w:right w:val="single" w:sz="4" w:space="0" w:color="auto"/>
            </w:tcBorders>
            <w:noWrap/>
            <w:vAlign w:val="center"/>
            <w:hideMark/>
          </w:tcPr>
          <w:p w14:paraId="7240E06A"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357" w:type="dxa"/>
            <w:tcBorders>
              <w:top w:val="nil"/>
              <w:left w:val="nil"/>
              <w:bottom w:val="single" w:sz="4" w:space="0" w:color="auto"/>
              <w:right w:val="single" w:sz="4" w:space="0" w:color="auto"/>
            </w:tcBorders>
            <w:noWrap/>
            <w:vAlign w:val="center"/>
            <w:hideMark/>
          </w:tcPr>
          <w:p w14:paraId="3DEE3CF1"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-0.114</w:t>
            </w:r>
          </w:p>
        </w:tc>
        <w:tc>
          <w:tcPr>
            <w:tcW w:w="1405" w:type="dxa"/>
            <w:tcBorders>
              <w:top w:val="nil"/>
              <w:left w:val="nil"/>
              <w:bottom w:val="single" w:sz="4" w:space="0" w:color="auto"/>
              <w:right w:val="single" w:sz="4" w:space="0" w:color="auto"/>
            </w:tcBorders>
            <w:noWrap/>
            <w:vAlign w:val="center"/>
            <w:hideMark/>
          </w:tcPr>
          <w:p w14:paraId="77A4BBE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r>
      <w:tr w:rsidR="0042797D" w:rsidRPr="00AB6EA5" w14:paraId="7773C123" w14:textId="77777777" w:rsidTr="002F73B2">
        <w:trPr>
          <w:trHeight w:val="340"/>
        </w:trPr>
        <w:tc>
          <w:tcPr>
            <w:tcW w:w="2245" w:type="dxa"/>
            <w:tcBorders>
              <w:top w:val="nil"/>
              <w:left w:val="single" w:sz="4" w:space="0" w:color="auto"/>
              <w:bottom w:val="single" w:sz="4" w:space="0" w:color="auto"/>
              <w:right w:val="single" w:sz="4" w:space="0" w:color="auto"/>
            </w:tcBorders>
            <w:noWrap/>
            <w:vAlign w:val="center"/>
            <w:hideMark/>
          </w:tcPr>
          <w:p w14:paraId="128D6D7A"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2.Trung, dài hạn</w:t>
            </w:r>
          </w:p>
        </w:tc>
        <w:tc>
          <w:tcPr>
            <w:tcW w:w="1461" w:type="dxa"/>
            <w:tcBorders>
              <w:top w:val="nil"/>
              <w:left w:val="nil"/>
              <w:bottom w:val="single" w:sz="4" w:space="0" w:color="auto"/>
              <w:right w:val="single" w:sz="4" w:space="0" w:color="auto"/>
            </w:tcBorders>
            <w:noWrap/>
            <w:vAlign w:val="center"/>
            <w:hideMark/>
          </w:tcPr>
          <w:p w14:paraId="56AD9804"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1.688</w:t>
            </w:r>
          </w:p>
        </w:tc>
        <w:tc>
          <w:tcPr>
            <w:tcW w:w="1235" w:type="dxa"/>
            <w:tcBorders>
              <w:top w:val="nil"/>
              <w:left w:val="nil"/>
              <w:bottom w:val="single" w:sz="4" w:space="0" w:color="auto"/>
              <w:right w:val="single" w:sz="4" w:space="0" w:color="auto"/>
            </w:tcBorders>
            <w:noWrap/>
            <w:vAlign w:val="center"/>
            <w:hideMark/>
          </w:tcPr>
          <w:p w14:paraId="5CADC238"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260" w:type="dxa"/>
            <w:tcBorders>
              <w:top w:val="nil"/>
              <w:left w:val="nil"/>
              <w:bottom w:val="single" w:sz="4" w:space="0" w:color="auto"/>
              <w:right w:val="single" w:sz="4" w:space="0" w:color="auto"/>
            </w:tcBorders>
            <w:noWrap/>
            <w:vAlign w:val="center"/>
            <w:hideMark/>
          </w:tcPr>
          <w:p w14:paraId="1100C659"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1.594</w:t>
            </w:r>
          </w:p>
        </w:tc>
        <w:tc>
          <w:tcPr>
            <w:tcW w:w="1268" w:type="dxa"/>
            <w:tcBorders>
              <w:top w:val="nil"/>
              <w:left w:val="nil"/>
              <w:bottom w:val="single" w:sz="4" w:space="0" w:color="auto"/>
              <w:right w:val="single" w:sz="4" w:space="0" w:color="auto"/>
            </w:tcBorders>
            <w:noWrap/>
            <w:vAlign w:val="center"/>
            <w:hideMark/>
          </w:tcPr>
          <w:p w14:paraId="65C5FC4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175" w:type="dxa"/>
            <w:tcBorders>
              <w:top w:val="nil"/>
              <w:left w:val="nil"/>
              <w:bottom w:val="single" w:sz="4" w:space="0" w:color="auto"/>
              <w:right w:val="single" w:sz="4" w:space="0" w:color="auto"/>
            </w:tcBorders>
            <w:noWrap/>
            <w:vAlign w:val="center"/>
            <w:hideMark/>
          </w:tcPr>
          <w:p w14:paraId="776D0A1C"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1.224</w:t>
            </w:r>
          </w:p>
        </w:tc>
        <w:tc>
          <w:tcPr>
            <w:tcW w:w="1177" w:type="dxa"/>
            <w:tcBorders>
              <w:top w:val="nil"/>
              <w:left w:val="nil"/>
              <w:bottom w:val="single" w:sz="4" w:space="0" w:color="auto"/>
              <w:right w:val="single" w:sz="4" w:space="0" w:color="auto"/>
            </w:tcBorders>
            <w:noWrap/>
            <w:vAlign w:val="center"/>
            <w:hideMark/>
          </w:tcPr>
          <w:p w14:paraId="2D29C2D8"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175" w:type="dxa"/>
            <w:tcBorders>
              <w:top w:val="nil"/>
              <w:left w:val="nil"/>
              <w:bottom w:val="single" w:sz="4" w:space="0" w:color="auto"/>
              <w:right w:val="single" w:sz="4" w:space="0" w:color="auto"/>
            </w:tcBorders>
            <w:noWrap/>
            <w:vAlign w:val="center"/>
            <w:hideMark/>
          </w:tcPr>
          <w:p w14:paraId="362496E3"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-0.094</w:t>
            </w:r>
          </w:p>
        </w:tc>
        <w:tc>
          <w:tcPr>
            <w:tcW w:w="1177" w:type="dxa"/>
            <w:tcBorders>
              <w:top w:val="nil"/>
              <w:left w:val="nil"/>
              <w:bottom w:val="single" w:sz="4" w:space="0" w:color="auto"/>
              <w:right w:val="single" w:sz="4" w:space="0" w:color="auto"/>
            </w:tcBorders>
            <w:noWrap/>
            <w:vAlign w:val="center"/>
            <w:hideMark/>
          </w:tcPr>
          <w:p w14:paraId="34BD41B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357" w:type="dxa"/>
            <w:tcBorders>
              <w:top w:val="nil"/>
              <w:left w:val="nil"/>
              <w:bottom w:val="single" w:sz="4" w:space="0" w:color="auto"/>
              <w:right w:val="single" w:sz="4" w:space="0" w:color="auto"/>
            </w:tcBorders>
            <w:noWrap/>
            <w:vAlign w:val="center"/>
            <w:hideMark/>
          </w:tcPr>
          <w:p w14:paraId="5B8E7BEB"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-0.37</w:t>
            </w:r>
          </w:p>
        </w:tc>
        <w:tc>
          <w:tcPr>
            <w:tcW w:w="1405" w:type="dxa"/>
            <w:tcBorders>
              <w:top w:val="nil"/>
              <w:left w:val="nil"/>
              <w:bottom w:val="single" w:sz="4" w:space="0" w:color="auto"/>
              <w:right w:val="single" w:sz="4" w:space="0" w:color="auto"/>
            </w:tcBorders>
            <w:noWrap/>
            <w:vAlign w:val="center"/>
            <w:hideMark/>
          </w:tcPr>
          <w:p w14:paraId="0434C4EF"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r>
      <w:tr w:rsidR="0042797D" w:rsidRPr="00AB6EA5" w14:paraId="1E94525F" w14:textId="77777777" w:rsidTr="002F73B2">
        <w:trPr>
          <w:trHeight w:val="340"/>
        </w:trPr>
        <w:tc>
          <w:tcPr>
            <w:tcW w:w="2245" w:type="dxa"/>
            <w:tcBorders>
              <w:top w:val="nil"/>
              <w:left w:val="single" w:sz="4" w:space="0" w:color="auto"/>
              <w:bottom w:val="single" w:sz="4" w:space="0" w:color="auto"/>
              <w:right w:val="single" w:sz="4" w:space="0" w:color="auto"/>
            </w:tcBorders>
            <w:noWrap/>
            <w:vAlign w:val="center"/>
            <w:hideMark/>
          </w:tcPr>
          <w:p w14:paraId="2EC56463" w14:textId="77777777" w:rsidR="0042797D" w:rsidRPr="00AB6EA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Tỷ lệ nợ xấu</w:t>
            </w:r>
          </w:p>
        </w:tc>
        <w:tc>
          <w:tcPr>
            <w:tcW w:w="1461" w:type="dxa"/>
            <w:tcBorders>
              <w:top w:val="nil"/>
              <w:left w:val="nil"/>
              <w:bottom w:val="single" w:sz="4" w:space="0" w:color="auto"/>
              <w:right w:val="single" w:sz="4" w:space="0" w:color="auto"/>
            </w:tcBorders>
            <w:noWrap/>
            <w:vAlign w:val="center"/>
            <w:hideMark/>
          </w:tcPr>
          <w:p w14:paraId="65A8E96D"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0.35%</w:t>
            </w:r>
          </w:p>
        </w:tc>
        <w:tc>
          <w:tcPr>
            <w:tcW w:w="1235" w:type="dxa"/>
            <w:tcBorders>
              <w:top w:val="nil"/>
              <w:left w:val="nil"/>
              <w:bottom w:val="single" w:sz="4" w:space="0" w:color="auto"/>
              <w:right w:val="single" w:sz="4" w:space="0" w:color="auto"/>
            </w:tcBorders>
            <w:noWrap/>
            <w:vAlign w:val="center"/>
            <w:hideMark/>
          </w:tcPr>
          <w:p w14:paraId="1C0FF508"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w:t>
            </w:r>
          </w:p>
        </w:tc>
        <w:tc>
          <w:tcPr>
            <w:tcW w:w="1260" w:type="dxa"/>
            <w:tcBorders>
              <w:top w:val="nil"/>
              <w:left w:val="nil"/>
              <w:bottom w:val="single" w:sz="4" w:space="0" w:color="auto"/>
              <w:right w:val="single" w:sz="4" w:space="0" w:color="auto"/>
            </w:tcBorders>
            <w:noWrap/>
            <w:vAlign w:val="center"/>
            <w:hideMark/>
          </w:tcPr>
          <w:p w14:paraId="2B38061B"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0.28%</w:t>
            </w:r>
          </w:p>
        </w:tc>
        <w:tc>
          <w:tcPr>
            <w:tcW w:w="1268" w:type="dxa"/>
            <w:tcBorders>
              <w:top w:val="nil"/>
              <w:left w:val="nil"/>
              <w:bottom w:val="single" w:sz="4" w:space="0" w:color="auto"/>
              <w:right w:val="single" w:sz="4" w:space="0" w:color="auto"/>
            </w:tcBorders>
            <w:noWrap/>
            <w:vAlign w:val="center"/>
            <w:hideMark/>
          </w:tcPr>
          <w:p w14:paraId="1F4EF741"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w:t>
            </w:r>
          </w:p>
        </w:tc>
        <w:tc>
          <w:tcPr>
            <w:tcW w:w="1175" w:type="dxa"/>
            <w:tcBorders>
              <w:top w:val="nil"/>
              <w:left w:val="nil"/>
              <w:bottom w:val="single" w:sz="4" w:space="0" w:color="auto"/>
              <w:right w:val="single" w:sz="4" w:space="0" w:color="auto"/>
            </w:tcBorders>
            <w:noWrap/>
            <w:vAlign w:val="center"/>
            <w:hideMark/>
          </w:tcPr>
          <w:p w14:paraId="337029FE"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0.20%</w:t>
            </w:r>
          </w:p>
        </w:tc>
        <w:tc>
          <w:tcPr>
            <w:tcW w:w="1177" w:type="dxa"/>
            <w:tcBorders>
              <w:top w:val="nil"/>
              <w:left w:val="nil"/>
              <w:bottom w:val="single" w:sz="4" w:space="0" w:color="auto"/>
              <w:right w:val="single" w:sz="4" w:space="0" w:color="auto"/>
            </w:tcBorders>
            <w:noWrap/>
            <w:vAlign w:val="center"/>
            <w:hideMark/>
          </w:tcPr>
          <w:p w14:paraId="7107C3A5"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p>
        </w:tc>
        <w:tc>
          <w:tcPr>
            <w:tcW w:w="1175" w:type="dxa"/>
            <w:tcBorders>
              <w:top w:val="nil"/>
              <w:left w:val="nil"/>
              <w:bottom w:val="single" w:sz="4" w:space="0" w:color="auto"/>
              <w:right w:val="single" w:sz="4" w:space="0" w:color="auto"/>
            </w:tcBorders>
            <w:noWrap/>
            <w:vAlign w:val="center"/>
            <w:hideMark/>
          </w:tcPr>
          <w:p w14:paraId="51E990FE"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-0.06%</w:t>
            </w:r>
          </w:p>
        </w:tc>
        <w:tc>
          <w:tcPr>
            <w:tcW w:w="1177" w:type="dxa"/>
            <w:tcBorders>
              <w:top w:val="nil"/>
              <w:left w:val="nil"/>
              <w:bottom w:val="single" w:sz="4" w:space="0" w:color="auto"/>
              <w:right w:val="single" w:sz="4" w:space="0" w:color="auto"/>
            </w:tcBorders>
            <w:noWrap/>
            <w:vAlign w:val="center"/>
            <w:hideMark/>
          </w:tcPr>
          <w:p w14:paraId="086C4A73"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p>
        </w:tc>
        <w:tc>
          <w:tcPr>
            <w:tcW w:w="1357" w:type="dxa"/>
            <w:tcBorders>
              <w:top w:val="nil"/>
              <w:left w:val="nil"/>
              <w:bottom w:val="single" w:sz="4" w:space="0" w:color="auto"/>
              <w:right w:val="single" w:sz="4" w:space="0" w:color="auto"/>
            </w:tcBorders>
            <w:noWrap/>
            <w:vAlign w:val="center"/>
            <w:hideMark/>
          </w:tcPr>
          <w:p w14:paraId="3D70E004"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-0.08%</w:t>
            </w:r>
          </w:p>
        </w:tc>
        <w:tc>
          <w:tcPr>
            <w:tcW w:w="1405" w:type="dxa"/>
            <w:tcBorders>
              <w:top w:val="nil"/>
              <w:left w:val="nil"/>
              <w:bottom w:val="single" w:sz="4" w:space="0" w:color="auto"/>
              <w:right w:val="single" w:sz="4" w:space="0" w:color="auto"/>
            </w:tcBorders>
            <w:noWrap/>
            <w:vAlign w:val="center"/>
            <w:hideMark/>
          </w:tcPr>
          <w:p w14:paraId="2E4EC2CF" w14:textId="77777777" w:rsidR="0042797D" w:rsidRPr="00AB6EA5"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AB6EA5">
              <w:rPr>
                <w:rFonts w:ascii="Times New Roman" w:eastAsia="Times New Roman" w:hAnsi="Times New Roman" w:cs="Times New Roman"/>
                <w:b/>
                <w:bCs/>
                <w:color w:val="000000"/>
                <w:kern w:val="0"/>
                <w:sz w:val="22"/>
                <w:szCs w:val="22"/>
                <w14:ligatures w14:val="none"/>
              </w:rPr>
              <w:t> </w:t>
            </w:r>
          </w:p>
        </w:tc>
      </w:tr>
      <w:tr w:rsidR="0042797D" w:rsidRPr="00AB6EA5" w14:paraId="7B2151FC" w14:textId="77777777" w:rsidTr="002F73B2">
        <w:trPr>
          <w:trHeight w:val="340"/>
        </w:trPr>
        <w:tc>
          <w:tcPr>
            <w:tcW w:w="2245" w:type="dxa"/>
            <w:tcBorders>
              <w:top w:val="nil"/>
              <w:left w:val="single" w:sz="4" w:space="0" w:color="auto"/>
              <w:bottom w:val="single" w:sz="4" w:space="0" w:color="auto"/>
              <w:right w:val="single" w:sz="4" w:space="0" w:color="auto"/>
            </w:tcBorders>
            <w:noWrap/>
            <w:vAlign w:val="center"/>
            <w:hideMark/>
          </w:tcPr>
          <w:p w14:paraId="3B28D1D1"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1.Ngắn hạn</w:t>
            </w:r>
          </w:p>
        </w:tc>
        <w:tc>
          <w:tcPr>
            <w:tcW w:w="1461" w:type="dxa"/>
            <w:tcBorders>
              <w:top w:val="nil"/>
              <w:left w:val="nil"/>
              <w:bottom w:val="single" w:sz="4" w:space="0" w:color="auto"/>
              <w:right w:val="single" w:sz="4" w:space="0" w:color="auto"/>
            </w:tcBorders>
            <w:noWrap/>
            <w:vAlign w:val="center"/>
            <w:hideMark/>
          </w:tcPr>
          <w:p w14:paraId="28060775"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0.31%</w:t>
            </w:r>
          </w:p>
        </w:tc>
        <w:tc>
          <w:tcPr>
            <w:tcW w:w="1235" w:type="dxa"/>
            <w:tcBorders>
              <w:top w:val="nil"/>
              <w:left w:val="nil"/>
              <w:bottom w:val="single" w:sz="4" w:space="0" w:color="auto"/>
              <w:right w:val="single" w:sz="4" w:space="0" w:color="auto"/>
            </w:tcBorders>
            <w:noWrap/>
            <w:vAlign w:val="center"/>
            <w:hideMark/>
          </w:tcPr>
          <w:p w14:paraId="0A58E6C1"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260" w:type="dxa"/>
            <w:tcBorders>
              <w:top w:val="nil"/>
              <w:left w:val="nil"/>
              <w:bottom w:val="single" w:sz="4" w:space="0" w:color="auto"/>
              <w:right w:val="single" w:sz="4" w:space="0" w:color="auto"/>
            </w:tcBorders>
            <w:noWrap/>
            <w:vAlign w:val="center"/>
            <w:hideMark/>
          </w:tcPr>
          <w:p w14:paraId="0F99260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0.24%</w:t>
            </w:r>
          </w:p>
        </w:tc>
        <w:tc>
          <w:tcPr>
            <w:tcW w:w="1268" w:type="dxa"/>
            <w:tcBorders>
              <w:top w:val="nil"/>
              <w:left w:val="nil"/>
              <w:bottom w:val="single" w:sz="4" w:space="0" w:color="auto"/>
              <w:right w:val="single" w:sz="4" w:space="0" w:color="auto"/>
            </w:tcBorders>
            <w:noWrap/>
            <w:vAlign w:val="center"/>
            <w:hideMark/>
          </w:tcPr>
          <w:p w14:paraId="01547898"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175" w:type="dxa"/>
            <w:tcBorders>
              <w:top w:val="nil"/>
              <w:left w:val="nil"/>
              <w:bottom w:val="single" w:sz="4" w:space="0" w:color="auto"/>
              <w:right w:val="single" w:sz="4" w:space="0" w:color="auto"/>
            </w:tcBorders>
            <w:noWrap/>
            <w:vAlign w:val="center"/>
            <w:hideMark/>
          </w:tcPr>
          <w:p w14:paraId="20A30C7A"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0.18%</w:t>
            </w:r>
          </w:p>
        </w:tc>
        <w:tc>
          <w:tcPr>
            <w:tcW w:w="1177" w:type="dxa"/>
            <w:tcBorders>
              <w:top w:val="nil"/>
              <w:left w:val="nil"/>
              <w:bottom w:val="single" w:sz="4" w:space="0" w:color="auto"/>
              <w:right w:val="single" w:sz="4" w:space="0" w:color="auto"/>
            </w:tcBorders>
            <w:noWrap/>
            <w:vAlign w:val="center"/>
            <w:hideMark/>
          </w:tcPr>
          <w:p w14:paraId="2A227313"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175" w:type="dxa"/>
            <w:tcBorders>
              <w:top w:val="nil"/>
              <w:left w:val="nil"/>
              <w:bottom w:val="single" w:sz="4" w:space="0" w:color="auto"/>
              <w:right w:val="single" w:sz="4" w:space="0" w:color="auto"/>
            </w:tcBorders>
            <w:noWrap/>
            <w:vAlign w:val="center"/>
            <w:hideMark/>
          </w:tcPr>
          <w:p w14:paraId="06A55B3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-0.07%</w:t>
            </w:r>
          </w:p>
        </w:tc>
        <w:tc>
          <w:tcPr>
            <w:tcW w:w="1177" w:type="dxa"/>
            <w:tcBorders>
              <w:top w:val="nil"/>
              <w:left w:val="nil"/>
              <w:bottom w:val="single" w:sz="4" w:space="0" w:color="auto"/>
              <w:right w:val="single" w:sz="4" w:space="0" w:color="auto"/>
            </w:tcBorders>
            <w:noWrap/>
            <w:vAlign w:val="center"/>
            <w:hideMark/>
          </w:tcPr>
          <w:p w14:paraId="10A8E46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357" w:type="dxa"/>
            <w:tcBorders>
              <w:top w:val="nil"/>
              <w:left w:val="nil"/>
              <w:bottom w:val="single" w:sz="4" w:space="0" w:color="auto"/>
              <w:right w:val="single" w:sz="4" w:space="0" w:color="auto"/>
            </w:tcBorders>
            <w:noWrap/>
            <w:vAlign w:val="center"/>
            <w:hideMark/>
          </w:tcPr>
          <w:p w14:paraId="3A4EDA9C"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-0.06%</w:t>
            </w:r>
          </w:p>
        </w:tc>
        <w:tc>
          <w:tcPr>
            <w:tcW w:w="1405" w:type="dxa"/>
            <w:tcBorders>
              <w:top w:val="nil"/>
              <w:left w:val="nil"/>
              <w:bottom w:val="single" w:sz="4" w:space="0" w:color="auto"/>
              <w:right w:val="single" w:sz="4" w:space="0" w:color="auto"/>
            </w:tcBorders>
            <w:noWrap/>
            <w:vAlign w:val="center"/>
            <w:hideMark/>
          </w:tcPr>
          <w:p w14:paraId="7E2561AE"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r>
      <w:tr w:rsidR="0042797D" w:rsidRPr="00AB6EA5" w14:paraId="7936AB62" w14:textId="77777777" w:rsidTr="002F73B2">
        <w:trPr>
          <w:trHeight w:val="404"/>
        </w:trPr>
        <w:tc>
          <w:tcPr>
            <w:tcW w:w="2245" w:type="dxa"/>
            <w:tcBorders>
              <w:top w:val="nil"/>
              <w:left w:val="single" w:sz="4" w:space="0" w:color="auto"/>
              <w:bottom w:val="single" w:sz="4" w:space="0" w:color="auto"/>
              <w:right w:val="single" w:sz="4" w:space="0" w:color="auto"/>
            </w:tcBorders>
            <w:noWrap/>
            <w:vAlign w:val="center"/>
            <w:hideMark/>
          </w:tcPr>
          <w:p w14:paraId="48532177" w14:textId="77777777" w:rsidR="0042797D" w:rsidRPr="00AB6EA5"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2.Trung, dài hạn</w:t>
            </w:r>
          </w:p>
        </w:tc>
        <w:tc>
          <w:tcPr>
            <w:tcW w:w="1461" w:type="dxa"/>
            <w:tcBorders>
              <w:top w:val="nil"/>
              <w:left w:val="nil"/>
              <w:bottom w:val="single" w:sz="4" w:space="0" w:color="auto"/>
              <w:right w:val="single" w:sz="4" w:space="0" w:color="auto"/>
            </w:tcBorders>
            <w:noWrap/>
            <w:vAlign w:val="center"/>
            <w:hideMark/>
          </w:tcPr>
          <w:p w14:paraId="3837A1E1"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0.37%</w:t>
            </w:r>
          </w:p>
        </w:tc>
        <w:tc>
          <w:tcPr>
            <w:tcW w:w="1235" w:type="dxa"/>
            <w:tcBorders>
              <w:top w:val="nil"/>
              <w:left w:val="nil"/>
              <w:bottom w:val="single" w:sz="4" w:space="0" w:color="auto"/>
              <w:right w:val="single" w:sz="4" w:space="0" w:color="auto"/>
            </w:tcBorders>
            <w:noWrap/>
            <w:vAlign w:val="center"/>
            <w:hideMark/>
          </w:tcPr>
          <w:p w14:paraId="494A11C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260" w:type="dxa"/>
            <w:tcBorders>
              <w:top w:val="nil"/>
              <w:left w:val="nil"/>
              <w:bottom w:val="single" w:sz="4" w:space="0" w:color="auto"/>
              <w:right w:val="single" w:sz="4" w:space="0" w:color="auto"/>
            </w:tcBorders>
            <w:noWrap/>
            <w:vAlign w:val="center"/>
            <w:hideMark/>
          </w:tcPr>
          <w:p w14:paraId="3999AFE1"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0.32%</w:t>
            </w:r>
          </w:p>
        </w:tc>
        <w:tc>
          <w:tcPr>
            <w:tcW w:w="1268" w:type="dxa"/>
            <w:tcBorders>
              <w:top w:val="nil"/>
              <w:left w:val="nil"/>
              <w:bottom w:val="single" w:sz="4" w:space="0" w:color="auto"/>
              <w:right w:val="single" w:sz="4" w:space="0" w:color="auto"/>
            </w:tcBorders>
            <w:noWrap/>
            <w:vAlign w:val="center"/>
            <w:hideMark/>
          </w:tcPr>
          <w:p w14:paraId="57FD0C60"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c>
          <w:tcPr>
            <w:tcW w:w="1175" w:type="dxa"/>
            <w:tcBorders>
              <w:top w:val="nil"/>
              <w:left w:val="nil"/>
              <w:bottom w:val="single" w:sz="4" w:space="0" w:color="auto"/>
              <w:right w:val="single" w:sz="4" w:space="0" w:color="auto"/>
            </w:tcBorders>
            <w:noWrap/>
            <w:vAlign w:val="center"/>
            <w:hideMark/>
          </w:tcPr>
          <w:p w14:paraId="21D09D36"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0.22%</w:t>
            </w:r>
          </w:p>
        </w:tc>
        <w:tc>
          <w:tcPr>
            <w:tcW w:w="1177" w:type="dxa"/>
            <w:tcBorders>
              <w:top w:val="nil"/>
              <w:left w:val="nil"/>
              <w:bottom w:val="single" w:sz="4" w:space="0" w:color="auto"/>
              <w:right w:val="single" w:sz="4" w:space="0" w:color="auto"/>
            </w:tcBorders>
            <w:noWrap/>
            <w:vAlign w:val="center"/>
            <w:hideMark/>
          </w:tcPr>
          <w:p w14:paraId="5B2BEE64"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175" w:type="dxa"/>
            <w:tcBorders>
              <w:top w:val="nil"/>
              <w:left w:val="nil"/>
              <w:bottom w:val="single" w:sz="4" w:space="0" w:color="auto"/>
              <w:right w:val="single" w:sz="4" w:space="0" w:color="auto"/>
            </w:tcBorders>
            <w:noWrap/>
            <w:vAlign w:val="center"/>
            <w:hideMark/>
          </w:tcPr>
          <w:p w14:paraId="3F6560FF"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-0.05%</w:t>
            </w:r>
          </w:p>
        </w:tc>
        <w:tc>
          <w:tcPr>
            <w:tcW w:w="1177" w:type="dxa"/>
            <w:tcBorders>
              <w:top w:val="nil"/>
              <w:left w:val="nil"/>
              <w:bottom w:val="single" w:sz="4" w:space="0" w:color="auto"/>
              <w:right w:val="single" w:sz="4" w:space="0" w:color="auto"/>
            </w:tcBorders>
            <w:noWrap/>
            <w:vAlign w:val="center"/>
            <w:hideMark/>
          </w:tcPr>
          <w:p w14:paraId="2F46FB57"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357" w:type="dxa"/>
            <w:tcBorders>
              <w:top w:val="nil"/>
              <w:left w:val="nil"/>
              <w:bottom w:val="single" w:sz="4" w:space="0" w:color="auto"/>
              <w:right w:val="single" w:sz="4" w:space="0" w:color="auto"/>
            </w:tcBorders>
            <w:noWrap/>
            <w:vAlign w:val="center"/>
            <w:hideMark/>
          </w:tcPr>
          <w:p w14:paraId="5125173D"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-0.10%</w:t>
            </w:r>
          </w:p>
        </w:tc>
        <w:tc>
          <w:tcPr>
            <w:tcW w:w="1405" w:type="dxa"/>
            <w:tcBorders>
              <w:top w:val="nil"/>
              <w:left w:val="nil"/>
              <w:bottom w:val="single" w:sz="4" w:space="0" w:color="auto"/>
              <w:right w:val="single" w:sz="4" w:space="0" w:color="auto"/>
            </w:tcBorders>
            <w:noWrap/>
            <w:vAlign w:val="center"/>
            <w:hideMark/>
          </w:tcPr>
          <w:p w14:paraId="16F968D0" w14:textId="77777777" w:rsidR="0042797D" w:rsidRPr="00AB6EA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AB6EA5">
              <w:rPr>
                <w:rFonts w:ascii="Times New Roman" w:eastAsia="Times New Roman" w:hAnsi="Times New Roman" w:cs="Times New Roman"/>
                <w:color w:val="000000"/>
                <w:kern w:val="0"/>
                <w:sz w:val="22"/>
                <w:szCs w:val="22"/>
                <w14:ligatures w14:val="none"/>
              </w:rPr>
              <w:t> </w:t>
            </w:r>
          </w:p>
        </w:tc>
      </w:tr>
    </w:tbl>
    <w:p w14:paraId="4159B4CE" w14:textId="77777777" w:rsidR="0042797D" w:rsidRPr="00375D53" w:rsidRDefault="0042797D" w:rsidP="0042797D">
      <w:pPr>
        <w:pStyle w:val="NormalWeb"/>
        <w:jc w:val="both"/>
        <w:rPr>
          <w:i/>
          <w:iCs/>
          <w:sz w:val="26"/>
          <w:szCs w:val="26"/>
        </w:rPr>
      </w:pPr>
      <w:r>
        <w:rPr>
          <w:sz w:val="26"/>
          <w:szCs w:val="26"/>
        </w:rPr>
        <w:tab/>
      </w:r>
      <w:r>
        <w:rPr>
          <w:b/>
          <w:bCs/>
          <w:sz w:val="26"/>
          <w:szCs w:val="26"/>
        </w:rPr>
        <w:t xml:space="preserve">                                                                                                                                     </w:t>
      </w:r>
      <w:r w:rsidRPr="00375D53">
        <w:rPr>
          <w:i/>
          <w:iCs/>
          <w:sz w:val="26"/>
          <w:szCs w:val="26"/>
        </w:rPr>
        <w:t>Đvt: Triệu đồng</w:t>
      </w:r>
    </w:p>
    <w:p w14:paraId="297A1363" w14:textId="77777777" w:rsidR="0042797D" w:rsidRDefault="0042797D" w:rsidP="0042797D">
      <w:pPr>
        <w:pStyle w:val="ListParagraph"/>
        <w:tabs>
          <w:tab w:val="left" w:pos="5103"/>
        </w:tabs>
        <w:spacing w:beforeLines="60" w:before="144" w:afterLines="60" w:after="144" w:line="360" w:lineRule="auto"/>
        <w:ind w:left="0"/>
        <w:jc w:val="right"/>
        <w:rPr>
          <w:rFonts w:ascii="Times New Roman" w:hAnsi="Times New Roman" w:cs="Times New Roman"/>
          <w:i/>
          <w:sz w:val="26"/>
          <w:szCs w:val="26"/>
          <w:lang w:val="vi-VN"/>
        </w:rPr>
      </w:pPr>
      <w:r w:rsidRPr="001308FF">
        <w:rPr>
          <w:rFonts w:ascii="Times New Roman" w:hAnsi="Times New Roman" w:cs="Times New Roman"/>
          <w:i/>
          <w:sz w:val="26"/>
          <w:szCs w:val="26"/>
          <w:lang w:val="vi-VN"/>
        </w:rPr>
        <w:t>(</w:t>
      </w:r>
      <w:r w:rsidRPr="001308FF">
        <w:rPr>
          <w:rFonts w:ascii="Times New Roman" w:hAnsi="Times New Roman" w:cs="Times New Roman"/>
          <w:i/>
          <w:sz w:val="26"/>
          <w:szCs w:val="26"/>
        </w:rPr>
        <w:t>Nguồn: BCTC Ngân hàng</w:t>
      </w:r>
      <w:r w:rsidRPr="001308FF">
        <w:rPr>
          <w:rFonts w:ascii="Times New Roman" w:hAnsi="Times New Roman" w:cs="Times New Roman"/>
          <w:i/>
          <w:sz w:val="26"/>
          <w:szCs w:val="26"/>
          <w:lang w:val="vi-VN"/>
        </w:rPr>
        <w:t xml:space="preserve"> TMCP</w:t>
      </w:r>
      <w:r w:rsidRPr="001308FF">
        <w:rPr>
          <w:rFonts w:ascii="Times New Roman" w:hAnsi="Times New Roman" w:cs="Times New Roman"/>
          <w:i/>
          <w:sz w:val="26"/>
          <w:szCs w:val="26"/>
        </w:rPr>
        <w:t xml:space="preserve"> Nam Á –</w:t>
      </w:r>
      <w:r w:rsidRPr="001308FF">
        <w:rPr>
          <w:rFonts w:ascii="Times New Roman" w:hAnsi="Times New Roman" w:cs="Times New Roman"/>
          <w:i/>
          <w:sz w:val="26"/>
          <w:szCs w:val="26"/>
          <w:lang w:val="vi-VN"/>
        </w:rPr>
        <w:t xml:space="preserve"> Chi nhánh Đà Nẵng </w:t>
      </w:r>
      <w:r w:rsidRPr="001308FF">
        <w:rPr>
          <w:rFonts w:ascii="Times New Roman" w:hAnsi="Times New Roman" w:cs="Times New Roman"/>
          <w:i/>
          <w:sz w:val="26"/>
          <w:szCs w:val="26"/>
        </w:rPr>
        <w:t>– PGD Cẩm</w:t>
      </w:r>
      <w:r w:rsidRPr="001308FF">
        <w:rPr>
          <w:rFonts w:ascii="Times New Roman" w:hAnsi="Times New Roman" w:cs="Times New Roman"/>
          <w:i/>
          <w:sz w:val="26"/>
          <w:szCs w:val="26"/>
          <w:lang w:val="vi-VN"/>
        </w:rPr>
        <w:t xml:space="preserve"> Lệ)</w:t>
      </w:r>
    </w:p>
    <w:p w14:paraId="4B467A8E" w14:textId="77777777" w:rsidR="0042797D" w:rsidRPr="00B21F24" w:rsidRDefault="0042797D" w:rsidP="0042797D">
      <w:pPr>
        <w:tabs>
          <w:tab w:val="left" w:pos="2118"/>
        </w:tabs>
        <w:rPr>
          <w:rFonts w:ascii="Times New Roman" w:hAnsi="Times New Roman" w:cs="Times New Roman"/>
          <w:sz w:val="26"/>
          <w:szCs w:val="26"/>
        </w:rPr>
        <w:sectPr w:rsidR="0042797D" w:rsidRPr="00B21F24" w:rsidSect="0042797D">
          <w:pgSz w:w="15840" w:h="12240" w:orient="landscape"/>
          <w:pgMar w:top="1699" w:right="1138" w:bottom="1138" w:left="1138" w:header="706" w:footer="706" w:gutter="0"/>
          <w:cols w:space="708"/>
          <w:docGrid w:linePitch="360"/>
        </w:sectPr>
      </w:pPr>
    </w:p>
    <w:p w14:paraId="69D87F43" w14:textId="77777777" w:rsidR="0042797D" w:rsidRPr="00A50FBA" w:rsidRDefault="0042797D" w:rsidP="0042797D">
      <w:pPr>
        <w:spacing w:line="360" w:lineRule="auto"/>
        <w:jc w:val="both"/>
        <w:rPr>
          <w:rFonts w:ascii="Times New Roman" w:hAnsi="Times New Roman" w:cs="Times New Roman"/>
        </w:rPr>
      </w:pPr>
      <w:r>
        <w:rPr>
          <w:sz w:val="26"/>
          <w:szCs w:val="26"/>
        </w:rPr>
        <w:lastRenderedPageBreak/>
        <w:t xml:space="preserve">   </w:t>
      </w:r>
      <w:r w:rsidRPr="00A50FBA">
        <w:rPr>
          <w:rFonts w:ascii="Times New Roman" w:hAnsi="Times New Roman" w:cs="Times New Roman"/>
          <w:sz w:val="26"/>
          <w:szCs w:val="26"/>
        </w:rPr>
        <w:t>Dựa trên số liệu tại Bảng 2.2, hoạt động cho vay tại Ngân hàng TMCP Nam Á – Chi nhánh Đà Nẵng – PGD Cẩm Lệ giai đoạn 2023–2025 có xu hướng mở rộng về quy mô và duy trì được tính ổn định tương đối giữa tăng trưởng và kiểm soát rủi ro. Cụ thể, doanh số cho vay và dư nợ cho vay đều tăng qua các năm, phản ánh khả năng mở rộng thị phần tín dụng và đáp ứng nhu cầu vốn của khách hàng trên địa bàn. Đồng thời, nợ xấu và tỷ lệ nợ xấu giảm liên tục, cho thấy chất lượng tín dụng được cải thiện, công tác thẩm định – giám sát sau vay và thu hồi nợ được tăng cường theo hướng hiệu quả hơn.</w:t>
      </w:r>
    </w:p>
    <w:p w14:paraId="319719D6" w14:textId="77777777" w:rsidR="0042797D" w:rsidRPr="00A50FBA" w:rsidRDefault="0042797D" w:rsidP="0042797D">
      <w:pPr>
        <w:spacing w:line="360" w:lineRule="auto"/>
        <w:jc w:val="both"/>
        <w:rPr>
          <w:rFonts w:ascii="Times New Roman" w:hAnsi="Times New Roman" w:cs="Times New Roman"/>
        </w:rPr>
      </w:pPr>
      <w:r w:rsidRPr="00A50FBA">
        <w:rPr>
          <w:rFonts w:ascii="Times New Roman" w:hAnsi="Times New Roman" w:cs="Times New Roman"/>
          <w:sz w:val="26"/>
          <w:szCs w:val="26"/>
        </w:rPr>
        <w:t>   Trước hết, về doanh số cho vay, tổng doanh số giải ngân năm 2023 đạt 578.349 triệu đồng. Sang năm 2024, chỉ tiêu này tăng lên 773.962 triệu đồng, tăng 195.613 triệu đồng (33,82%), cho thấy giai đoạn này PGD đẩy mạnh mở rộng tín dụng và gia tăng mức độ tiếp cận khách hàng. Đến năm 2025, doanh số cho vay tiếp tục tăng lên 812.736 triệu đồng, tăng 38.774 triệu đồng (5,01%) so với năm 2024. Nhìn chung, doanh số cho vay tăng liên tục nhưng tốc độ tăng có xu hướng chậm lại trong năm 2025. Diễn biến này có thể phản ánh việc PGD chủ động điều chỉnh tăng trưởng theo hướng thận trọng hơn nhằm đảm bảo chất lượng tín dụng, đồng thời phù hợp với bối cảnh thị trường có thể biến động, khiến nhu cầu vay vốn mới tăng chậm hơn so với giai đoạn trước.</w:t>
      </w:r>
    </w:p>
    <w:p w14:paraId="0CC7012F" w14:textId="77777777" w:rsidR="0042797D" w:rsidRPr="00A50FBA" w:rsidRDefault="0042797D" w:rsidP="0042797D">
      <w:pPr>
        <w:spacing w:line="360" w:lineRule="auto"/>
        <w:jc w:val="both"/>
        <w:rPr>
          <w:rFonts w:ascii="Times New Roman" w:hAnsi="Times New Roman" w:cs="Times New Roman"/>
        </w:rPr>
      </w:pPr>
      <w:r w:rsidRPr="00A50FBA">
        <w:rPr>
          <w:rFonts w:ascii="Times New Roman" w:hAnsi="Times New Roman" w:cs="Times New Roman"/>
          <w:sz w:val="26"/>
          <w:szCs w:val="26"/>
        </w:rPr>
        <w:t>   Xét theo cơ cấu kỳ hạn của doanh số cho vay, cho vay trung, dài hạn luôn chiếm tỷ trọng chủ đạo và có xu hướng tăng dần qua thời gian. Cụ thể, năm 2023 cho vay trung, dài hạn đạt 399.657 triệu đồng, chiếm 69,10% tổng doanh số; năm 2024 tăng lên 554.491 triệu đồng (tăng 154.834 triệu đồng, 38,74%) và chiếm 71,64%; năm 2025 tiếp tục đạt 588.218 triệu đồng (tăng 33.727 triệu đồng, 6,08%), nâng tỷ trọng lên 72,38%. Ngược lại, cho vay ngắn hạn tăng từ 178.692 triệu đồng năm 2023 lên 219.471 triệu đồng năm 2024 và 224.518 triệu đồng năm 2025, nhưng tỷ trọng giảm từ 30,90% xuống 27,62%. Sự dịch chuyển này cho thấy PGD có xu hướng tập trung vào các khoản vay có thời hạn dài hơn nhằm đáp ứng nhu cầu đầu tư và tiêu dùng dài hạn của khách hàng, góp phần mở rộng quy mô tín dụng và ổn định nguồn thu lãi. Tuy nhiên, tỷ trọng trung, dài hạn tăng cũng đồng nghĩa rủi ro kỳ hạn và rủi ro biến động lãi suất có thể lớn hơn, do đó PGD cần tiếp tục nâng cao chất lượng thẩm định, quản lý tài sản bảo đảm và theo dõi dòng tiền trả nợ trong suốt vòng đời khoản vay.</w:t>
      </w:r>
    </w:p>
    <w:p w14:paraId="498524C4" w14:textId="77777777" w:rsidR="0042797D" w:rsidRPr="00A50FBA" w:rsidRDefault="0042797D" w:rsidP="0042797D">
      <w:pPr>
        <w:spacing w:line="360" w:lineRule="auto"/>
        <w:jc w:val="both"/>
        <w:rPr>
          <w:rFonts w:ascii="Times New Roman" w:hAnsi="Times New Roman" w:cs="Times New Roman"/>
        </w:rPr>
      </w:pPr>
      <w:r w:rsidRPr="00A50FBA">
        <w:rPr>
          <w:rFonts w:ascii="Times New Roman" w:hAnsi="Times New Roman" w:cs="Times New Roman"/>
          <w:sz w:val="26"/>
          <w:szCs w:val="26"/>
        </w:rPr>
        <w:lastRenderedPageBreak/>
        <w:t>   Về doanh số thu nợ, năm 2023 PGD thu nợ đạt 452.347 triệu đồng; năm 2024 tăng mạnh lên 682.927 triệu đồng (tăng 230.580 triệu đồng, 50,97%); năm 2025 đạt 702.485 triệu đồng (tăng 19.558 triệu đồng, 2,86%). Nếu đặt trong mối quan hệ với doanh số cho vay, tỷ lệ thu nợ/cho vay lần lượt đạt khoảng 78,22% (2023), 88,24% (2024) và 86,43% (2025). Điều này cho thấy công tác thu hồi nợ nhìn chung được cải thiện rõ trong năm 2024 và tiếp tục duy trì ở mức khá trong năm 2025, góp phần nâng cao vòng quay vốn tín dụng và hạn chế áp lực tích lũy nợ.</w:t>
      </w:r>
    </w:p>
    <w:p w14:paraId="13E051FE" w14:textId="77777777" w:rsidR="0042797D" w:rsidRPr="00A50FBA" w:rsidRDefault="0042797D" w:rsidP="0042797D">
      <w:pPr>
        <w:spacing w:line="360" w:lineRule="auto"/>
        <w:jc w:val="both"/>
        <w:rPr>
          <w:rFonts w:ascii="Times New Roman" w:hAnsi="Times New Roman" w:cs="Times New Roman"/>
        </w:rPr>
      </w:pPr>
      <w:r w:rsidRPr="00A50FBA">
        <w:rPr>
          <w:rFonts w:ascii="Times New Roman" w:hAnsi="Times New Roman" w:cs="Times New Roman"/>
          <w:sz w:val="26"/>
          <w:szCs w:val="26"/>
        </w:rPr>
        <w:t>   Xét theo kỳ hạn, thu nợ ngắn hạn tăng nhanh cả về quy mô và tỷ trọng: từ 134.751 triệu đồng (29,79%) năm 2023 lên 249.347 triệu đồng (36,51%) năm 2024 và 268.931 triệu đồng (38,28%) năm 2025. Trong khi đó, thu nợ trung, dài hạn tăng từ 317.596 triệu đồng (70,21%) năm 2023 lên 433.580 triệu đồng (63,49%) năm 2024 nhưng gần như đi ngang trong năm 2025 (433.554 triệu đồng; 61,72%). Sự gia tăng tỷ trọng thu nợ ngắn hạn phản ánh vòng quay của các khoản vay ngắn hạn tốt hơn và/hoặc PGD ưu tiên thu hồi nhóm này để đảm bảo tính thanh khoản. Việc thu nợ trung, dài hạn chậm lại trong năm 2025 có thể do đặc điểm lịch trả nợ dài hơn (gốc phân bổ nhiều kỳ), đồng thời danh mục giải ngân trung, dài hạn tăng mạnh các năm trước làm dư nợ dài hạn còn lớn, nên tốc độ thu hồi trong ngắn hạn khó tăng tương ứng.</w:t>
      </w:r>
    </w:p>
    <w:p w14:paraId="1FB62822" w14:textId="77777777" w:rsidR="0042797D" w:rsidRPr="00A50FBA" w:rsidRDefault="0042797D" w:rsidP="0042797D">
      <w:pPr>
        <w:spacing w:line="360" w:lineRule="auto"/>
        <w:jc w:val="both"/>
        <w:rPr>
          <w:rFonts w:ascii="Times New Roman" w:hAnsi="Times New Roman" w:cs="Times New Roman"/>
        </w:rPr>
      </w:pPr>
      <w:r w:rsidRPr="00A50FBA">
        <w:rPr>
          <w:rFonts w:ascii="Times New Roman" w:hAnsi="Times New Roman" w:cs="Times New Roman"/>
          <w:sz w:val="26"/>
          <w:szCs w:val="26"/>
        </w:rPr>
        <w:t>   Đối với dư nợ cho vay, quy mô dư nợ tăng liên tục từ 755.858 triệu đồng năm 2023 lên 846.893 triệu đồng năm 2024 (tăng 91.035 triệu đồng, 12,04%) và đạt 957.144 triệu đồng năm 2025 (tăng 110.251 triệu đồng, 13,02%). Dư nợ tăng cho thấy tín dụng được mở rộng và quy mô khoản vay còn lưu lại cuối kỳ ngày càng lớn. Bên cạnh đó, việc dư nợ tăng trong khi tỷ lệ thu nợ/cho vay vẫn dưới 100% ở cả ba năm cho thấy phần chênh lệch giữa giải ngân và thu nợ tiếp tục được tích lũy vào dư nợ cuối kỳ.</w:t>
      </w:r>
    </w:p>
    <w:p w14:paraId="2A2E764C" w14:textId="77777777" w:rsidR="0042797D" w:rsidRPr="00A50FBA" w:rsidRDefault="0042797D" w:rsidP="0042797D">
      <w:pPr>
        <w:spacing w:line="360" w:lineRule="auto"/>
        <w:jc w:val="both"/>
        <w:rPr>
          <w:rFonts w:ascii="Times New Roman" w:hAnsi="Times New Roman" w:cs="Times New Roman"/>
        </w:rPr>
      </w:pPr>
      <w:r w:rsidRPr="00A50FBA">
        <w:rPr>
          <w:rFonts w:ascii="Times New Roman" w:hAnsi="Times New Roman" w:cs="Times New Roman"/>
          <w:sz w:val="26"/>
          <w:szCs w:val="26"/>
        </w:rPr>
        <w:t xml:space="preserve">   Xét theo cơ cấu dư nợ, dư nợ ngắn hạn tăng từ 297.714 triệu đồng (39,39%) năm 2023 lên 342.109 triệu đồng (40,40%) năm 2024 và 388.417 triệu đồng (40,58%) năm 2025. Dư nợ trung, dài hạn tăng từ 458.144 triệu đồng (60,61%) năm 2023 lên 504.784 triệu đồng (59,60%) năm 2024 và 568.727 triệu đồng (59,42%) năm 2025. Như vậy, dư nợ trung, dài hạn vẫn chiếm tỷ trọng cao hơn, song tỷ trọng có xu hướng giảm nhẹ, trong khi ngắn hạn </w:t>
      </w:r>
      <w:r w:rsidRPr="00A50FBA">
        <w:rPr>
          <w:rFonts w:ascii="Times New Roman" w:hAnsi="Times New Roman" w:cs="Times New Roman"/>
          <w:sz w:val="26"/>
          <w:szCs w:val="26"/>
        </w:rPr>
        <w:lastRenderedPageBreak/>
        <w:t>tăng nhẹ. Cơ cấu này hàm ý PGD đang có sự điều chỉnh theo hướng cân đối hơn giữa các kỳ hạn, giúp giảm bớt rủi ro kỳ hạn và tăng tính linh hoạt trong quản trị danh mục tín dụng.</w:t>
      </w:r>
    </w:p>
    <w:p w14:paraId="537D0232" w14:textId="77777777" w:rsidR="0042797D" w:rsidRDefault="0042797D" w:rsidP="0042797D">
      <w:pPr>
        <w:spacing w:line="360" w:lineRule="auto"/>
        <w:jc w:val="both"/>
        <w:rPr>
          <w:rFonts w:ascii="Times New Roman" w:hAnsi="Times New Roman" w:cs="Times New Roman"/>
          <w:sz w:val="26"/>
          <w:szCs w:val="26"/>
        </w:rPr>
      </w:pPr>
      <w:r w:rsidRPr="00A50FBA">
        <w:rPr>
          <w:rFonts w:ascii="Times New Roman" w:hAnsi="Times New Roman" w:cs="Times New Roman"/>
          <w:sz w:val="26"/>
          <w:szCs w:val="26"/>
        </w:rPr>
        <w:t>   Về chất lượng tín dụng, nợ xấu giảm từ 2.612 triệu đồng năm 2023 xuống 2.405 triệu đồng năm 2024 (giảm 207 triệu đồng) và còn 1.921 triệu đồng năm 2025 (giảm 484 triệu đồng). Tương ứng, tỷ lệ nợ xấu giảm từ 0,35% xuống 0,28% và 0,20%. Khi phân theo kỳ hạn, tỷ lệ nợ xấu ngắn hạn giảm từ 0,31% (2023) xuống 0,24% (2024) và 0,18% (2025); tỷ lệ nợ xấu trung, dài hạn giảm từ 0,37% xuống 0,32% và 0,22%. Xu hướng giảm đồng thời ở cả giá trị tuyệt đối và tỷ lệ cho thấy tốc độ tăng của dư nợ không làm xấu đi chất lượng danh mục, ngược lại phản ánh hiệu quả của công tác sàng lọc khách hàng, quản lý sau vay và biện pháp thu hồi nợ. Tuy nhiên, do dư nợ trung, dài hạn vẫn chiếm tỷ trọng chủ đạo, PGD cần tiếp tục kiểm soát rủi ro ở nhóm khoản vay dài hạn (biến động thu nhập khách hàng, thay đổi lãi suất, giá trị tài sản bảo đảm) nhằm duy trì tỷ lệ nợ xấu ở mức thấp trong các năm tiếp theo.</w:t>
      </w:r>
    </w:p>
    <w:p w14:paraId="7DCA2807" w14:textId="77777777" w:rsidR="0042797D" w:rsidRDefault="0042797D" w:rsidP="0042797D">
      <w:pPr>
        <w:pStyle w:val="NormalWeb"/>
        <w:spacing w:line="360" w:lineRule="auto"/>
        <w:jc w:val="both"/>
        <w:rPr>
          <w:b/>
          <w:bCs/>
          <w:sz w:val="26"/>
          <w:szCs w:val="26"/>
        </w:rPr>
      </w:pPr>
      <w:r w:rsidRPr="002506D7">
        <w:rPr>
          <w:b/>
          <w:bCs/>
          <w:sz w:val="26"/>
          <w:szCs w:val="26"/>
        </w:rPr>
        <w:t>2.</w:t>
      </w:r>
      <w:r>
        <w:rPr>
          <w:b/>
          <w:bCs/>
          <w:sz w:val="26"/>
          <w:szCs w:val="26"/>
        </w:rPr>
        <w:t>1.5.3</w:t>
      </w:r>
      <w:r w:rsidRPr="002506D7">
        <w:rPr>
          <w:b/>
          <w:bCs/>
          <w:sz w:val="26"/>
          <w:szCs w:val="26"/>
        </w:rPr>
        <w:t xml:space="preserve"> Tình hình kết quả hoạt động kinh doanh của Ngân hàng TMCP Nam Á – Chi nhánh Đà Nẵng – PDG Cẩm Lệ giai đoạn 2023 -2025</w:t>
      </w:r>
    </w:p>
    <w:p w14:paraId="4F6E9C03" w14:textId="77777777" w:rsidR="0042797D" w:rsidRDefault="0042797D" w:rsidP="0042797D">
      <w:pPr>
        <w:spacing w:line="360" w:lineRule="auto"/>
        <w:jc w:val="both"/>
        <w:rPr>
          <w:rFonts w:ascii="Times New Roman" w:hAnsi="Times New Roman" w:cs="Times New Roman"/>
        </w:rPr>
      </w:pPr>
      <w:r>
        <w:rPr>
          <w:sz w:val="26"/>
          <w:szCs w:val="26"/>
        </w:rPr>
        <w:t xml:space="preserve">    </w:t>
      </w:r>
      <w:r w:rsidRPr="00490439">
        <w:rPr>
          <w:rFonts w:ascii="Times New Roman" w:hAnsi="Times New Roman" w:cs="Times New Roman"/>
          <w:sz w:val="26"/>
          <w:szCs w:val="26"/>
        </w:rPr>
        <w:t>Kết quả hoạt động kinh doanh của Ngân hàng TMCP Nam Á – Chi nhánh Đà Nẵng – Phòng Giao dịch Cẩm Lệ trong những năm gần đây nhìn chung có nhiều chuyển biến tích cực, phản ánh hiệu quả từ các hoạt động huy động vốn, cho vay và cung ứng dịch vụ ngân hàng tại đơn vị. Các chỉ tiêu về thu nhập, chi phí và chênh lệch thu – chi có sự biến động theo từng giai đoạn, cho thấy PGD đã chủ động điều chỉnh định hướng kinh doanh nhằm thích ứng với bối cảnh kinh tế và diễn biến của thị trường tài chính. Bên cạnh việc mở rộng quy mô hoạt động, đơn vị cũng chú trọng kiểm soát chi phí, nâng cao chất lượng tín dụng và từng bước đa dạng hóa nguồn thu, qua đó góp phần cải thiện hiệu quả kinh doanh chung. Những kết quả đạt được không chỉ thể hiện nỗ lực duy trì tăng trưởng ổn định mà còn là cơ sở quan trọng để PGD tiếp tục củng cố năng lực hoạt động và phát triển bền vững trong thời gian tới. Trên cơ sở đó, phần tiếp theo sẽ phân tích cụ thể tình hình kết quả hoạt động kinh doanh của PGD Cẩm Lệ thông qua các chỉ tiêu và số liệu thực tế tại Bảng 2</w:t>
      </w:r>
      <w:r>
        <w:rPr>
          <w:rFonts w:ascii="Times New Roman" w:hAnsi="Times New Roman" w:cs="Times New Roman"/>
          <w:sz w:val="26"/>
          <w:szCs w:val="26"/>
        </w:rPr>
        <w:t>.2</w:t>
      </w:r>
      <w:r w:rsidRPr="00490439">
        <w:rPr>
          <w:rFonts w:ascii="Times New Roman" w:hAnsi="Times New Roman" w:cs="Times New Roman"/>
          <w:sz w:val="26"/>
          <w:szCs w:val="26"/>
        </w:rPr>
        <w:t>.3.</w:t>
      </w:r>
    </w:p>
    <w:p w14:paraId="61640883" w14:textId="77777777" w:rsidR="0042797D" w:rsidRDefault="0042797D" w:rsidP="0042797D">
      <w:pPr>
        <w:spacing w:line="360" w:lineRule="auto"/>
        <w:jc w:val="both"/>
        <w:rPr>
          <w:rFonts w:ascii="Times New Roman" w:hAnsi="Times New Roman" w:cs="Times New Roman"/>
          <w:b/>
          <w:sz w:val="26"/>
          <w:szCs w:val="26"/>
        </w:rPr>
      </w:pPr>
      <w:r w:rsidRPr="001308FF">
        <w:rPr>
          <w:rFonts w:ascii="Times New Roman" w:hAnsi="Times New Roman" w:cs="Times New Roman"/>
          <w:b/>
          <w:sz w:val="26"/>
          <w:szCs w:val="26"/>
        </w:rPr>
        <w:lastRenderedPageBreak/>
        <w:t>Bảng 2.</w:t>
      </w:r>
      <w:r>
        <w:rPr>
          <w:rFonts w:ascii="Times New Roman" w:hAnsi="Times New Roman" w:cs="Times New Roman"/>
          <w:b/>
          <w:sz w:val="26"/>
          <w:szCs w:val="26"/>
        </w:rPr>
        <w:t>4</w:t>
      </w:r>
      <w:r w:rsidRPr="001308FF">
        <w:rPr>
          <w:rFonts w:ascii="Times New Roman" w:hAnsi="Times New Roman" w:cs="Times New Roman"/>
          <w:b/>
          <w:sz w:val="26"/>
          <w:szCs w:val="26"/>
        </w:rPr>
        <w:t xml:space="preserve"> Tình hình </w:t>
      </w:r>
      <w:r>
        <w:rPr>
          <w:rFonts w:ascii="Times New Roman" w:hAnsi="Times New Roman" w:cs="Times New Roman"/>
          <w:b/>
          <w:sz w:val="26"/>
          <w:szCs w:val="26"/>
        </w:rPr>
        <w:t>kết</w:t>
      </w:r>
      <w:r>
        <w:rPr>
          <w:rFonts w:ascii="Times New Roman" w:hAnsi="Times New Roman" w:cs="Times New Roman"/>
          <w:b/>
          <w:sz w:val="26"/>
          <w:szCs w:val="26"/>
          <w:lang w:val="vi-VN"/>
        </w:rPr>
        <w:t xml:space="preserve"> quả hoạt động kinh doanh</w:t>
      </w:r>
      <w:r w:rsidRPr="001308FF">
        <w:rPr>
          <w:rFonts w:ascii="Times New Roman" w:hAnsi="Times New Roman" w:cs="Times New Roman"/>
          <w:b/>
          <w:sz w:val="26"/>
          <w:szCs w:val="26"/>
        </w:rPr>
        <w:t xml:space="preserve"> của Ngân hàng</w:t>
      </w:r>
      <w:r w:rsidRPr="001308FF">
        <w:rPr>
          <w:rFonts w:ascii="Times New Roman" w:hAnsi="Times New Roman" w:cs="Times New Roman"/>
          <w:b/>
          <w:sz w:val="26"/>
          <w:szCs w:val="26"/>
          <w:lang w:val="vi-VN"/>
        </w:rPr>
        <w:t xml:space="preserve"> TMCP</w:t>
      </w:r>
      <w:r w:rsidRPr="001308FF">
        <w:rPr>
          <w:rFonts w:ascii="Times New Roman" w:hAnsi="Times New Roman" w:cs="Times New Roman"/>
          <w:b/>
          <w:sz w:val="26"/>
          <w:szCs w:val="26"/>
        </w:rPr>
        <w:t xml:space="preserve"> Nam Á</w:t>
      </w:r>
      <w:r w:rsidRPr="001308FF">
        <w:rPr>
          <w:rFonts w:ascii="Times New Roman" w:hAnsi="Times New Roman" w:cs="Times New Roman"/>
          <w:b/>
          <w:sz w:val="26"/>
          <w:szCs w:val="26"/>
          <w:lang w:val="vi-VN"/>
        </w:rPr>
        <w:t xml:space="preserve"> </w:t>
      </w:r>
      <w:r w:rsidRPr="001308FF">
        <w:rPr>
          <w:rFonts w:ascii="Times New Roman" w:hAnsi="Times New Roman" w:cs="Times New Roman"/>
          <w:b/>
          <w:sz w:val="26"/>
          <w:szCs w:val="26"/>
        </w:rPr>
        <w:t>– Chi</w:t>
      </w:r>
      <w:r w:rsidRPr="001308FF">
        <w:rPr>
          <w:rFonts w:ascii="Times New Roman" w:hAnsi="Times New Roman" w:cs="Times New Roman"/>
          <w:b/>
          <w:sz w:val="26"/>
          <w:szCs w:val="26"/>
          <w:lang w:val="vi-VN"/>
        </w:rPr>
        <w:t xml:space="preserve"> nhánh Đà Nẵng</w:t>
      </w:r>
      <w:r w:rsidRPr="001308FF">
        <w:rPr>
          <w:rFonts w:ascii="Times New Roman" w:hAnsi="Times New Roman" w:cs="Times New Roman"/>
          <w:b/>
          <w:sz w:val="26"/>
          <w:szCs w:val="26"/>
        </w:rPr>
        <w:t xml:space="preserve"> – PGD Cẩm Lệ</w:t>
      </w:r>
      <w:r w:rsidRPr="001308FF">
        <w:rPr>
          <w:rFonts w:ascii="Times New Roman" w:hAnsi="Times New Roman" w:cs="Times New Roman"/>
          <w:b/>
          <w:sz w:val="26"/>
          <w:szCs w:val="26"/>
          <w:lang w:val="vi-VN"/>
        </w:rPr>
        <w:t xml:space="preserve"> 202</w:t>
      </w:r>
      <w:r>
        <w:rPr>
          <w:rFonts w:ascii="Times New Roman" w:hAnsi="Times New Roman" w:cs="Times New Roman"/>
          <w:b/>
          <w:sz w:val="26"/>
          <w:szCs w:val="26"/>
          <w:lang w:val="vi-VN"/>
        </w:rPr>
        <w:t>3</w:t>
      </w:r>
      <w:r w:rsidRPr="001308FF">
        <w:rPr>
          <w:rFonts w:ascii="Times New Roman" w:hAnsi="Times New Roman" w:cs="Times New Roman"/>
          <w:b/>
          <w:sz w:val="26"/>
          <w:szCs w:val="26"/>
          <w:lang w:val="vi-VN"/>
        </w:rPr>
        <w:t xml:space="preserve"> </w:t>
      </w:r>
      <w:r w:rsidRPr="001308FF">
        <w:rPr>
          <w:rFonts w:ascii="Times New Roman" w:hAnsi="Times New Roman" w:cs="Times New Roman"/>
          <w:b/>
          <w:sz w:val="26"/>
          <w:szCs w:val="26"/>
        </w:rPr>
        <w:t>–</w:t>
      </w:r>
      <w:r w:rsidRPr="001308FF">
        <w:rPr>
          <w:rFonts w:ascii="Times New Roman" w:hAnsi="Times New Roman" w:cs="Times New Roman"/>
          <w:b/>
          <w:sz w:val="26"/>
          <w:szCs w:val="26"/>
          <w:lang w:val="vi-VN"/>
        </w:rPr>
        <w:t xml:space="preserve"> 202</w:t>
      </w:r>
      <w:r>
        <w:rPr>
          <w:rFonts w:ascii="Times New Roman" w:hAnsi="Times New Roman" w:cs="Times New Roman"/>
          <w:b/>
          <w:sz w:val="26"/>
          <w:szCs w:val="26"/>
        </w:rPr>
        <w:t>5</w:t>
      </w:r>
    </w:p>
    <w:p w14:paraId="55A7793B" w14:textId="77777777" w:rsidR="0042797D" w:rsidRPr="009D0FA4" w:rsidRDefault="0042797D" w:rsidP="0042797D">
      <w:pPr>
        <w:spacing w:after="0" w:line="360" w:lineRule="auto"/>
        <w:jc w:val="right"/>
        <w:rPr>
          <w:rFonts w:ascii="Times New Roman" w:hAnsi="Times New Roman" w:cs="Times New Roman"/>
          <w:bCs/>
          <w:i/>
          <w:iCs/>
          <w:sz w:val="26"/>
          <w:szCs w:val="26"/>
        </w:rPr>
      </w:pPr>
      <w:r w:rsidRPr="009D0FA4">
        <w:rPr>
          <w:rFonts w:ascii="Times New Roman" w:hAnsi="Times New Roman" w:cs="Times New Roman"/>
          <w:bCs/>
          <w:i/>
          <w:iCs/>
          <w:sz w:val="26"/>
          <w:szCs w:val="26"/>
        </w:rPr>
        <w:t>Đvt: Triệu đồng</w:t>
      </w:r>
    </w:p>
    <w:tbl>
      <w:tblPr>
        <w:tblW w:w="11430" w:type="dxa"/>
        <w:tblInd w:w="-1355" w:type="dxa"/>
        <w:tblLook w:val="04A0" w:firstRow="1" w:lastRow="0" w:firstColumn="1" w:lastColumn="0" w:noHBand="0" w:noVBand="1"/>
      </w:tblPr>
      <w:tblGrid>
        <w:gridCol w:w="1869"/>
        <w:gridCol w:w="931"/>
        <w:gridCol w:w="968"/>
        <w:gridCol w:w="892"/>
        <w:gridCol w:w="862"/>
        <w:gridCol w:w="891"/>
        <w:gridCol w:w="878"/>
        <w:gridCol w:w="964"/>
        <w:gridCol w:w="1015"/>
        <w:gridCol w:w="1088"/>
        <w:gridCol w:w="1072"/>
      </w:tblGrid>
      <w:tr w:rsidR="0042797D" w:rsidRPr="008C549F" w14:paraId="302BD80E" w14:textId="77777777" w:rsidTr="002F73B2">
        <w:trPr>
          <w:trHeight w:val="588"/>
        </w:trPr>
        <w:tc>
          <w:tcPr>
            <w:tcW w:w="1869" w:type="dxa"/>
            <w:tcBorders>
              <w:top w:val="single" w:sz="4" w:space="0" w:color="auto"/>
              <w:left w:val="single" w:sz="4" w:space="0" w:color="auto"/>
              <w:bottom w:val="single" w:sz="4" w:space="0" w:color="auto"/>
              <w:right w:val="single" w:sz="4" w:space="0" w:color="auto"/>
            </w:tcBorders>
            <w:noWrap/>
            <w:vAlign w:val="center"/>
            <w:hideMark/>
          </w:tcPr>
          <w:p w14:paraId="14E2BF00" w14:textId="77777777" w:rsidR="0042797D" w:rsidRPr="005459C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Chỉ tiêu</w:t>
            </w:r>
          </w:p>
        </w:tc>
        <w:tc>
          <w:tcPr>
            <w:tcW w:w="1899" w:type="dxa"/>
            <w:gridSpan w:val="2"/>
            <w:tcBorders>
              <w:top w:val="single" w:sz="4" w:space="0" w:color="auto"/>
              <w:left w:val="nil"/>
              <w:bottom w:val="single" w:sz="4" w:space="0" w:color="auto"/>
              <w:right w:val="single" w:sz="4" w:space="0" w:color="000000"/>
            </w:tcBorders>
            <w:noWrap/>
            <w:vAlign w:val="center"/>
            <w:hideMark/>
          </w:tcPr>
          <w:p w14:paraId="59C6326C"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2023</w:t>
            </w:r>
          </w:p>
        </w:tc>
        <w:tc>
          <w:tcPr>
            <w:tcW w:w="1754" w:type="dxa"/>
            <w:gridSpan w:val="2"/>
            <w:tcBorders>
              <w:top w:val="single" w:sz="4" w:space="0" w:color="auto"/>
              <w:left w:val="nil"/>
              <w:bottom w:val="single" w:sz="4" w:space="0" w:color="auto"/>
              <w:right w:val="single" w:sz="4" w:space="0" w:color="000000"/>
            </w:tcBorders>
            <w:noWrap/>
            <w:vAlign w:val="center"/>
            <w:hideMark/>
          </w:tcPr>
          <w:p w14:paraId="238947C1"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2024</w:t>
            </w:r>
          </w:p>
        </w:tc>
        <w:tc>
          <w:tcPr>
            <w:tcW w:w="1769" w:type="dxa"/>
            <w:gridSpan w:val="2"/>
            <w:tcBorders>
              <w:top w:val="single" w:sz="4" w:space="0" w:color="auto"/>
              <w:left w:val="nil"/>
              <w:bottom w:val="single" w:sz="4" w:space="0" w:color="auto"/>
              <w:right w:val="single" w:sz="4" w:space="0" w:color="000000"/>
            </w:tcBorders>
            <w:noWrap/>
            <w:vAlign w:val="center"/>
            <w:hideMark/>
          </w:tcPr>
          <w:p w14:paraId="64928DE1"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2025</w:t>
            </w:r>
          </w:p>
        </w:tc>
        <w:tc>
          <w:tcPr>
            <w:tcW w:w="1979" w:type="dxa"/>
            <w:gridSpan w:val="2"/>
            <w:tcBorders>
              <w:top w:val="single" w:sz="4" w:space="0" w:color="auto"/>
              <w:left w:val="nil"/>
              <w:bottom w:val="single" w:sz="4" w:space="0" w:color="auto"/>
              <w:right w:val="single" w:sz="4" w:space="0" w:color="000000"/>
            </w:tcBorders>
            <w:noWrap/>
            <w:vAlign w:val="center"/>
            <w:hideMark/>
          </w:tcPr>
          <w:p w14:paraId="6559D79D"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Chênh lệch 2024/2023</w:t>
            </w:r>
          </w:p>
        </w:tc>
        <w:tc>
          <w:tcPr>
            <w:tcW w:w="2160" w:type="dxa"/>
            <w:gridSpan w:val="2"/>
            <w:tcBorders>
              <w:top w:val="single" w:sz="4" w:space="0" w:color="auto"/>
              <w:left w:val="nil"/>
              <w:bottom w:val="single" w:sz="4" w:space="0" w:color="auto"/>
              <w:right w:val="single" w:sz="4" w:space="0" w:color="000000"/>
            </w:tcBorders>
            <w:noWrap/>
            <w:vAlign w:val="center"/>
            <w:hideMark/>
          </w:tcPr>
          <w:p w14:paraId="42B18AEF"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Chênh lệch 2025/2024</w:t>
            </w:r>
          </w:p>
        </w:tc>
      </w:tr>
      <w:tr w:rsidR="0042797D" w:rsidRPr="008C549F" w14:paraId="0A2CF7C7" w14:textId="77777777" w:rsidTr="002F73B2">
        <w:trPr>
          <w:trHeight w:val="588"/>
        </w:trPr>
        <w:tc>
          <w:tcPr>
            <w:tcW w:w="1869" w:type="dxa"/>
            <w:tcBorders>
              <w:top w:val="nil"/>
              <w:left w:val="single" w:sz="4" w:space="0" w:color="auto"/>
              <w:bottom w:val="single" w:sz="4" w:space="0" w:color="auto"/>
              <w:right w:val="single" w:sz="4" w:space="0" w:color="auto"/>
            </w:tcBorders>
            <w:noWrap/>
            <w:vAlign w:val="center"/>
            <w:hideMark/>
          </w:tcPr>
          <w:p w14:paraId="1D0C53C6"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 </w:t>
            </w:r>
          </w:p>
        </w:tc>
        <w:tc>
          <w:tcPr>
            <w:tcW w:w="931" w:type="dxa"/>
            <w:tcBorders>
              <w:top w:val="nil"/>
              <w:left w:val="nil"/>
              <w:bottom w:val="single" w:sz="4" w:space="0" w:color="auto"/>
              <w:right w:val="single" w:sz="4" w:space="0" w:color="auto"/>
            </w:tcBorders>
            <w:noWrap/>
            <w:vAlign w:val="center"/>
            <w:hideMark/>
          </w:tcPr>
          <w:p w14:paraId="7CF69FBA"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Giá trị</w:t>
            </w:r>
          </w:p>
        </w:tc>
        <w:tc>
          <w:tcPr>
            <w:tcW w:w="968" w:type="dxa"/>
            <w:tcBorders>
              <w:top w:val="nil"/>
              <w:left w:val="nil"/>
              <w:bottom w:val="single" w:sz="4" w:space="0" w:color="auto"/>
              <w:right w:val="single" w:sz="4" w:space="0" w:color="auto"/>
            </w:tcBorders>
            <w:noWrap/>
            <w:vAlign w:val="center"/>
            <w:hideMark/>
          </w:tcPr>
          <w:p w14:paraId="1C5AA9BE"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xml:space="preserve">Tỷ trọng </w:t>
            </w:r>
          </w:p>
        </w:tc>
        <w:tc>
          <w:tcPr>
            <w:tcW w:w="892" w:type="dxa"/>
            <w:tcBorders>
              <w:top w:val="nil"/>
              <w:left w:val="nil"/>
              <w:bottom w:val="single" w:sz="4" w:space="0" w:color="auto"/>
              <w:right w:val="single" w:sz="4" w:space="0" w:color="auto"/>
            </w:tcBorders>
            <w:noWrap/>
            <w:vAlign w:val="center"/>
            <w:hideMark/>
          </w:tcPr>
          <w:p w14:paraId="5D2EAB93"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Giá trị</w:t>
            </w:r>
          </w:p>
        </w:tc>
        <w:tc>
          <w:tcPr>
            <w:tcW w:w="862" w:type="dxa"/>
            <w:tcBorders>
              <w:top w:val="nil"/>
              <w:left w:val="nil"/>
              <w:bottom w:val="single" w:sz="4" w:space="0" w:color="auto"/>
              <w:right w:val="single" w:sz="4" w:space="0" w:color="auto"/>
            </w:tcBorders>
            <w:noWrap/>
            <w:vAlign w:val="center"/>
            <w:hideMark/>
          </w:tcPr>
          <w:p w14:paraId="6279002A"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xml:space="preserve">Tỷ trọng </w:t>
            </w:r>
          </w:p>
        </w:tc>
        <w:tc>
          <w:tcPr>
            <w:tcW w:w="891" w:type="dxa"/>
            <w:tcBorders>
              <w:top w:val="nil"/>
              <w:left w:val="nil"/>
              <w:bottom w:val="single" w:sz="4" w:space="0" w:color="auto"/>
              <w:right w:val="single" w:sz="4" w:space="0" w:color="auto"/>
            </w:tcBorders>
            <w:noWrap/>
            <w:vAlign w:val="center"/>
            <w:hideMark/>
          </w:tcPr>
          <w:p w14:paraId="57083C53"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Giá trị</w:t>
            </w:r>
          </w:p>
        </w:tc>
        <w:tc>
          <w:tcPr>
            <w:tcW w:w="878" w:type="dxa"/>
            <w:tcBorders>
              <w:top w:val="nil"/>
              <w:left w:val="nil"/>
              <w:bottom w:val="single" w:sz="4" w:space="0" w:color="auto"/>
              <w:right w:val="single" w:sz="4" w:space="0" w:color="auto"/>
            </w:tcBorders>
            <w:noWrap/>
            <w:vAlign w:val="center"/>
            <w:hideMark/>
          </w:tcPr>
          <w:p w14:paraId="71FF19A9"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xml:space="preserve">Tỷ trọng </w:t>
            </w:r>
          </w:p>
        </w:tc>
        <w:tc>
          <w:tcPr>
            <w:tcW w:w="964" w:type="dxa"/>
            <w:tcBorders>
              <w:top w:val="nil"/>
              <w:left w:val="nil"/>
              <w:bottom w:val="single" w:sz="4" w:space="0" w:color="auto"/>
              <w:right w:val="single" w:sz="4" w:space="0" w:color="auto"/>
            </w:tcBorders>
            <w:noWrap/>
            <w:vAlign w:val="center"/>
            <w:hideMark/>
          </w:tcPr>
          <w:p w14:paraId="62885C9B"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Số tiền</w:t>
            </w:r>
          </w:p>
        </w:tc>
        <w:tc>
          <w:tcPr>
            <w:tcW w:w="1015" w:type="dxa"/>
            <w:tcBorders>
              <w:top w:val="nil"/>
              <w:left w:val="nil"/>
              <w:bottom w:val="single" w:sz="4" w:space="0" w:color="auto"/>
              <w:right w:val="single" w:sz="4" w:space="0" w:color="auto"/>
            </w:tcBorders>
            <w:noWrap/>
            <w:vAlign w:val="center"/>
            <w:hideMark/>
          </w:tcPr>
          <w:p w14:paraId="24559C06"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xml:space="preserve">Tỷ lệ </w:t>
            </w:r>
          </w:p>
        </w:tc>
        <w:tc>
          <w:tcPr>
            <w:tcW w:w="1088" w:type="dxa"/>
            <w:tcBorders>
              <w:top w:val="nil"/>
              <w:left w:val="nil"/>
              <w:bottom w:val="single" w:sz="4" w:space="0" w:color="auto"/>
              <w:right w:val="single" w:sz="4" w:space="0" w:color="auto"/>
            </w:tcBorders>
            <w:noWrap/>
            <w:vAlign w:val="center"/>
            <w:hideMark/>
          </w:tcPr>
          <w:p w14:paraId="034F535F"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Số tiền</w:t>
            </w:r>
          </w:p>
        </w:tc>
        <w:tc>
          <w:tcPr>
            <w:tcW w:w="1072" w:type="dxa"/>
            <w:tcBorders>
              <w:top w:val="nil"/>
              <w:left w:val="nil"/>
              <w:bottom w:val="single" w:sz="4" w:space="0" w:color="auto"/>
              <w:right w:val="single" w:sz="4" w:space="0" w:color="auto"/>
            </w:tcBorders>
            <w:noWrap/>
            <w:vAlign w:val="center"/>
            <w:hideMark/>
          </w:tcPr>
          <w:p w14:paraId="153E180A"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xml:space="preserve">Tỷ lệ </w:t>
            </w:r>
          </w:p>
        </w:tc>
      </w:tr>
      <w:tr w:rsidR="0042797D" w:rsidRPr="008C549F" w14:paraId="6A65B404"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7A2A43FD" w14:textId="77777777" w:rsidR="0042797D" w:rsidRPr="005459C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TÌNH HÌNH THU NHẬP</w:t>
            </w:r>
          </w:p>
        </w:tc>
        <w:tc>
          <w:tcPr>
            <w:tcW w:w="931" w:type="dxa"/>
            <w:tcBorders>
              <w:top w:val="nil"/>
              <w:left w:val="nil"/>
              <w:bottom w:val="single" w:sz="4" w:space="0" w:color="auto"/>
              <w:right w:val="single" w:sz="4" w:space="0" w:color="auto"/>
            </w:tcBorders>
            <w:noWrap/>
            <w:vAlign w:val="center"/>
            <w:hideMark/>
          </w:tcPr>
          <w:p w14:paraId="427F31AD"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968" w:type="dxa"/>
            <w:tcBorders>
              <w:top w:val="nil"/>
              <w:left w:val="nil"/>
              <w:bottom w:val="single" w:sz="4" w:space="0" w:color="auto"/>
              <w:right w:val="single" w:sz="4" w:space="0" w:color="auto"/>
            </w:tcBorders>
            <w:noWrap/>
            <w:vAlign w:val="center"/>
            <w:hideMark/>
          </w:tcPr>
          <w:p w14:paraId="24A1A1ED"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92" w:type="dxa"/>
            <w:tcBorders>
              <w:top w:val="nil"/>
              <w:left w:val="nil"/>
              <w:bottom w:val="single" w:sz="4" w:space="0" w:color="auto"/>
              <w:right w:val="single" w:sz="4" w:space="0" w:color="auto"/>
            </w:tcBorders>
            <w:noWrap/>
            <w:vAlign w:val="center"/>
            <w:hideMark/>
          </w:tcPr>
          <w:p w14:paraId="67CDC009"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62" w:type="dxa"/>
            <w:tcBorders>
              <w:top w:val="nil"/>
              <w:left w:val="nil"/>
              <w:bottom w:val="single" w:sz="4" w:space="0" w:color="auto"/>
              <w:right w:val="single" w:sz="4" w:space="0" w:color="auto"/>
            </w:tcBorders>
            <w:noWrap/>
            <w:vAlign w:val="center"/>
            <w:hideMark/>
          </w:tcPr>
          <w:p w14:paraId="5B4D0949"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 </w:t>
            </w:r>
          </w:p>
        </w:tc>
        <w:tc>
          <w:tcPr>
            <w:tcW w:w="891" w:type="dxa"/>
            <w:tcBorders>
              <w:top w:val="nil"/>
              <w:left w:val="nil"/>
              <w:bottom w:val="single" w:sz="4" w:space="0" w:color="auto"/>
              <w:right w:val="single" w:sz="4" w:space="0" w:color="auto"/>
            </w:tcBorders>
            <w:noWrap/>
            <w:vAlign w:val="center"/>
            <w:hideMark/>
          </w:tcPr>
          <w:p w14:paraId="356A2490"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 </w:t>
            </w:r>
          </w:p>
        </w:tc>
        <w:tc>
          <w:tcPr>
            <w:tcW w:w="878" w:type="dxa"/>
            <w:tcBorders>
              <w:top w:val="nil"/>
              <w:left w:val="nil"/>
              <w:bottom w:val="single" w:sz="4" w:space="0" w:color="auto"/>
              <w:right w:val="single" w:sz="4" w:space="0" w:color="auto"/>
            </w:tcBorders>
            <w:noWrap/>
            <w:vAlign w:val="center"/>
            <w:hideMark/>
          </w:tcPr>
          <w:p w14:paraId="4409897F"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 </w:t>
            </w:r>
          </w:p>
        </w:tc>
        <w:tc>
          <w:tcPr>
            <w:tcW w:w="964" w:type="dxa"/>
            <w:tcBorders>
              <w:top w:val="nil"/>
              <w:left w:val="nil"/>
              <w:bottom w:val="single" w:sz="4" w:space="0" w:color="auto"/>
              <w:right w:val="single" w:sz="4" w:space="0" w:color="auto"/>
            </w:tcBorders>
            <w:noWrap/>
            <w:vAlign w:val="center"/>
            <w:hideMark/>
          </w:tcPr>
          <w:p w14:paraId="3CEC972B"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1015" w:type="dxa"/>
            <w:tcBorders>
              <w:top w:val="nil"/>
              <w:left w:val="nil"/>
              <w:bottom w:val="single" w:sz="4" w:space="0" w:color="auto"/>
              <w:right w:val="single" w:sz="4" w:space="0" w:color="auto"/>
            </w:tcBorders>
            <w:noWrap/>
            <w:vAlign w:val="center"/>
            <w:hideMark/>
          </w:tcPr>
          <w:p w14:paraId="5B7011C7"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1088" w:type="dxa"/>
            <w:tcBorders>
              <w:top w:val="nil"/>
              <w:left w:val="nil"/>
              <w:bottom w:val="single" w:sz="4" w:space="0" w:color="auto"/>
              <w:right w:val="single" w:sz="4" w:space="0" w:color="auto"/>
            </w:tcBorders>
            <w:noWrap/>
            <w:vAlign w:val="center"/>
            <w:hideMark/>
          </w:tcPr>
          <w:p w14:paraId="7566F23B" w14:textId="77777777" w:rsidR="0042797D" w:rsidRPr="005459C2" w:rsidRDefault="0042797D" w:rsidP="002F73B2">
            <w:pPr>
              <w:spacing w:after="0" w:line="240" w:lineRule="auto"/>
              <w:rPr>
                <w:rFonts w:ascii="Calibri" w:eastAsia="Times New Roman" w:hAnsi="Calibri" w:cs="Calibri"/>
                <w:color w:val="000000"/>
                <w:kern w:val="0"/>
                <w:sz w:val="22"/>
                <w:szCs w:val="22"/>
                <w14:ligatures w14:val="none"/>
              </w:rPr>
            </w:pPr>
            <w:r w:rsidRPr="005459C2">
              <w:rPr>
                <w:rFonts w:ascii="Calibri" w:eastAsia="Times New Roman" w:hAnsi="Calibri" w:cs="Calibri"/>
                <w:color w:val="000000"/>
                <w:kern w:val="0"/>
                <w:sz w:val="22"/>
                <w:szCs w:val="22"/>
                <w14:ligatures w14:val="none"/>
              </w:rPr>
              <w:t> </w:t>
            </w:r>
          </w:p>
        </w:tc>
        <w:tc>
          <w:tcPr>
            <w:tcW w:w="1072" w:type="dxa"/>
            <w:tcBorders>
              <w:top w:val="nil"/>
              <w:left w:val="nil"/>
              <w:bottom w:val="single" w:sz="4" w:space="0" w:color="auto"/>
              <w:right w:val="single" w:sz="4" w:space="0" w:color="auto"/>
            </w:tcBorders>
            <w:noWrap/>
            <w:vAlign w:val="center"/>
            <w:hideMark/>
          </w:tcPr>
          <w:p w14:paraId="0967B3B4" w14:textId="77777777" w:rsidR="0042797D" w:rsidRPr="005459C2" w:rsidRDefault="0042797D" w:rsidP="002F73B2">
            <w:pPr>
              <w:spacing w:after="0" w:line="240" w:lineRule="auto"/>
              <w:rPr>
                <w:rFonts w:ascii="Calibri" w:eastAsia="Times New Roman" w:hAnsi="Calibri" w:cs="Calibri"/>
                <w:color w:val="000000"/>
                <w:kern w:val="0"/>
                <w:sz w:val="22"/>
                <w:szCs w:val="22"/>
                <w14:ligatures w14:val="none"/>
              </w:rPr>
            </w:pPr>
            <w:r w:rsidRPr="005459C2">
              <w:rPr>
                <w:rFonts w:ascii="Calibri" w:eastAsia="Times New Roman" w:hAnsi="Calibri" w:cs="Calibri"/>
                <w:color w:val="000000"/>
                <w:kern w:val="0"/>
                <w:sz w:val="22"/>
                <w:szCs w:val="22"/>
                <w14:ligatures w14:val="none"/>
              </w:rPr>
              <w:t> </w:t>
            </w:r>
          </w:p>
        </w:tc>
      </w:tr>
      <w:tr w:rsidR="0042797D" w:rsidRPr="008C549F" w14:paraId="411DC423"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5AB7DD0F" w14:textId="77777777" w:rsidR="0042797D" w:rsidRPr="005459C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Tổng nhu nhập</w:t>
            </w:r>
          </w:p>
        </w:tc>
        <w:tc>
          <w:tcPr>
            <w:tcW w:w="931" w:type="dxa"/>
            <w:tcBorders>
              <w:top w:val="nil"/>
              <w:left w:val="nil"/>
              <w:bottom w:val="single" w:sz="4" w:space="0" w:color="auto"/>
              <w:right w:val="single" w:sz="4" w:space="0" w:color="auto"/>
            </w:tcBorders>
            <w:noWrap/>
            <w:vAlign w:val="center"/>
            <w:hideMark/>
          </w:tcPr>
          <w:p w14:paraId="5AA87FF5"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78.4898</w:t>
            </w:r>
          </w:p>
        </w:tc>
        <w:tc>
          <w:tcPr>
            <w:tcW w:w="968" w:type="dxa"/>
            <w:tcBorders>
              <w:top w:val="nil"/>
              <w:left w:val="nil"/>
              <w:bottom w:val="single" w:sz="4" w:space="0" w:color="auto"/>
              <w:right w:val="single" w:sz="4" w:space="0" w:color="auto"/>
            </w:tcBorders>
            <w:noWrap/>
            <w:vAlign w:val="center"/>
            <w:hideMark/>
          </w:tcPr>
          <w:p w14:paraId="0D41CF58"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100%</w:t>
            </w:r>
          </w:p>
        </w:tc>
        <w:tc>
          <w:tcPr>
            <w:tcW w:w="892" w:type="dxa"/>
            <w:tcBorders>
              <w:top w:val="nil"/>
              <w:left w:val="nil"/>
              <w:bottom w:val="single" w:sz="4" w:space="0" w:color="auto"/>
              <w:right w:val="single" w:sz="4" w:space="0" w:color="auto"/>
            </w:tcBorders>
            <w:noWrap/>
            <w:vAlign w:val="center"/>
            <w:hideMark/>
          </w:tcPr>
          <w:p w14:paraId="30BC27AE"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88.061</w:t>
            </w:r>
          </w:p>
        </w:tc>
        <w:tc>
          <w:tcPr>
            <w:tcW w:w="862" w:type="dxa"/>
            <w:tcBorders>
              <w:top w:val="nil"/>
              <w:left w:val="nil"/>
              <w:bottom w:val="single" w:sz="4" w:space="0" w:color="auto"/>
              <w:right w:val="single" w:sz="4" w:space="0" w:color="auto"/>
            </w:tcBorders>
            <w:noWrap/>
            <w:vAlign w:val="center"/>
            <w:hideMark/>
          </w:tcPr>
          <w:p w14:paraId="3D4B0757"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100%</w:t>
            </w:r>
          </w:p>
        </w:tc>
        <w:tc>
          <w:tcPr>
            <w:tcW w:w="891" w:type="dxa"/>
            <w:tcBorders>
              <w:top w:val="nil"/>
              <w:left w:val="nil"/>
              <w:bottom w:val="single" w:sz="4" w:space="0" w:color="auto"/>
              <w:right w:val="single" w:sz="4" w:space="0" w:color="auto"/>
            </w:tcBorders>
            <w:noWrap/>
            <w:vAlign w:val="center"/>
            <w:hideMark/>
          </w:tcPr>
          <w:p w14:paraId="0265793D"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99.427</w:t>
            </w:r>
          </w:p>
        </w:tc>
        <w:tc>
          <w:tcPr>
            <w:tcW w:w="878" w:type="dxa"/>
            <w:tcBorders>
              <w:top w:val="nil"/>
              <w:left w:val="nil"/>
              <w:bottom w:val="single" w:sz="4" w:space="0" w:color="auto"/>
              <w:right w:val="single" w:sz="4" w:space="0" w:color="auto"/>
            </w:tcBorders>
            <w:noWrap/>
            <w:vAlign w:val="center"/>
            <w:hideMark/>
          </w:tcPr>
          <w:p w14:paraId="09E8CA77"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100%</w:t>
            </w:r>
          </w:p>
        </w:tc>
        <w:tc>
          <w:tcPr>
            <w:tcW w:w="964" w:type="dxa"/>
            <w:tcBorders>
              <w:top w:val="nil"/>
              <w:left w:val="nil"/>
              <w:bottom w:val="single" w:sz="4" w:space="0" w:color="auto"/>
              <w:right w:val="single" w:sz="4" w:space="0" w:color="auto"/>
            </w:tcBorders>
            <w:noWrap/>
            <w:vAlign w:val="center"/>
            <w:hideMark/>
          </w:tcPr>
          <w:p w14:paraId="42ABFEA4"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9.571</w:t>
            </w:r>
          </w:p>
        </w:tc>
        <w:tc>
          <w:tcPr>
            <w:tcW w:w="1015" w:type="dxa"/>
            <w:tcBorders>
              <w:top w:val="nil"/>
              <w:left w:val="nil"/>
              <w:bottom w:val="single" w:sz="4" w:space="0" w:color="auto"/>
              <w:right w:val="single" w:sz="4" w:space="0" w:color="auto"/>
            </w:tcBorders>
            <w:noWrap/>
            <w:vAlign w:val="center"/>
            <w:hideMark/>
          </w:tcPr>
          <w:p w14:paraId="5B54A804"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12.19</w:t>
            </w:r>
          </w:p>
        </w:tc>
        <w:tc>
          <w:tcPr>
            <w:tcW w:w="1088" w:type="dxa"/>
            <w:tcBorders>
              <w:top w:val="nil"/>
              <w:left w:val="nil"/>
              <w:bottom w:val="single" w:sz="4" w:space="0" w:color="auto"/>
              <w:right w:val="single" w:sz="4" w:space="0" w:color="auto"/>
            </w:tcBorders>
            <w:noWrap/>
            <w:vAlign w:val="center"/>
            <w:hideMark/>
          </w:tcPr>
          <w:p w14:paraId="59BE9930"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11.365</w:t>
            </w:r>
          </w:p>
        </w:tc>
        <w:tc>
          <w:tcPr>
            <w:tcW w:w="1072" w:type="dxa"/>
            <w:tcBorders>
              <w:top w:val="nil"/>
              <w:left w:val="nil"/>
              <w:bottom w:val="single" w:sz="4" w:space="0" w:color="auto"/>
              <w:right w:val="single" w:sz="4" w:space="0" w:color="auto"/>
            </w:tcBorders>
            <w:noWrap/>
            <w:vAlign w:val="center"/>
            <w:hideMark/>
          </w:tcPr>
          <w:p w14:paraId="0007AA52"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12.91</w:t>
            </w:r>
          </w:p>
        </w:tc>
      </w:tr>
      <w:tr w:rsidR="0042797D" w:rsidRPr="008C549F" w14:paraId="1BCE5599"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2DFA3CF9"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Thu nhập từ lãi</w:t>
            </w:r>
          </w:p>
        </w:tc>
        <w:tc>
          <w:tcPr>
            <w:tcW w:w="931" w:type="dxa"/>
            <w:tcBorders>
              <w:top w:val="nil"/>
              <w:left w:val="nil"/>
              <w:bottom w:val="single" w:sz="4" w:space="0" w:color="auto"/>
              <w:right w:val="single" w:sz="4" w:space="0" w:color="auto"/>
            </w:tcBorders>
            <w:noWrap/>
            <w:vAlign w:val="center"/>
            <w:hideMark/>
          </w:tcPr>
          <w:p w14:paraId="7401DDCB"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68.027</w:t>
            </w:r>
          </w:p>
        </w:tc>
        <w:tc>
          <w:tcPr>
            <w:tcW w:w="968" w:type="dxa"/>
            <w:tcBorders>
              <w:top w:val="nil"/>
              <w:left w:val="nil"/>
              <w:bottom w:val="single" w:sz="4" w:space="0" w:color="auto"/>
              <w:right w:val="single" w:sz="4" w:space="0" w:color="auto"/>
            </w:tcBorders>
            <w:noWrap/>
            <w:vAlign w:val="center"/>
            <w:hideMark/>
          </w:tcPr>
          <w:p w14:paraId="06A69D93"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86.7%</w:t>
            </w:r>
          </w:p>
        </w:tc>
        <w:tc>
          <w:tcPr>
            <w:tcW w:w="892" w:type="dxa"/>
            <w:tcBorders>
              <w:top w:val="nil"/>
              <w:left w:val="nil"/>
              <w:bottom w:val="single" w:sz="4" w:space="0" w:color="auto"/>
              <w:right w:val="single" w:sz="4" w:space="0" w:color="auto"/>
            </w:tcBorders>
            <w:noWrap/>
            <w:vAlign w:val="center"/>
            <w:hideMark/>
          </w:tcPr>
          <w:p w14:paraId="40F7C860"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76.220</w:t>
            </w:r>
          </w:p>
        </w:tc>
        <w:tc>
          <w:tcPr>
            <w:tcW w:w="862" w:type="dxa"/>
            <w:tcBorders>
              <w:top w:val="nil"/>
              <w:left w:val="nil"/>
              <w:bottom w:val="single" w:sz="4" w:space="0" w:color="auto"/>
              <w:right w:val="single" w:sz="4" w:space="0" w:color="auto"/>
            </w:tcBorders>
            <w:noWrap/>
            <w:vAlign w:val="center"/>
            <w:hideMark/>
          </w:tcPr>
          <w:p w14:paraId="7CCED8A6"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86.6%</w:t>
            </w:r>
          </w:p>
        </w:tc>
        <w:tc>
          <w:tcPr>
            <w:tcW w:w="891" w:type="dxa"/>
            <w:tcBorders>
              <w:top w:val="nil"/>
              <w:left w:val="nil"/>
              <w:bottom w:val="single" w:sz="4" w:space="0" w:color="auto"/>
              <w:right w:val="single" w:sz="4" w:space="0" w:color="auto"/>
            </w:tcBorders>
            <w:noWrap/>
            <w:vAlign w:val="center"/>
            <w:hideMark/>
          </w:tcPr>
          <w:p w14:paraId="265A46FA"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86.143</w:t>
            </w:r>
          </w:p>
        </w:tc>
        <w:tc>
          <w:tcPr>
            <w:tcW w:w="878" w:type="dxa"/>
            <w:tcBorders>
              <w:top w:val="nil"/>
              <w:left w:val="nil"/>
              <w:bottom w:val="single" w:sz="4" w:space="0" w:color="auto"/>
              <w:right w:val="single" w:sz="4" w:space="0" w:color="auto"/>
            </w:tcBorders>
            <w:noWrap/>
            <w:vAlign w:val="center"/>
            <w:hideMark/>
          </w:tcPr>
          <w:p w14:paraId="7061A33C"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86.6%</w:t>
            </w:r>
          </w:p>
        </w:tc>
        <w:tc>
          <w:tcPr>
            <w:tcW w:w="964" w:type="dxa"/>
            <w:tcBorders>
              <w:top w:val="nil"/>
              <w:left w:val="nil"/>
              <w:bottom w:val="single" w:sz="4" w:space="0" w:color="auto"/>
              <w:right w:val="single" w:sz="4" w:space="0" w:color="auto"/>
            </w:tcBorders>
            <w:noWrap/>
            <w:vAlign w:val="center"/>
            <w:hideMark/>
          </w:tcPr>
          <w:p w14:paraId="6CC01A66"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8.193</w:t>
            </w:r>
          </w:p>
        </w:tc>
        <w:tc>
          <w:tcPr>
            <w:tcW w:w="1015" w:type="dxa"/>
            <w:tcBorders>
              <w:top w:val="nil"/>
              <w:left w:val="nil"/>
              <w:bottom w:val="single" w:sz="4" w:space="0" w:color="auto"/>
              <w:right w:val="single" w:sz="4" w:space="0" w:color="auto"/>
            </w:tcBorders>
            <w:noWrap/>
            <w:vAlign w:val="center"/>
            <w:hideMark/>
          </w:tcPr>
          <w:p w14:paraId="20C1A096"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12.04</w:t>
            </w:r>
          </w:p>
        </w:tc>
        <w:tc>
          <w:tcPr>
            <w:tcW w:w="1088" w:type="dxa"/>
            <w:tcBorders>
              <w:top w:val="nil"/>
              <w:left w:val="nil"/>
              <w:bottom w:val="single" w:sz="4" w:space="0" w:color="auto"/>
              <w:right w:val="single" w:sz="4" w:space="0" w:color="auto"/>
            </w:tcBorders>
            <w:noWrap/>
            <w:vAlign w:val="center"/>
            <w:hideMark/>
          </w:tcPr>
          <w:p w14:paraId="3F3A52C4"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9.923</w:t>
            </w:r>
          </w:p>
        </w:tc>
        <w:tc>
          <w:tcPr>
            <w:tcW w:w="1072" w:type="dxa"/>
            <w:tcBorders>
              <w:top w:val="nil"/>
              <w:left w:val="nil"/>
              <w:bottom w:val="single" w:sz="4" w:space="0" w:color="auto"/>
              <w:right w:val="single" w:sz="4" w:space="0" w:color="auto"/>
            </w:tcBorders>
            <w:noWrap/>
            <w:vAlign w:val="center"/>
            <w:hideMark/>
          </w:tcPr>
          <w:p w14:paraId="3B85EC7D"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13.02</w:t>
            </w:r>
          </w:p>
        </w:tc>
      </w:tr>
      <w:tr w:rsidR="0042797D" w:rsidRPr="008C549F" w14:paraId="1204B8DA"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55B68E6C"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Thu nhập từ hoạt động dịch vụ</w:t>
            </w:r>
          </w:p>
        </w:tc>
        <w:tc>
          <w:tcPr>
            <w:tcW w:w="931" w:type="dxa"/>
            <w:tcBorders>
              <w:top w:val="nil"/>
              <w:left w:val="nil"/>
              <w:bottom w:val="single" w:sz="4" w:space="0" w:color="auto"/>
              <w:right w:val="single" w:sz="4" w:space="0" w:color="auto"/>
            </w:tcBorders>
            <w:noWrap/>
            <w:vAlign w:val="center"/>
            <w:hideMark/>
          </w:tcPr>
          <w:p w14:paraId="578295C8"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6.463</w:t>
            </w:r>
          </w:p>
        </w:tc>
        <w:tc>
          <w:tcPr>
            <w:tcW w:w="968" w:type="dxa"/>
            <w:tcBorders>
              <w:top w:val="nil"/>
              <w:left w:val="nil"/>
              <w:bottom w:val="single" w:sz="4" w:space="0" w:color="auto"/>
              <w:right w:val="single" w:sz="4" w:space="0" w:color="auto"/>
            </w:tcBorders>
            <w:noWrap/>
            <w:vAlign w:val="center"/>
            <w:hideMark/>
          </w:tcPr>
          <w:p w14:paraId="47B8FD9C"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8.2%</w:t>
            </w:r>
          </w:p>
        </w:tc>
        <w:tc>
          <w:tcPr>
            <w:tcW w:w="892" w:type="dxa"/>
            <w:tcBorders>
              <w:top w:val="nil"/>
              <w:left w:val="nil"/>
              <w:bottom w:val="single" w:sz="4" w:space="0" w:color="auto"/>
              <w:right w:val="single" w:sz="4" w:space="0" w:color="auto"/>
            </w:tcBorders>
            <w:noWrap/>
            <w:vAlign w:val="center"/>
            <w:hideMark/>
          </w:tcPr>
          <w:p w14:paraId="1EE62F5A"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7.241</w:t>
            </w:r>
          </w:p>
        </w:tc>
        <w:tc>
          <w:tcPr>
            <w:tcW w:w="862" w:type="dxa"/>
            <w:tcBorders>
              <w:top w:val="nil"/>
              <w:left w:val="nil"/>
              <w:bottom w:val="single" w:sz="4" w:space="0" w:color="auto"/>
              <w:right w:val="single" w:sz="4" w:space="0" w:color="auto"/>
            </w:tcBorders>
            <w:noWrap/>
            <w:vAlign w:val="center"/>
            <w:hideMark/>
          </w:tcPr>
          <w:p w14:paraId="7FB355D3"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8.2%</w:t>
            </w:r>
          </w:p>
        </w:tc>
        <w:tc>
          <w:tcPr>
            <w:tcW w:w="891" w:type="dxa"/>
            <w:tcBorders>
              <w:top w:val="nil"/>
              <w:left w:val="nil"/>
              <w:bottom w:val="single" w:sz="4" w:space="0" w:color="auto"/>
              <w:right w:val="single" w:sz="4" w:space="0" w:color="auto"/>
            </w:tcBorders>
            <w:noWrap/>
            <w:vAlign w:val="center"/>
            <w:hideMark/>
          </w:tcPr>
          <w:p w14:paraId="1DF08075"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8.184</w:t>
            </w:r>
          </w:p>
        </w:tc>
        <w:tc>
          <w:tcPr>
            <w:tcW w:w="878" w:type="dxa"/>
            <w:tcBorders>
              <w:top w:val="nil"/>
              <w:left w:val="nil"/>
              <w:bottom w:val="single" w:sz="4" w:space="0" w:color="auto"/>
              <w:right w:val="single" w:sz="4" w:space="0" w:color="auto"/>
            </w:tcBorders>
            <w:noWrap/>
            <w:vAlign w:val="center"/>
            <w:hideMark/>
          </w:tcPr>
          <w:p w14:paraId="2E7CC546"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8.2%</w:t>
            </w:r>
          </w:p>
        </w:tc>
        <w:tc>
          <w:tcPr>
            <w:tcW w:w="964" w:type="dxa"/>
            <w:tcBorders>
              <w:top w:val="nil"/>
              <w:left w:val="nil"/>
              <w:bottom w:val="single" w:sz="4" w:space="0" w:color="auto"/>
              <w:right w:val="single" w:sz="4" w:space="0" w:color="auto"/>
            </w:tcBorders>
            <w:noWrap/>
            <w:vAlign w:val="center"/>
            <w:hideMark/>
          </w:tcPr>
          <w:p w14:paraId="03A8CDD3"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0.778</w:t>
            </w:r>
          </w:p>
        </w:tc>
        <w:tc>
          <w:tcPr>
            <w:tcW w:w="1015" w:type="dxa"/>
            <w:tcBorders>
              <w:top w:val="nil"/>
              <w:left w:val="nil"/>
              <w:bottom w:val="single" w:sz="4" w:space="0" w:color="auto"/>
              <w:right w:val="single" w:sz="4" w:space="0" w:color="auto"/>
            </w:tcBorders>
            <w:noWrap/>
            <w:vAlign w:val="center"/>
            <w:hideMark/>
          </w:tcPr>
          <w:p w14:paraId="7DECBE63"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12.04</w:t>
            </w:r>
          </w:p>
        </w:tc>
        <w:tc>
          <w:tcPr>
            <w:tcW w:w="1088" w:type="dxa"/>
            <w:tcBorders>
              <w:top w:val="nil"/>
              <w:left w:val="nil"/>
              <w:bottom w:val="single" w:sz="4" w:space="0" w:color="auto"/>
              <w:right w:val="single" w:sz="4" w:space="0" w:color="auto"/>
            </w:tcBorders>
            <w:noWrap/>
            <w:vAlign w:val="center"/>
            <w:hideMark/>
          </w:tcPr>
          <w:p w14:paraId="7E50D8A4"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0.943</w:t>
            </w:r>
          </w:p>
        </w:tc>
        <w:tc>
          <w:tcPr>
            <w:tcW w:w="1072" w:type="dxa"/>
            <w:tcBorders>
              <w:top w:val="nil"/>
              <w:left w:val="nil"/>
              <w:bottom w:val="single" w:sz="4" w:space="0" w:color="auto"/>
              <w:right w:val="single" w:sz="4" w:space="0" w:color="auto"/>
            </w:tcBorders>
            <w:noWrap/>
            <w:vAlign w:val="center"/>
            <w:hideMark/>
          </w:tcPr>
          <w:p w14:paraId="7E94155E"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13.02</w:t>
            </w:r>
          </w:p>
        </w:tc>
      </w:tr>
      <w:tr w:rsidR="0042797D" w:rsidRPr="008C549F" w14:paraId="0C355ABE"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5A3446DB"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Thu nhập hoạt động khác</w:t>
            </w:r>
          </w:p>
        </w:tc>
        <w:tc>
          <w:tcPr>
            <w:tcW w:w="931" w:type="dxa"/>
            <w:tcBorders>
              <w:top w:val="nil"/>
              <w:left w:val="nil"/>
              <w:bottom w:val="single" w:sz="4" w:space="0" w:color="auto"/>
              <w:right w:val="single" w:sz="4" w:space="0" w:color="auto"/>
            </w:tcBorders>
            <w:noWrap/>
            <w:vAlign w:val="center"/>
            <w:hideMark/>
          </w:tcPr>
          <w:p w14:paraId="228F1A39"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4.0</w:t>
            </w:r>
          </w:p>
        </w:tc>
        <w:tc>
          <w:tcPr>
            <w:tcW w:w="968" w:type="dxa"/>
            <w:tcBorders>
              <w:top w:val="nil"/>
              <w:left w:val="nil"/>
              <w:bottom w:val="single" w:sz="4" w:space="0" w:color="auto"/>
              <w:right w:val="single" w:sz="4" w:space="0" w:color="auto"/>
            </w:tcBorders>
            <w:noWrap/>
            <w:vAlign w:val="center"/>
            <w:hideMark/>
          </w:tcPr>
          <w:p w14:paraId="66EDCE4D"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5.1%</w:t>
            </w:r>
          </w:p>
        </w:tc>
        <w:tc>
          <w:tcPr>
            <w:tcW w:w="892" w:type="dxa"/>
            <w:tcBorders>
              <w:top w:val="nil"/>
              <w:left w:val="nil"/>
              <w:bottom w:val="single" w:sz="4" w:space="0" w:color="auto"/>
              <w:right w:val="single" w:sz="4" w:space="0" w:color="auto"/>
            </w:tcBorders>
            <w:noWrap/>
            <w:vAlign w:val="center"/>
            <w:hideMark/>
          </w:tcPr>
          <w:p w14:paraId="4C1058C2"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4.6</w:t>
            </w:r>
          </w:p>
        </w:tc>
        <w:tc>
          <w:tcPr>
            <w:tcW w:w="862" w:type="dxa"/>
            <w:tcBorders>
              <w:top w:val="nil"/>
              <w:left w:val="nil"/>
              <w:bottom w:val="single" w:sz="4" w:space="0" w:color="auto"/>
              <w:right w:val="single" w:sz="4" w:space="0" w:color="auto"/>
            </w:tcBorders>
            <w:noWrap/>
            <w:vAlign w:val="center"/>
            <w:hideMark/>
          </w:tcPr>
          <w:p w14:paraId="2A29DCD3"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5.2%</w:t>
            </w:r>
          </w:p>
        </w:tc>
        <w:tc>
          <w:tcPr>
            <w:tcW w:w="891" w:type="dxa"/>
            <w:tcBorders>
              <w:top w:val="nil"/>
              <w:left w:val="nil"/>
              <w:bottom w:val="single" w:sz="4" w:space="0" w:color="auto"/>
              <w:right w:val="single" w:sz="4" w:space="0" w:color="auto"/>
            </w:tcBorders>
            <w:noWrap/>
            <w:vAlign w:val="center"/>
            <w:hideMark/>
          </w:tcPr>
          <w:p w14:paraId="23095608"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5.1</w:t>
            </w:r>
          </w:p>
        </w:tc>
        <w:tc>
          <w:tcPr>
            <w:tcW w:w="878" w:type="dxa"/>
            <w:tcBorders>
              <w:top w:val="nil"/>
              <w:left w:val="nil"/>
              <w:bottom w:val="single" w:sz="4" w:space="0" w:color="auto"/>
              <w:right w:val="single" w:sz="4" w:space="0" w:color="auto"/>
            </w:tcBorders>
            <w:noWrap/>
            <w:vAlign w:val="center"/>
            <w:hideMark/>
          </w:tcPr>
          <w:p w14:paraId="38364068"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5.1%</w:t>
            </w:r>
          </w:p>
        </w:tc>
        <w:tc>
          <w:tcPr>
            <w:tcW w:w="964" w:type="dxa"/>
            <w:tcBorders>
              <w:top w:val="nil"/>
              <w:left w:val="nil"/>
              <w:bottom w:val="single" w:sz="4" w:space="0" w:color="auto"/>
              <w:right w:val="single" w:sz="4" w:space="0" w:color="auto"/>
            </w:tcBorders>
            <w:noWrap/>
            <w:vAlign w:val="center"/>
            <w:hideMark/>
          </w:tcPr>
          <w:p w14:paraId="1451A4E9"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0.6</w:t>
            </w:r>
          </w:p>
        </w:tc>
        <w:tc>
          <w:tcPr>
            <w:tcW w:w="1015" w:type="dxa"/>
            <w:tcBorders>
              <w:top w:val="nil"/>
              <w:left w:val="nil"/>
              <w:bottom w:val="single" w:sz="4" w:space="0" w:color="auto"/>
              <w:right w:val="single" w:sz="4" w:space="0" w:color="auto"/>
            </w:tcBorders>
            <w:noWrap/>
            <w:vAlign w:val="center"/>
            <w:hideMark/>
          </w:tcPr>
          <w:p w14:paraId="1B302AEE"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15.00</w:t>
            </w:r>
          </w:p>
        </w:tc>
        <w:tc>
          <w:tcPr>
            <w:tcW w:w="1088" w:type="dxa"/>
            <w:tcBorders>
              <w:top w:val="nil"/>
              <w:left w:val="nil"/>
              <w:bottom w:val="single" w:sz="4" w:space="0" w:color="auto"/>
              <w:right w:val="single" w:sz="4" w:space="0" w:color="auto"/>
            </w:tcBorders>
            <w:noWrap/>
            <w:vAlign w:val="center"/>
            <w:hideMark/>
          </w:tcPr>
          <w:p w14:paraId="21EBAD5A"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0.5</w:t>
            </w:r>
          </w:p>
        </w:tc>
        <w:tc>
          <w:tcPr>
            <w:tcW w:w="1072" w:type="dxa"/>
            <w:tcBorders>
              <w:top w:val="nil"/>
              <w:left w:val="nil"/>
              <w:bottom w:val="single" w:sz="4" w:space="0" w:color="auto"/>
              <w:right w:val="single" w:sz="4" w:space="0" w:color="auto"/>
            </w:tcBorders>
            <w:noWrap/>
            <w:vAlign w:val="center"/>
            <w:hideMark/>
          </w:tcPr>
          <w:p w14:paraId="696614B5"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10.87</w:t>
            </w:r>
          </w:p>
        </w:tc>
      </w:tr>
      <w:tr w:rsidR="0042797D" w:rsidRPr="008C549F" w14:paraId="5EC7EB07"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75E6EF94" w14:textId="77777777" w:rsidR="0042797D" w:rsidRPr="005459C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TÌNH HÌNH CHI PHÍ</w:t>
            </w:r>
          </w:p>
        </w:tc>
        <w:tc>
          <w:tcPr>
            <w:tcW w:w="931" w:type="dxa"/>
            <w:tcBorders>
              <w:top w:val="nil"/>
              <w:left w:val="nil"/>
              <w:bottom w:val="single" w:sz="4" w:space="0" w:color="auto"/>
              <w:right w:val="single" w:sz="4" w:space="0" w:color="auto"/>
            </w:tcBorders>
            <w:noWrap/>
            <w:vAlign w:val="center"/>
            <w:hideMark/>
          </w:tcPr>
          <w:p w14:paraId="378208B0"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968" w:type="dxa"/>
            <w:tcBorders>
              <w:top w:val="nil"/>
              <w:left w:val="nil"/>
              <w:bottom w:val="single" w:sz="4" w:space="0" w:color="auto"/>
              <w:right w:val="single" w:sz="4" w:space="0" w:color="auto"/>
            </w:tcBorders>
            <w:noWrap/>
            <w:vAlign w:val="center"/>
            <w:hideMark/>
          </w:tcPr>
          <w:p w14:paraId="12940E99"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92" w:type="dxa"/>
            <w:tcBorders>
              <w:top w:val="nil"/>
              <w:left w:val="nil"/>
              <w:bottom w:val="single" w:sz="4" w:space="0" w:color="auto"/>
              <w:right w:val="single" w:sz="4" w:space="0" w:color="auto"/>
            </w:tcBorders>
            <w:noWrap/>
            <w:vAlign w:val="center"/>
            <w:hideMark/>
          </w:tcPr>
          <w:p w14:paraId="5500C212"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62" w:type="dxa"/>
            <w:tcBorders>
              <w:top w:val="nil"/>
              <w:left w:val="nil"/>
              <w:bottom w:val="single" w:sz="4" w:space="0" w:color="auto"/>
              <w:right w:val="single" w:sz="4" w:space="0" w:color="auto"/>
            </w:tcBorders>
            <w:noWrap/>
            <w:vAlign w:val="center"/>
            <w:hideMark/>
          </w:tcPr>
          <w:p w14:paraId="1922191D"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91" w:type="dxa"/>
            <w:tcBorders>
              <w:top w:val="nil"/>
              <w:left w:val="nil"/>
              <w:bottom w:val="single" w:sz="4" w:space="0" w:color="auto"/>
              <w:right w:val="single" w:sz="4" w:space="0" w:color="auto"/>
            </w:tcBorders>
            <w:noWrap/>
            <w:vAlign w:val="center"/>
            <w:hideMark/>
          </w:tcPr>
          <w:p w14:paraId="4C2A2894"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78" w:type="dxa"/>
            <w:tcBorders>
              <w:top w:val="nil"/>
              <w:left w:val="nil"/>
              <w:bottom w:val="single" w:sz="4" w:space="0" w:color="auto"/>
              <w:right w:val="single" w:sz="4" w:space="0" w:color="auto"/>
            </w:tcBorders>
            <w:noWrap/>
            <w:vAlign w:val="center"/>
            <w:hideMark/>
          </w:tcPr>
          <w:p w14:paraId="086394B4"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964" w:type="dxa"/>
            <w:tcBorders>
              <w:top w:val="nil"/>
              <w:left w:val="nil"/>
              <w:bottom w:val="single" w:sz="4" w:space="0" w:color="auto"/>
              <w:right w:val="single" w:sz="4" w:space="0" w:color="auto"/>
            </w:tcBorders>
            <w:noWrap/>
            <w:vAlign w:val="center"/>
            <w:hideMark/>
          </w:tcPr>
          <w:p w14:paraId="6F4C762F"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 </w:t>
            </w:r>
          </w:p>
        </w:tc>
        <w:tc>
          <w:tcPr>
            <w:tcW w:w="1015" w:type="dxa"/>
            <w:tcBorders>
              <w:top w:val="nil"/>
              <w:left w:val="nil"/>
              <w:bottom w:val="single" w:sz="4" w:space="0" w:color="auto"/>
              <w:right w:val="single" w:sz="4" w:space="0" w:color="auto"/>
            </w:tcBorders>
            <w:noWrap/>
            <w:vAlign w:val="center"/>
            <w:hideMark/>
          </w:tcPr>
          <w:p w14:paraId="635EDD23"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p>
        </w:tc>
        <w:tc>
          <w:tcPr>
            <w:tcW w:w="1088" w:type="dxa"/>
            <w:tcBorders>
              <w:top w:val="nil"/>
              <w:left w:val="nil"/>
              <w:bottom w:val="single" w:sz="4" w:space="0" w:color="auto"/>
              <w:right w:val="single" w:sz="4" w:space="0" w:color="auto"/>
            </w:tcBorders>
            <w:noWrap/>
            <w:vAlign w:val="center"/>
            <w:hideMark/>
          </w:tcPr>
          <w:p w14:paraId="49566F7E"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 </w:t>
            </w:r>
          </w:p>
        </w:tc>
        <w:tc>
          <w:tcPr>
            <w:tcW w:w="1072" w:type="dxa"/>
            <w:tcBorders>
              <w:top w:val="nil"/>
              <w:left w:val="nil"/>
              <w:bottom w:val="single" w:sz="4" w:space="0" w:color="auto"/>
              <w:right w:val="single" w:sz="4" w:space="0" w:color="auto"/>
            </w:tcBorders>
            <w:noWrap/>
            <w:vAlign w:val="center"/>
            <w:hideMark/>
          </w:tcPr>
          <w:p w14:paraId="13FFFE35"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 </w:t>
            </w:r>
          </w:p>
        </w:tc>
      </w:tr>
      <w:tr w:rsidR="0042797D" w:rsidRPr="008C549F" w14:paraId="44EC2AD4"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36905917" w14:textId="77777777" w:rsidR="0042797D" w:rsidRPr="005459C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Tổng chi phí</w:t>
            </w:r>
          </w:p>
        </w:tc>
        <w:tc>
          <w:tcPr>
            <w:tcW w:w="931" w:type="dxa"/>
            <w:tcBorders>
              <w:top w:val="nil"/>
              <w:left w:val="nil"/>
              <w:bottom w:val="single" w:sz="4" w:space="0" w:color="auto"/>
              <w:right w:val="single" w:sz="4" w:space="0" w:color="auto"/>
            </w:tcBorders>
            <w:noWrap/>
            <w:vAlign w:val="center"/>
            <w:hideMark/>
          </w:tcPr>
          <w:p w14:paraId="5AB69042"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49.848</w:t>
            </w:r>
          </w:p>
        </w:tc>
        <w:tc>
          <w:tcPr>
            <w:tcW w:w="968" w:type="dxa"/>
            <w:tcBorders>
              <w:top w:val="nil"/>
              <w:left w:val="nil"/>
              <w:bottom w:val="single" w:sz="4" w:space="0" w:color="auto"/>
              <w:right w:val="single" w:sz="4" w:space="0" w:color="auto"/>
            </w:tcBorders>
            <w:noWrap/>
            <w:vAlign w:val="center"/>
            <w:hideMark/>
          </w:tcPr>
          <w:p w14:paraId="28C92A11"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100%</w:t>
            </w:r>
          </w:p>
        </w:tc>
        <w:tc>
          <w:tcPr>
            <w:tcW w:w="892" w:type="dxa"/>
            <w:tcBorders>
              <w:top w:val="nil"/>
              <w:left w:val="nil"/>
              <w:bottom w:val="single" w:sz="4" w:space="0" w:color="auto"/>
              <w:right w:val="single" w:sz="4" w:space="0" w:color="auto"/>
            </w:tcBorders>
            <w:noWrap/>
            <w:vAlign w:val="center"/>
            <w:hideMark/>
          </w:tcPr>
          <w:p w14:paraId="485F8BD7"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55.680</w:t>
            </w:r>
          </w:p>
        </w:tc>
        <w:tc>
          <w:tcPr>
            <w:tcW w:w="862" w:type="dxa"/>
            <w:tcBorders>
              <w:top w:val="nil"/>
              <w:left w:val="nil"/>
              <w:bottom w:val="single" w:sz="4" w:space="0" w:color="auto"/>
              <w:right w:val="single" w:sz="4" w:space="0" w:color="auto"/>
            </w:tcBorders>
            <w:noWrap/>
            <w:vAlign w:val="center"/>
            <w:hideMark/>
          </w:tcPr>
          <w:p w14:paraId="1484A3C1"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100%</w:t>
            </w:r>
          </w:p>
        </w:tc>
        <w:tc>
          <w:tcPr>
            <w:tcW w:w="891" w:type="dxa"/>
            <w:tcBorders>
              <w:top w:val="nil"/>
              <w:left w:val="nil"/>
              <w:bottom w:val="single" w:sz="4" w:space="0" w:color="auto"/>
              <w:right w:val="single" w:sz="4" w:space="0" w:color="auto"/>
            </w:tcBorders>
            <w:noWrap/>
            <w:vAlign w:val="center"/>
            <w:hideMark/>
          </w:tcPr>
          <w:p w14:paraId="3F8AE520"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61.406</w:t>
            </w:r>
          </w:p>
        </w:tc>
        <w:tc>
          <w:tcPr>
            <w:tcW w:w="878" w:type="dxa"/>
            <w:tcBorders>
              <w:top w:val="nil"/>
              <w:left w:val="nil"/>
              <w:bottom w:val="single" w:sz="4" w:space="0" w:color="auto"/>
              <w:right w:val="single" w:sz="4" w:space="0" w:color="auto"/>
            </w:tcBorders>
            <w:noWrap/>
            <w:vAlign w:val="center"/>
            <w:hideMark/>
          </w:tcPr>
          <w:p w14:paraId="4E84D770"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100%</w:t>
            </w:r>
          </w:p>
        </w:tc>
        <w:tc>
          <w:tcPr>
            <w:tcW w:w="964" w:type="dxa"/>
            <w:tcBorders>
              <w:top w:val="nil"/>
              <w:left w:val="nil"/>
              <w:bottom w:val="single" w:sz="4" w:space="0" w:color="auto"/>
              <w:right w:val="single" w:sz="4" w:space="0" w:color="auto"/>
            </w:tcBorders>
            <w:noWrap/>
            <w:vAlign w:val="center"/>
            <w:hideMark/>
          </w:tcPr>
          <w:p w14:paraId="5949C338"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5.832</w:t>
            </w:r>
          </w:p>
        </w:tc>
        <w:tc>
          <w:tcPr>
            <w:tcW w:w="1015" w:type="dxa"/>
            <w:tcBorders>
              <w:top w:val="nil"/>
              <w:left w:val="nil"/>
              <w:bottom w:val="single" w:sz="4" w:space="0" w:color="auto"/>
              <w:right w:val="single" w:sz="4" w:space="0" w:color="auto"/>
            </w:tcBorders>
            <w:noWrap/>
            <w:vAlign w:val="center"/>
            <w:hideMark/>
          </w:tcPr>
          <w:p w14:paraId="7DD32BE2"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11.70</w:t>
            </w:r>
          </w:p>
        </w:tc>
        <w:tc>
          <w:tcPr>
            <w:tcW w:w="1088" w:type="dxa"/>
            <w:tcBorders>
              <w:top w:val="nil"/>
              <w:left w:val="nil"/>
              <w:bottom w:val="single" w:sz="4" w:space="0" w:color="auto"/>
              <w:right w:val="single" w:sz="4" w:space="0" w:color="auto"/>
            </w:tcBorders>
            <w:noWrap/>
            <w:vAlign w:val="center"/>
            <w:hideMark/>
          </w:tcPr>
          <w:p w14:paraId="29477690"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5.726</w:t>
            </w:r>
          </w:p>
        </w:tc>
        <w:tc>
          <w:tcPr>
            <w:tcW w:w="1072" w:type="dxa"/>
            <w:tcBorders>
              <w:top w:val="nil"/>
              <w:left w:val="nil"/>
              <w:bottom w:val="single" w:sz="4" w:space="0" w:color="auto"/>
              <w:right w:val="single" w:sz="4" w:space="0" w:color="auto"/>
            </w:tcBorders>
            <w:noWrap/>
            <w:vAlign w:val="center"/>
            <w:hideMark/>
          </w:tcPr>
          <w:p w14:paraId="359C36B9"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10.28</w:t>
            </w:r>
          </w:p>
        </w:tc>
      </w:tr>
      <w:tr w:rsidR="0042797D" w:rsidRPr="008C549F" w14:paraId="273B3A6E"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3333D5C4"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Chi phí trả lãi</w:t>
            </w:r>
          </w:p>
        </w:tc>
        <w:tc>
          <w:tcPr>
            <w:tcW w:w="931" w:type="dxa"/>
            <w:tcBorders>
              <w:top w:val="nil"/>
              <w:left w:val="nil"/>
              <w:bottom w:val="single" w:sz="4" w:space="0" w:color="auto"/>
              <w:right w:val="single" w:sz="4" w:space="0" w:color="auto"/>
            </w:tcBorders>
            <w:noWrap/>
            <w:vAlign w:val="center"/>
            <w:hideMark/>
          </w:tcPr>
          <w:p w14:paraId="669C965E"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44.569</w:t>
            </w:r>
          </w:p>
        </w:tc>
        <w:tc>
          <w:tcPr>
            <w:tcW w:w="968" w:type="dxa"/>
            <w:tcBorders>
              <w:top w:val="nil"/>
              <w:left w:val="nil"/>
              <w:bottom w:val="single" w:sz="4" w:space="0" w:color="auto"/>
              <w:right w:val="single" w:sz="4" w:space="0" w:color="auto"/>
            </w:tcBorders>
            <w:noWrap/>
            <w:vAlign w:val="center"/>
            <w:hideMark/>
          </w:tcPr>
          <w:p w14:paraId="20419002"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89.4%</w:t>
            </w:r>
          </w:p>
        </w:tc>
        <w:tc>
          <w:tcPr>
            <w:tcW w:w="892" w:type="dxa"/>
            <w:tcBorders>
              <w:top w:val="nil"/>
              <w:left w:val="nil"/>
              <w:bottom w:val="single" w:sz="4" w:space="0" w:color="auto"/>
              <w:right w:val="single" w:sz="4" w:space="0" w:color="auto"/>
            </w:tcBorders>
            <w:noWrap/>
            <w:vAlign w:val="center"/>
            <w:hideMark/>
          </w:tcPr>
          <w:p w14:paraId="0E3E59DF"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49.596</w:t>
            </w:r>
          </w:p>
        </w:tc>
        <w:tc>
          <w:tcPr>
            <w:tcW w:w="862" w:type="dxa"/>
            <w:tcBorders>
              <w:top w:val="nil"/>
              <w:left w:val="nil"/>
              <w:bottom w:val="single" w:sz="4" w:space="0" w:color="auto"/>
              <w:right w:val="single" w:sz="4" w:space="0" w:color="auto"/>
            </w:tcBorders>
            <w:noWrap/>
            <w:vAlign w:val="center"/>
            <w:hideMark/>
          </w:tcPr>
          <w:p w14:paraId="090A7BE2"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89.1%</w:t>
            </w:r>
          </w:p>
        </w:tc>
        <w:tc>
          <w:tcPr>
            <w:tcW w:w="891" w:type="dxa"/>
            <w:tcBorders>
              <w:top w:val="nil"/>
              <w:left w:val="nil"/>
              <w:bottom w:val="single" w:sz="4" w:space="0" w:color="auto"/>
              <w:right w:val="single" w:sz="4" w:space="0" w:color="auto"/>
            </w:tcBorders>
            <w:noWrap/>
            <w:vAlign w:val="center"/>
            <w:hideMark/>
          </w:tcPr>
          <w:p w14:paraId="723F4598"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54.520</w:t>
            </w:r>
          </w:p>
        </w:tc>
        <w:tc>
          <w:tcPr>
            <w:tcW w:w="878" w:type="dxa"/>
            <w:tcBorders>
              <w:top w:val="nil"/>
              <w:left w:val="nil"/>
              <w:bottom w:val="single" w:sz="4" w:space="0" w:color="auto"/>
              <w:right w:val="single" w:sz="4" w:space="0" w:color="auto"/>
            </w:tcBorders>
            <w:noWrap/>
            <w:vAlign w:val="center"/>
            <w:hideMark/>
          </w:tcPr>
          <w:p w14:paraId="005DD6C7"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88.8%</w:t>
            </w:r>
          </w:p>
        </w:tc>
        <w:tc>
          <w:tcPr>
            <w:tcW w:w="964" w:type="dxa"/>
            <w:tcBorders>
              <w:top w:val="nil"/>
              <w:left w:val="nil"/>
              <w:bottom w:val="single" w:sz="4" w:space="0" w:color="auto"/>
              <w:right w:val="single" w:sz="4" w:space="0" w:color="auto"/>
            </w:tcBorders>
            <w:noWrap/>
            <w:vAlign w:val="center"/>
            <w:hideMark/>
          </w:tcPr>
          <w:p w14:paraId="2B053BD4"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5.027</w:t>
            </w:r>
          </w:p>
        </w:tc>
        <w:tc>
          <w:tcPr>
            <w:tcW w:w="1015" w:type="dxa"/>
            <w:tcBorders>
              <w:top w:val="nil"/>
              <w:left w:val="nil"/>
              <w:bottom w:val="single" w:sz="4" w:space="0" w:color="auto"/>
              <w:right w:val="single" w:sz="4" w:space="0" w:color="auto"/>
            </w:tcBorders>
            <w:noWrap/>
            <w:vAlign w:val="center"/>
            <w:hideMark/>
          </w:tcPr>
          <w:p w14:paraId="02D4FBF4"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11.28</w:t>
            </w:r>
          </w:p>
        </w:tc>
        <w:tc>
          <w:tcPr>
            <w:tcW w:w="1088" w:type="dxa"/>
            <w:tcBorders>
              <w:top w:val="nil"/>
              <w:left w:val="nil"/>
              <w:bottom w:val="single" w:sz="4" w:space="0" w:color="auto"/>
              <w:right w:val="single" w:sz="4" w:space="0" w:color="auto"/>
            </w:tcBorders>
            <w:noWrap/>
            <w:vAlign w:val="center"/>
            <w:hideMark/>
          </w:tcPr>
          <w:p w14:paraId="3FD26987"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4.925</w:t>
            </w:r>
          </w:p>
        </w:tc>
        <w:tc>
          <w:tcPr>
            <w:tcW w:w="1072" w:type="dxa"/>
            <w:tcBorders>
              <w:top w:val="nil"/>
              <w:left w:val="nil"/>
              <w:bottom w:val="single" w:sz="4" w:space="0" w:color="auto"/>
              <w:right w:val="single" w:sz="4" w:space="0" w:color="auto"/>
            </w:tcBorders>
            <w:noWrap/>
            <w:vAlign w:val="center"/>
            <w:hideMark/>
          </w:tcPr>
          <w:p w14:paraId="06272821"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9.93</w:t>
            </w:r>
          </w:p>
        </w:tc>
      </w:tr>
      <w:tr w:rsidR="0042797D" w:rsidRPr="008C549F" w14:paraId="0B72E6CF"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263D4988"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Chi phí từ hoạt động dịch vụ</w:t>
            </w:r>
          </w:p>
        </w:tc>
        <w:tc>
          <w:tcPr>
            <w:tcW w:w="931" w:type="dxa"/>
            <w:tcBorders>
              <w:top w:val="nil"/>
              <w:left w:val="nil"/>
              <w:bottom w:val="single" w:sz="4" w:space="0" w:color="auto"/>
              <w:right w:val="single" w:sz="4" w:space="0" w:color="auto"/>
            </w:tcBorders>
            <w:noWrap/>
            <w:vAlign w:val="center"/>
            <w:hideMark/>
          </w:tcPr>
          <w:p w14:paraId="183AA965"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3.779</w:t>
            </w:r>
          </w:p>
        </w:tc>
        <w:tc>
          <w:tcPr>
            <w:tcW w:w="968" w:type="dxa"/>
            <w:tcBorders>
              <w:top w:val="nil"/>
              <w:left w:val="nil"/>
              <w:bottom w:val="single" w:sz="4" w:space="0" w:color="auto"/>
              <w:right w:val="single" w:sz="4" w:space="0" w:color="auto"/>
            </w:tcBorders>
            <w:noWrap/>
            <w:vAlign w:val="center"/>
            <w:hideMark/>
          </w:tcPr>
          <w:p w14:paraId="1D814A01"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7.6%</w:t>
            </w:r>
          </w:p>
        </w:tc>
        <w:tc>
          <w:tcPr>
            <w:tcW w:w="892" w:type="dxa"/>
            <w:tcBorders>
              <w:top w:val="nil"/>
              <w:left w:val="nil"/>
              <w:bottom w:val="single" w:sz="4" w:space="0" w:color="auto"/>
              <w:right w:val="single" w:sz="4" w:space="0" w:color="auto"/>
            </w:tcBorders>
            <w:noWrap/>
            <w:vAlign w:val="center"/>
            <w:hideMark/>
          </w:tcPr>
          <w:p w14:paraId="0400D8B1"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4.234</w:t>
            </w:r>
          </w:p>
        </w:tc>
        <w:tc>
          <w:tcPr>
            <w:tcW w:w="862" w:type="dxa"/>
            <w:tcBorders>
              <w:top w:val="nil"/>
              <w:left w:val="nil"/>
              <w:bottom w:val="single" w:sz="4" w:space="0" w:color="auto"/>
              <w:right w:val="single" w:sz="4" w:space="0" w:color="auto"/>
            </w:tcBorders>
            <w:noWrap/>
            <w:vAlign w:val="center"/>
            <w:hideMark/>
          </w:tcPr>
          <w:p w14:paraId="2F85A6FD"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7.6%</w:t>
            </w:r>
          </w:p>
        </w:tc>
        <w:tc>
          <w:tcPr>
            <w:tcW w:w="891" w:type="dxa"/>
            <w:tcBorders>
              <w:top w:val="nil"/>
              <w:left w:val="nil"/>
              <w:bottom w:val="single" w:sz="4" w:space="0" w:color="auto"/>
              <w:right w:val="single" w:sz="4" w:space="0" w:color="auto"/>
            </w:tcBorders>
            <w:noWrap/>
            <w:vAlign w:val="center"/>
            <w:hideMark/>
          </w:tcPr>
          <w:p w14:paraId="35640397"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4.786</w:t>
            </w:r>
          </w:p>
        </w:tc>
        <w:tc>
          <w:tcPr>
            <w:tcW w:w="878" w:type="dxa"/>
            <w:tcBorders>
              <w:top w:val="nil"/>
              <w:left w:val="nil"/>
              <w:bottom w:val="single" w:sz="4" w:space="0" w:color="auto"/>
              <w:right w:val="single" w:sz="4" w:space="0" w:color="auto"/>
            </w:tcBorders>
            <w:noWrap/>
            <w:vAlign w:val="center"/>
            <w:hideMark/>
          </w:tcPr>
          <w:p w14:paraId="58EA7CDD"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7.8%</w:t>
            </w:r>
          </w:p>
        </w:tc>
        <w:tc>
          <w:tcPr>
            <w:tcW w:w="964" w:type="dxa"/>
            <w:tcBorders>
              <w:top w:val="nil"/>
              <w:left w:val="nil"/>
              <w:bottom w:val="single" w:sz="4" w:space="0" w:color="auto"/>
              <w:right w:val="single" w:sz="4" w:space="0" w:color="auto"/>
            </w:tcBorders>
            <w:noWrap/>
            <w:vAlign w:val="center"/>
            <w:hideMark/>
          </w:tcPr>
          <w:p w14:paraId="36C50F4A"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0.455</w:t>
            </w:r>
          </w:p>
        </w:tc>
        <w:tc>
          <w:tcPr>
            <w:tcW w:w="1015" w:type="dxa"/>
            <w:tcBorders>
              <w:top w:val="nil"/>
              <w:left w:val="nil"/>
              <w:bottom w:val="single" w:sz="4" w:space="0" w:color="auto"/>
              <w:right w:val="single" w:sz="4" w:space="0" w:color="auto"/>
            </w:tcBorders>
            <w:noWrap/>
            <w:vAlign w:val="center"/>
            <w:hideMark/>
          </w:tcPr>
          <w:p w14:paraId="40E85E07"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12.04</w:t>
            </w:r>
          </w:p>
        </w:tc>
        <w:tc>
          <w:tcPr>
            <w:tcW w:w="1088" w:type="dxa"/>
            <w:tcBorders>
              <w:top w:val="nil"/>
              <w:left w:val="nil"/>
              <w:bottom w:val="single" w:sz="4" w:space="0" w:color="auto"/>
              <w:right w:val="single" w:sz="4" w:space="0" w:color="auto"/>
            </w:tcBorders>
            <w:noWrap/>
            <w:vAlign w:val="center"/>
            <w:hideMark/>
          </w:tcPr>
          <w:p w14:paraId="2D6C0BB6"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0.551</w:t>
            </w:r>
          </w:p>
        </w:tc>
        <w:tc>
          <w:tcPr>
            <w:tcW w:w="1072" w:type="dxa"/>
            <w:tcBorders>
              <w:top w:val="nil"/>
              <w:left w:val="nil"/>
              <w:bottom w:val="single" w:sz="4" w:space="0" w:color="auto"/>
              <w:right w:val="single" w:sz="4" w:space="0" w:color="auto"/>
            </w:tcBorders>
            <w:noWrap/>
            <w:vAlign w:val="center"/>
            <w:hideMark/>
          </w:tcPr>
          <w:p w14:paraId="2509FE70"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13.02</w:t>
            </w:r>
          </w:p>
        </w:tc>
      </w:tr>
      <w:tr w:rsidR="0042797D" w:rsidRPr="008C549F" w14:paraId="0F0B6146"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520D37B0" w14:textId="77777777" w:rsidR="0042797D" w:rsidRPr="005459C2"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Chi phí khác</w:t>
            </w:r>
          </w:p>
        </w:tc>
        <w:tc>
          <w:tcPr>
            <w:tcW w:w="931" w:type="dxa"/>
            <w:tcBorders>
              <w:top w:val="nil"/>
              <w:left w:val="nil"/>
              <w:bottom w:val="single" w:sz="4" w:space="0" w:color="auto"/>
              <w:right w:val="single" w:sz="4" w:space="0" w:color="auto"/>
            </w:tcBorders>
            <w:noWrap/>
            <w:vAlign w:val="center"/>
            <w:hideMark/>
          </w:tcPr>
          <w:p w14:paraId="601E4662"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1.5</w:t>
            </w:r>
          </w:p>
        </w:tc>
        <w:tc>
          <w:tcPr>
            <w:tcW w:w="968" w:type="dxa"/>
            <w:tcBorders>
              <w:top w:val="nil"/>
              <w:left w:val="nil"/>
              <w:bottom w:val="single" w:sz="4" w:space="0" w:color="auto"/>
              <w:right w:val="single" w:sz="4" w:space="0" w:color="auto"/>
            </w:tcBorders>
            <w:noWrap/>
            <w:vAlign w:val="center"/>
            <w:hideMark/>
          </w:tcPr>
          <w:p w14:paraId="047F0994"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3.0%</w:t>
            </w:r>
          </w:p>
        </w:tc>
        <w:tc>
          <w:tcPr>
            <w:tcW w:w="892" w:type="dxa"/>
            <w:tcBorders>
              <w:top w:val="nil"/>
              <w:left w:val="nil"/>
              <w:bottom w:val="single" w:sz="4" w:space="0" w:color="auto"/>
              <w:right w:val="single" w:sz="4" w:space="0" w:color="auto"/>
            </w:tcBorders>
            <w:noWrap/>
            <w:vAlign w:val="center"/>
            <w:hideMark/>
          </w:tcPr>
          <w:p w14:paraId="189F1C6E"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1.85</w:t>
            </w:r>
          </w:p>
        </w:tc>
        <w:tc>
          <w:tcPr>
            <w:tcW w:w="862" w:type="dxa"/>
            <w:tcBorders>
              <w:top w:val="nil"/>
              <w:left w:val="nil"/>
              <w:bottom w:val="single" w:sz="4" w:space="0" w:color="auto"/>
              <w:right w:val="single" w:sz="4" w:space="0" w:color="auto"/>
            </w:tcBorders>
            <w:noWrap/>
            <w:vAlign w:val="center"/>
            <w:hideMark/>
          </w:tcPr>
          <w:p w14:paraId="2B125B23"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3.3%</w:t>
            </w:r>
          </w:p>
        </w:tc>
        <w:tc>
          <w:tcPr>
            <w:tcW w:w="891" w:type="dxa"/>
            <w:tcBorders>
              <w:top w:val="nil"/>
              <w:left w:val="nil"/>
              <w:bottom w:val="single" w:sz="4" w:space="0" w:color="auto"/>
              <w:right w:val="single" w:sz="4" w:space="0" w:color="auto"/>
            </w:tcBorders>
            <w:noWrap/>
            <w:vAlign w:val="center"/>
            <w:hideMark/>
          </w:tcPr>
          <w:p w14:paraId="7A3F29E0"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2.1</w:t>
            </w:r>
          </w:p>
        </w:tc>
        <w:tc>
          <w:tcPr>
            <w:tcW w:w="878" w:type="dxa"/>
            <w:tcBorders>
              <w:top w:val="nil"/>
              <w:left w:val="nil"/>
              <w:bottom w:val="single" w:sz="4" w:space="0" w:color="auto"/>
              <w:right w:val="single" w:sz="4" w:space="0" w:color="auto"/>
            </w:tcBorders>
            <w:noWrap/>
            <w:vAlign w:val="center"/>
            <w:hideMark/>
          </w:tcPr>
          <w:p w14:paraId="6436603F"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3.4%</w:t>
            </w:r>
          </w:p>
        </w:tc>
        <w:tc>
          <w:tcPr>
            <w:tcW w:w="964" w:type="dxa"/>
            <w:tcBorders>
              <w:top w:val="nil"/>
              <w:left w:val="nil"/>
              <w:bottom w:val="single" w:sz="4" w:space="0" w:color="auto"/>
              <w:right w:val="single" w:sz="4" w:space="0" w:color="auto"/>
            </w:tcBorders>
            <w:noWrap/>
            <w:vAlign w:val="center"/>
            <w:hideMark/>
          </w:tcPr>
          <w:p w14:paraId="1517440E"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0.350</w:t>
            </w:r>
          </w:p>
        </w:tc>
        <w:tc>
          <w:tcPr>
            <w:tcW w:w="1015" w:type="dxa"/>
            <w:tcBorders>
              <w:top w:val="nil"/>
              <w:left w:val="nil"/>
              <w:bottom w:val="single" w:sz="4" w:space="0" w:color="auto"/>
              <w:right w:val="single" w:sz="4" w:space="0" w:color="auto"/>
            </w:tcBorders>
            <w:noWrap/>
            <w:vAlign w:val="center"/>
            <w:hideMark/>
          </w:tcPr>
          <w:p w14:paraId="389A8788"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23.33</w:t>
            </w:r>
          </w:p>
        </w:tc>
        <w:tc>
          <w:tcPr>
            <w:tcW w:w="1088" w:type="dxa"/>
            <w:tcBorders>
              <w:top w:val="nil"/>
              <w:left w:val="nil"/>
              <w:bottom w:val="single" w:sz="4" w:space="0" w:color="auto"/>
              <w:right w:val="single" w:sz="4" w:space="0" w:color="auto"/>
            </w:tcBorders>
            <w:noWrap/>
            <w:vAlign w:val="center"/>
            <w:hideMark/>
          </w:tcPr>
          <w:p w14:paraId="1B4E39F6"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0.3</w:t>
            </w:r>
          </w:p>
        </w:tc>
        <w:tc>
          <w:tcPr>
            <w:tcW w:w="1072" w:type="dxa"/>
            <w:tcBorders>
              <w:top w:val="nil"/>
              <w:left w:val="nil"/>
              <w:bottom w:val="single" w:sz="4" w:space="0" w:color="auto"/>
              <w:right w:val="single" w:sz="4" w:space="0" w:color="auto"/>
            </w:tcBorders>
            <w:noWrap/>
            <w:vAlign w:val="center"/>
            <w:hideMark/>
          </w:tcPr>
          <w:p w14:paraId="231245C5" w14:textId="77777777" w:rsidR="0042797D" w:rsidRPr="005459C2"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5459C2">
              <w:rPr>
                <w:rFonts w:ascii="Times New Roman" w:eastAsia="Times New Roman" w:hAnsi="Times New Roman" w:cs="Times New Roman"/>
                <w:color w:val="000000"/>
                <w:kern w:val="0"/>
                <w:sz w:val="22"/>
                <w:szCs w:val="22"/>
                <w14:ligatures w14:val="none"/>
              </w:rPr>
              <w:t>13.51</w:t>
            </w:r>
          </w:p>
        </w:tc>
      </w:tr>
      <w:tr w:rsidR="0042797D" w:rsidRPr="008C549F" w14:paraId="22F28E51" w14:textId="77777777" w:rsidTr="002F73B2">
        <w:trPr>
          <w:trHeight w:val="551"/>
        </w:trPr>
        <w:tc>
          <w:tcPr>
            <w:tcW w:w="1869" w:type="dxa"/>
            <w:tcBorders>
              <w:top w:val="nil"/>
              <w:left w:val="single" w:sz="4" w:space="0" w:color="auto"/>
              <w:bottom w:val="single" w:sz="4" w:space="0" w:color="auto"/>
              <w:right w:val="single" w:sz="4" w:space="0" w:color="auto"/>
            </w:tcBorders>
            <w:noWrap/>
            <w:vAlign w:val="center"/>
            <w:hideMark/>
          </w:tcPr>
          <w:p w14:paraId="429F7194" w14:textId="77777777" w:rsidR="0042797D" w:rsidRPr="005459C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CHÊNH LỆCH THU CHI</w:t>
            </w:r>
          </w:p>
        </w:tc>
        <w:tc>
          <w:tcPr>
            <w:tcW w:w="931" w:type="dxa"/>
            <w:tcBorders>
              <w:top w:val="nil"/>
              <w:left w:val="nil"/>
              <w:bottom w:val="single" w:sz="4" w:space="0" w:color="auto"/>
              <w:right w:val="single" w:sz="4" w:space="0" w:color="auto"/>
            </w:tcBorders>
            <w:noWrap/>
            <w:vAlign w:val="center"/>
            <w:hideMark/>
          </w:tcPr>
          <w:p w14:paraId="79D5089D"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28.642</w:t>
            </w:r>
          </w:p>
        </w:tc>
        <w:tc>
          <w:tcPr>
            <w:tcW w:w="968" w:type="dxa"/>
            <w:tcBorders>
              <w:top w:val="nil"/>
              <w:left w:val="nil"/>
              <w:bottom w:val="single" w:sz="4" w:space="0" w:color="auto"/>
              <w:right w:val="single" w:sz="4" w:space="0" w:color="auto"/>
            </w:tcBorders>
            <w:noWrap/>
            <w:vAlign w:val="center"/>
            <w:hideMark/>
          </w:tcPr>
          <w:p w14:paraId="7CB864AB"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92" w:type="dxa"/>
            <w:tcBorders>
              <w:top w:val="nil"/>
              <w:left w:val="nil"/>
              <w:bottom w:val="single" w:sz="4" w:space="0" w:color="auto"/>
              <w:right w:val="single" w:sz="4" w:space="0" w:color="auto"/>
            </w:tcBorders>
            <w:noWrap/>
            <w:vAlign w:val="center"/>
            <w:hideMark/>
          </w:tcPr>
          <w:p w14:paraId="48FAFB37"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32.381</w:t>
            </w:r>
          </w:p>
        </w:tc>
        <w:tc>
          <w:tcPr>
            <w:tcW w:w="862" w:type="dxa"/>
            <w:tcBorders>
              <w:top w:val="nil"/>
              <w:left w:val="nil"/>
              <w:bottom w:val="single" w:sz="4" w:space="0" w:color="auto"/>
              <w:right w:val="single" w:sz="4" w:space="0" w:color="auto"/>
            </w:tcBorders>
            <w:noWrap/>
            <w:vAlign w:val="center"/>
            <w:hideMark/>
          </w:tcPr>
          <w:p w14:paraId="5F845A00"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891" w:type="dxa"/>
            <w:tcBorders>
              <w:top w:val="nil"/>
              <w:left w:val="nil"/>
              <w:bottom w:val="single" w:sz="4" w:space="0" w:color="auto"/>
              <w:right w:val="single" w:sz="4" w:space="0" w:color="auto"/>
            </w:tcBorders>
            <w:noWrap/>
            <w:vAlign w:val="center"/>
            <w:hideMark/>
          </w:tcPr>
          <w:p w14:paraId="737D96DA"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38.02</w:t>
            </w:r>
          </w:p>
        </w:tc>
        <w:tc>
          <w:tcPr>
            <w:tcW w:w="878" w:type="dxa"/>
            <w:tcBorders>
              <w:top w:val="nil"/>
              <w:left w:val="nil"/>
              <w:bottom w:val="single" w:sz="4" w:space="0" w:color="auto"/>
              <w:right w:val="single" w:sz="4" w:space="0" w:color="auto"/>
            </w:tcBorders>
            <w:noWrap/>
            <w:vAlign w:val="center"/>
            <w:hideMark/>
          </w:tcPr>
          <w:p w14:paraId="341115C4"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964" w:type="dxa"/>
            <w:tcBorders>
              <w:top w:val="nil"/>
              <w:left w:val="nil"/>
              <w:bottom w:val="single" w:sz="4" w:space="0" w:color="auto"/>
              <w:right w:val="single" w:sz="4" w:space="0" w:color="auto"/>
            </w:tcBorders>
            <w:noWrap/>
            <w:vAlign w:val="center"/>
            <w:hideMark/>
          </w:tcPr>
          <w:p w14:paraId="0E7CE1B0"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3.739</w:t>
            </w:r>
          </w:p>
        </w:tc>
        <w:tc>
          <w:tcPr>
            <w:tcW w:w="1015" w:type="dxa"/>
            <w:tcBorders>
              <w:top w:val="nil"/>
              <w:left w:val="nil"/>
              <w:bottom w:val="single" w:sz="4" w:space="0" w:color="auto"/>
              <w:right w:val="single" w:sz="4" w:space="0" w:color="auto"/>
            </w:tcBorders>
            <w:noWrap/>
            <w:vAlign w:val="center"/>
            <w:hideMark/>
          </w:tcPr>
          <w:p w14:paraId="67EADC79"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c>
          <w:tcPr>
            <w:tcW w:w="1088" w:type="dxa"/>
            <w:tcBorders>
              <w:top w:val="nil"/>
              <w:left w:val="nil"/>
              <w:bottom w:val="single" w:sz="4" w:space="0" w:color="auto"/>
              <w:right w:val="single" w:sz="4" w:space="0" w:color="auto"/>
            </w:tcBorders>
            <w:noWrap/>
            <w:vAlign w:val="center"/>
            <w:hideMark/>
          </w:tcPr>
          <w:p w14:paraId="38190F5C" w14:textId="77777777" w:rsidR="0042797D" w:rsidRPr="005459C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5.639</w:t>
            </w:r>
          </w:p>
        </w:tc>
        <w:tc>
          <w:tcPr>
            <w:tcW w:w="1072" w:type="dxa"/>
            <w:tcBorders>
              <w:top w:val="nil"/>
              <w:left w:val="nil"/>
              <w:bottom w:val="single" w:sz="4" w:space="0" w:color="auto"/>
              <w:right w:val="single" w:sz="4" w:space="0" w:color="auto"/>
            </w:tcBorders>
            <w:noWrap/>
            <w:vAlign w:val="center"/>
            <w:hideMark/>
          </w:tcPr>
          <w:p w14:paraId="346F0A80" w14:textId="77777777" w:rsidR="0042797D" w:rsidRPr="005459C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5459C2">
              <w:rPr>
                <w:rFonts w:ascii="Times New Roman" w:eastAsia="Times New Roman" w:hAnsi="Times New Roman" w:cs="Times New Roman"/>
                <w:b/>
                <w:bCs/>
                <w:color w:val="000000"/>
                <w:kern w:val="0"/>
                <w:sz w:val="22"/>
                <w:szCs w:val="22"/>
                <w14:ligatures w14:val="none"/>
              </w:rPr>
              <w:t> </w:t>
            </w:r>
          </w:p>
        </w:tc>
      </w:tr>
    </w:tbl>
    <w:p w14:paraId="4E4A8DA5" w14:textId="77777777" w:rsidR="0042797D" w:rsidRDefault="0042797D" w:rsidP="0042797D">
      <w:pPr>
        <w:pStyle w:val="ListParagraph"/>
        <w:tabs>
          <w:tab w:val="left" w:pos="5103"/>
        </w:tabs>
        <w:spacing w:beforeLines="60" w:before="144" w:afterLines="60" w:after="144" w:line="360" w:lineRule="auto"/>
        <w:ind w:left="0"/>
        <w:jc w:val="right"/>
        <w:rPr>
          <w:rFonts w:ascii="Times New Roman" w:hAnsi="Times New Roman" w:cs="Times New Roman"/>
          <w:i/>
          <w:sz w:val="26"/>
          <w:szCs w:val="26"/>
          <w:lang w:val="vi-VN"/>
        </w:rPr>
      </w:pPr>
      <w:r w:rsidRPr="001308FF">
        <w:rPr>
          <w:rFonts w:ascii="Times New Roman" w:hAnsi="Times New Roman" w:cs="Times New Roman"/>
          <w:i/>
          <w:sz w:val="26"/>
          <w:szCs w:val="26"/>
          <w:lang w:val="vi-VN"/>
        </w:rPr>
        <w:t>(</w:t>
      </w:r>
      <w:r w:rsidRPr="001308FF">
        <w:rPr>
          <w:rFonts w:ascii="Times New Roman" w:hAnsi="Times New Roman" w:cs="Times New Roman"/>
          <w:i/>
          <w:sz w:val="26"/>
          <w:szCs w:val="26"/>
        </w:rPr>
        <w:t>Nguồn: BCTC Ngân hàng</w:t>
      </w:r>
      <w:r w:rsidRPr="001308FF">
        <w:rPr>
          <w:rFonts w:ascii="Times New Roman" w:hAnsi="Times New Roman" w:cs="Times New Roman"/>
          <w:i/>
          <w:sz w:val="26"/>
          <w:szCs w:val="26"/>
          <w:lang w:val="vi-VN"/>
        </w:rPr>
        <w:t xml:space="preserve"> TMCP</w:t>
      </w:r>
      <w:r w:rsidRPr="001308FF">
        <w:rPr>
          <w:rFonts w:ascii="Times New Roman" w:hAnsi="Times New Roman" w:cs="Times New Roman"/>
          <w:i/>
          <w:sz w:val="26"/>
          <w:szCs w:val="26"/>
        </w:rPr>
        <w:t xml:space="preserve"> Nam Á –</w:t>
      </w:r>
      <w:r w:rsidRPr="001308FF">
        <w:rPr>
          <w:rFonts w:ascii="Times New Roman" w:hAnsi="Times New Roman" w:cs="Times New Roman"/>
          <w:i/>
          <w:sz w:val="26"/>
          <w:szCs w:val="26"/>
          <w:lang w:val="vi-VN"/>
        </w:rPr>
        <w:t xml:space="preserve"> Chi nhánh Đà Nẵng </w:t>
      </w:r>
      <w:r w:rsidRPr="001308FF">
        <w:rPr>
          <w:rFonts w:ascii="Times New Roman" w:hAnsi="Times New Roman" w:cs="Times New Roman"/>
          <w:i/>
          <w:sz w:val="26"/>
          <w:szCs w:val="26"/>
        </w:rPr>
        <w:t>– PGD Cẩm</w:t>
      </w:r>
      <w:r w:rsidRPr="001308FF">
        <w:rPr>
          <w:rFonts w:ascii="Times New Roman" w:hAnsi="Times New Roman" w:cs="Times New Roman"/>
          <w:i/>
          <w:sz w:val="26"/>
          <w:szCs w:val="26"/>
          <w:lang w:val="vi-VN"/>
        </w:rPr>
        <w:t xml:space="preserve"> Lệ)</w:t>
      </w:r>
    </w:p>
    <w:p w14:paraId="1D28D314" w14:textId="77777777" w:rsidR="0042797D" w:rsidRPr="008C549F" w:rsidRDefault="0042797D" w:rsidP="0042797D">
      <w:pPr>
        <w:spacing w:line="360" w:lineRule="auto"/>
        <w:jc w:val="both"/>
        <w:rPr>
          <w:rFonts w:ascii="Times New Roman" w:hAnsi="Times New Roman" w:cs="Times New Roman"/>
          <w:bCs/>
        </w:rPr>
      </w:pPr>
    </w:p>
    <w:p w14:paraId="42365B77" w14:textId="77777777" w:rsidR="0042797D" w:rsidRPr="00490439" w:rsidRDefault="0042797D" w:rsidP="0042797D">
      <w:pPr>
        <w:jc w:val="both"/>
        <w:rPr>
          <w:rFonts w:ascii="Times New Roman" w:hAnsi="Times New Roman" w:cs="Times New Roman"/>
          <w:i/>
          <w:iCs/>
          <w:spacing w:val="-8"/>
          <w:position w:val="-6"/>
          <w:sz w:val="26"/>
          <w:szCs w:val="26"/>
        </w:rPr>
        <w:sectPr w:rsidR="0042797D" w:rsidRPr="00490439" w:rsidSect="0042797D">
          <w:pgSz w:w="12240" w:h="15840"/>
          <w:pgMar w:top="1134" w:right="1134" w:bottom="1134" w:left="1701" w:header="709" w:footer="709" w:gutter="0"/>
          <w:cols w:space="708"/>
          <w:docGrid w:linePitch="360"/>
        </w:sectPr>
      </w:pPr>
      <w:r>
        <w:rPr>
          <w:rFonts w:ascii="Times New Roman" w:hAnsi="Times New Roman" w:cs="Times New Roman"/>
          <w:i/>
          <w:iCs/>
          <w:spacing w:val="-8"/>
          <w:position w:val="-6"/>
          <w:sz w:val="26"/>
          <w:szCs w:val="26"/>
          <w:lang w:val="vi-VN"/>
        </w:rPr>
        <w:br w:type="page"/>
      </w:r>
    </w:p>
    <w:p w14:paraId="3A5FBCB9" w14:textId="77777777" w:rsidR="0042797D" w:rsidRPr="00457E99" w:rsidRDefault="0042797D" w:rsidP="0042797D">
      <w:pPr>
        <w:pStyle w:val="NormalWeb"/>
        <w:spacing w:line="360" w:lineRule="auto"/>
        <w:jc w:val="both"/>
        <w:rPr>
          <w:sz w:val="26"/>
          <w:szCs w:val="26"/>
        </w:rPr>
      </w:pPr>
      <w:r>
        <w:rPr>
          <w:sz w:val="26"/>
          <w:szCs w:val="26"/>
        </w:rPr>
        <w:lastRenderedPageBreak/>
        <w:t xml:space="preserve">   </w:t>
      </w:r>
      <w:r w:rsidRPr="00457E99">
        <w:rPr>
          <w:sz w:val="26"/>
          <w:szCs w:val="26"/>
        </w:rPr>
        <w:t>Dựa trên số liệu về kết quả hoạt động kinh doanh giai đoạn 2023–2025, có thể nhận thấy Ngân hàng TMCP Nam Á – Chi nhánh Đà Nẵng – Phòng Giao dịch Cẩm Lệ đang vận hành theo xu hướng mở rộng đi kèm với cải thiện hiệu quả tài chính. Sự thay đổi không chỉ thể hiện ở quy mô các chỉ tiêu mà còn ở cách ngân hàng cân đối giữa tạo thu nhập và kiểm soát chi phí, qua đó từng bước nâng cao chất lượng hoạt động kinh doanh.</w:t>
      </w:r>
    </w:p>
    <w:p w14:paraId="05D7CC8B" w14:textId="77777777" w:rsidR="0042797D" w:rsidRPr="00457E99" w:rsidRDefault="0042797D" w:rsidP="0042797D">
      <w:pPr>
        <w:pStyle w:val="NormalWeb"/>
        <w:spacing w:line="360" w:lineRule="auto"/>
        <w:jc w:val="both"/>
        <w:rPr>
          <w:sz w:val="26"/>
          <w:szCs w:val="26"/>
        </w:rPr>
      </w:pPr>
      <w:r>
        <w:rPr>
          <w:sz w:val="26"/>
          <w:szCs w:val="26"/>
        </w:rPr>
        <w:t xml:space="preserve">   </w:t>
      </w:r>
      <w:r w:rsidRPr="00457E99">
        <w:rPr>
          <w:sz w:val="26"/>
          <w:szCs w:val="26"/>
        </w:rPr>
        <w:t>Cụ thể, tổng thu nhập của phòng giao dịch tăng trưởng liên tục qua các năm. Năm 2023 đạt 78.489,8 triệu đồng, đến năm 2024 tăng lên 88.061,3 triệu đồng, tương ứng tăng 9.571,5 triệu đồng (12,19%). Đến năm 2025, tổng thu nhập đạt 99.427 triệu đồng, tiếp tục tăng thêm 11.365 triệu đồng (12,91%) so với năm 2024. Mức tăng trưởng này cho thấy khả năng tạo thu nhập của ngân hàng ngày càng được cải thiện, đồng thời phản ánh sự mở rộng về quy mô hoạt động kinh doanh trong bối cảnh thị trường dần ổn định hơn.</w:t>
      </w:r>
    </w:p>
    <w:p w14:paraId="42CEA0FA" w14:textId="77777777" w:rsidR="0042797D" w:rsidRPr="00457E99" w:rsidRDefault="0042797D" w:rsidP="0042797D">
      <w:pPr>
        <w:pStyle w:val="NormalWeb"/>
        <w:spacing w:line="360" w:lineRule="auto"/>
        <w:jc w:val="both"/>
        <w:rPr>
          <w:sz w:val="26"/>
          <w:szCs w:val="26"/>
        </w:rPr>
      </w:pPr>
      <w:r>
        <w:rPr>
          <w:sz w:val="26"/>
          <w:szCs w:val="26"/>
        </w:rPr>
        <w:t xml:space="preserve">   </w:t>
      </w:r>
      <w:r w:rsidRPr="00457E99">
        <w:rPr>
          <w:sz w:val="26"/>
          <w:szCs w:val="26"/>
        </w:rPr>
        <w:t>Đi sâu vào cơ cấu thu nhập, có thể thấy nguồn thu từ lãi vẫn chiếm ưu thế khi duy trì tỷ trọng cao, từ 86,7% năm 2023 xuống khoảng 86,6% năm 2025. Điều này cho thấy hoạt động tín dụng tiếp tục giữ vai trò trọng tâm trong việc tạo ra lợi nhuận cho ngân hàng. Tuy nhiên, điểm đáng chú ý là tỷ trọng này có xu hướng giảm nhẹ, cho thấy ngân hàng đã bắt đầu mở rộng thêm các nguồn thu khác. Thu nhập từ hoạt động dịch vụ tuy chiếm tỷ lệ chưa lớn nhưng tăng dần qua các năm, góp phần bổ sung nguồn thu và tạo sự linh hoạt trong cơ cấu tài chính. Việc phát triển các dịch vụ ngân hàng điện tử, thanh toán và thẻ không chỉ mang lại nguồn thu phí mà còn hỗ trợ thu hút và giữ chân khách hàng.</w:t>
      </w:r>
    </w:p>
    <w:p w14:paraId="0C025E4E" w14:textId="77777777" w:rsidR="0042797D" w:rsidRPr="00457E99" w:rsidRDefault="0042797D" w:rsidP="0042797D">
      <w:pPr>
        <w:pStyle w:val="NormalWeb"/>
        <w:spacing w:line="360" w:lineRule="auto"/>
        <w:jc w:val="both"/>
        <w:rPr>
          <w:sz w:val="26"/>
          <w:szCs w:val="26"/>
        </w:rPr>
      </w:pPr>
      <w:r>
        <w:rPr>
          <w:sz w:val="26"/>
          <w:szCs w:val="26"/>
        </w:rPr>
        <w:t xml:space="preserve">   </w:t>
      </w:r>
      <w:r w:rsidRPr="00457E99">
        <w:rPr>
          <w:sz w:val="26"/>
          <w:szCs w:val="26"/>
        </w:rPr>
        <w:t>Ở chiều chi phí, tổng chi phí của phòng giao dịch cũng có xu hướng gia tăng phù hợp với tốc độ mở rộng hoạt động. Năm 2023, tổng chi phí đạt 49.848,1 triệu đồng; năm 2024 tăng lên 55.680,0 triệu đồng, tương ứng tăng 5.831,98 triệu đồng (11,70%). Đến năm 2025, chi phí đạt 61.406 triệu đồng, tăng thêm 5.726 triệu đồng (10,28%) so với năm 2024. Mặc dù chi phí tăng nhưng mức tăng có xu hướng chậm lại, cho thấy ngân hàng đang từng bước nâng cao hiệu quả trong việc sử dụng nguồn lực.</w:t>
      </w:r>
    </w:p>
    <w:p w14:paraId="51E894C0" w14:textId="77777777" w:rsidR="0042797D" w:rsidRPr="00457E99" w:rsidRDefault="0042797D" w:rsidP="0042797D">
      <w:pPr>
        <w:pStyle w:val="NormalWeb"/>
        <w:spacing w:line="360" w:lineRule="auto"/>
        <w:jc w:val="both"/>
        <w:rPr>
          <w:sz w:val="26"/>
          <w:szCs w:val="26"/>
        </w:rPr>
      </w:pPr>
      <w:r>
        <w:rPr>
          <w:sz w:val="26"/>
          <w:szCs w:val="26"/>
        </w:rPr>
        <w:lastRenderedPageBreak/>
        <w:t xml:space="preserve">   </w:t>
      </w:r>
      <w:r w:rsidRPr="00457E99">
        <w:rPr>
          <w:sz w:val="26"/>
          <w:szCs w:val="26"/>
        </w:rPr>
        <w:t>Trong cơ cấu chi phí, chi phí trả lãi luôn chiếm tỷ trọng lớn nhất, từ khoảng 89,4% năm 2023 giảm xuống 88,8% năm 2025. Điều này phản ánh đặc thù hoạt động của ngân hàng, trong đó chi phí vốn là yếu tố chi phối. Tuy nhiên, việc tỷ trọng này giảm nhẹ cho thấy ngân hàng đã phần nào tối ưu hóa được chi phí huy động vốn hoặc gia tăng các khoản chi phí khác phục vụ cho phát triển dài hạn như công nghệ, dịch vụ. Các khoản chi cho vận hành và dịch vụ tuy không lớn nhưng có xu hướng tăng, gắn liền với quá trình hiện đại hóa và mở rộng hoạt động kinh doanh.</w:t>
      </w:r>
    </w:p>
    <w:p w14:paraId="629F6F5A" w14:textId="77777777" w:rsidR="0042797D" w:rsidRPr="00457E99" w:rsidRDefault="0042797D" w:rsidP="0042797D">
      <w:pPr>
        <w:pStyle w:val="NormalWeb"/>
        <w:spacing w:line="360" w:lineRule="auto"/>
        <w:jc w:val="both"/>
        <w:rPr>
          <w:sz w:val="26"/>
          <w:szCs w:val="26"/>
        </w:rPr>
      </w:pPr>
      <w:r>
        <w:rPr>
          <w:sz w:val="26"/>
          <w:szCs w:val="26"/>
        </w:rPr>
        <w:t xml:space="preserve">   </w:t>
      </w:r>
      <w:r w:rsidRPr="00457E99">
        <w:rPr>
          <w:sz w:val="26"/>
          <w:szCs w:val="26"/>
        </w:rPr>
        <w:t>Xét về chênh lệch thu – chi, kết quả đạt được cho thấy sự cải thiện rõ ràng qua từng năm. Năm 2023, chênh lệch thu – chi đạt 28.641,7 triệu đồng. Đến năm 2024, tăng lên 32.381,3 triệu đồng, tương ứng tăng 3.739,52 triệu đồng (13,06%). Sang năm 2025, chỉ tiêu này đạt 38.020 triệu đồng, tăng thêm 5.639 triệu đồng (khoảng 17,41%) so với năm 2024. Mức tăng trưởng của chênh lệch thu – chi cao hơn tốc độ tăng chi phí, cho thấy ngân hàng không chỉ mở rộng quy mô mà còn nâng cao khả năng sinh lời từ các hoạt động kinh doanh.</w:t>
      </w:r>
    </w:p>
    <w:p w14:paraId="197FB53A" w14:textId="77777777" w:rsidR="0042797D" w:rsidRPr="00457E99" w:rsidRDefault="0042797D" w:rsidP="0042797D">
      <w:pPr>
        <w:pStyle w:val="NormalWeb"/>
        <w:spacing w:line="360" w:lineRule="auto"/>
        <w:jc w:val="both"/>
        <w:rPr>
          <w:sz w:val="26"/>
          <w:szCs w:val="26"/>
        </w:rPr>
      </w:pPr>
      <w:r>
        <w:rPr>
          <w:sz w:val="26"/>
          <w:szCs w:val="26"/>
        </w:rPr>
        <w:t xml:space="preserve">   </w:t>
      </w:r>
      <w:r w:rsidRPr="00457E99">
        <w:rPr>
          <w:sz w:val="26"/>
          <w:szCs w:val="26"/>
        </w:rPr>
        <w:t>Một điểm đáng chú ý là sự gia tăng của chênh lệch thu – chi không chỉ đến từ việc mở rộng tín dụng mà còn gắn với việc điều chỉnh cơ cấu thu nhập và chi phí theo hướng hợp lý hơn. Ngân hàng vừa duy trì được nguồn thu ổn định từ hoạt động truyền thống, vừa từng bước khai thác thêm các nguồn thu mới, đồng thời kiểm soát tốt chi phí đầu vào. Điều này phản ánh sự chuyển biến trong cách thức vận hành, từ tăng trưởng đơn thuần sang chú trọng hiệu quả.</w:t>
      </w:r>
    </w:p>
    <w:p w14:paraId="53582A44" w14:textId="77777777" w:rsidR="0042797D" w:rsidRDefault="0042797D" w:rsidP="0042797D">
      <w:pPr>
        <w:pStyle w:val="NormalWeb"/>
        <w:spacing w:line="360" w:lineRule="auto"/>
        <w:jc w:val="both"/>
        <w:rPr>
          <w:sz w:val="26"/>
          <w:szCs w:val="26"/>
        </w:rPr>
      </w:pPr>
      <w:r>
        <w:rPr>
          <w:sz w:val="26"/>
          <w:szCs w:val="26"/>
        </w:rPr>
        <w:t xml:space="preserve">    </w:t>
      </w:r>
      <w:r w:rsidRPr="00457E99">
        <w:rPr>
          <w:sz w:val="26"/>
          <w:szCs w:val="26"/>
        </w:rPr>
        <w:t>Nhìn chung, trong giai đoạn 2023–2025, Ngân hàng TMCP Nam Á – Chi nhánh Đà Nẵng – Phòng Giao dịch Cẩm Lệ đã thể hiện được khả năng duy trì đà tăng trưởng song song với việc cải thiện hiệu quả hoạt động. Sự gia tăng đồng thời của thu nhập và chênh lệch thu – chi, cùng với việc kiểm soát chi phí ở mức hợp lý, cho thấy nền tảng tài chính của đơn vị ngày càng được củng cố. Đây là cơ sở quan trọng để ngân hàng tiếp tục phát triển theo hướng ổn định và nâng cao năng lực cạnh tranh trong thời gian tới.</w:t>
      </w:r>
    </w:p>
    <w:p w14:paraId="785A5561" w14:textId="77777777" w:rsidR="0042797D" w:rsidRDefault="0042797D" w:rsidP="0042797D">
      <w:pPr>
        <w:pStyle w:val="NormalWeb"/>
        <w:spacing w:line="360" w:lineRule="auto"/>
        <w:jc w:val="both"/>
        <w:rPr>
          <w:b/>
          <w:bCs/>
          <w:sz w:val="26"/>
          <w:szCs w:val="26"/>
        </w:rPr>
      </w:pPr>
      <w:r w:rsidRPr="00826016">
        <w:rPr>
          <w:b/>
          <w:bCs/>
          <w:sz w:val="26"/>
          <w:szCs w:val="26"/>
        </w:rPr>
        <w:lastRenderedPageBreak/>
        <w:t>2.2 CÁC SẢN PHẨM HUY ĐỘNG VỐN ĐỐI VỚI KHÁCH HÀNG CÁ NHÂN TẠI NGÂN HÀNG TMCP NAM Á – CHI NHÁNH ĐÀ NẴNG – PGD CẨM LỆ</w:t>
      </w:r>
    </w:p>
    <w:p w14:paraId="3C8A72E8" w14:textId="77777777" w:rsidR="0042797D" w:rsidRDefault="0042797D" w:rsidP="0042797D">
      <w:pPr>
        <w:pStyle w:val="NormalWeb"/>
        <w:jc w:val="both"/>
        <w:rPr>
          <w:b/>
          <w:bCs/>
          <w:sz w:val="26"/>
          <w:szCs w:val="26"/>
        </w:rPr>
      </w:pPr>
      <w:r>
        <w:rPr>
          <w:b/>
          <w:bCs/>
          <w:sz w:val="26"/>
          <w:szCs w:val="26"/>
        </w:rPr>
        <w:t>Bảng 2.5. Các sản phẩm huy động vốn đối với khách hàng cá nhân tại Ngân hàng TMCP Nam Á – Chi nhánh Đà Nẵng- PGD Cẩm Lệ</w:t>
      </w:r>
    </w:p>
    <w:tbl>
      <w:tblPr>
        <w:tblStyle w:val="TableGrid"/>
        <w:tblW w:w="10890" w:type="dxa"/>
        <w:tblInd w:w="-815" w:type="dxa"/>
        <w:tblLook w:val="04A0" w:firstRow="1" w:lastRow="0" w:firstColumn="1" w:lastColumn="0" w:noHBand="0" w:noVBand="1"/>
      </w:tblPr>
      <w:tblGrid>
        <w:gridCol w:w="2070"/>
        <w:gridCol w:w="4590"/>
        <w:gridCol w:w="4230"/>
      </w:tblGrid>
      <w:tr w:rsidR="0042797D" w14:paraId="49C7BCA6" w14:textId="77777777" w:rsidTr="002F73B2">
        <w:trPr>
          <w:trHeight w:val="728"/>
        </w:trPr>
        <w:tc>
          <w:tcPr>
            <w:tcW w:w="2070" w:type="dxa"/>
            <w:vAlign w:val="center"/>
          </w:tcPr>
          <w:p w14:paraId="2667141C" w14:textId="77777777" w:rsidR="0042797D" w:rsidRDefault="0042797D" w:rsidP="002F73B2">
            <w:pPr>
              <w:pStyle w:val="NormalWeb"/>
              <w:jc w:val="center"/>
              <w:rPr>
                <w:b/>
                <w:bCs/>
                <w:sz w:val="26"/>
                <w:szCs w:val="26"/>
              </w:rPr>
            </w:pPr>
            <w:r>
              <w:rPr>
                <w:b/>
                <w:bCs/>
                <w:sz w:val="26"/>
                <w:szCs w:val="26"/>
              </w:rPr>
              <w:t>Sản phẩm</w:t>
            </w:r>
          </w:p>
        </w:tc>
        <w:tc>
          <w:tcPr>
            <w:tcW w:w="4590" w:type="dxa"/>
            <w:vAlign w:val="center"/>
          </w:tcPr>
          <w:p w14:paraId="5B7B4A3D" w14:textId="77777777" w:rsidR="0042797D" w:rsidRDefault="0042797D" w:rsidP="002F73B2">
            <w:pPr>
              <w:pStyle w:val="NormalWeb"/>
              <w:jc w:val="center"/>
              <w:rPr>
                <w:b/>
                <w:bCs/>
                <w:sz w:val="26"/>
                <w:szCs w:val="26"/>
              </w:rPr>
            </w:pPr>
            <w:r>
              <w:rPr>
                <w:b/>
                <w:bCs/>
                <w:sz w:val="26"/>
                <w:szCs w:val="26"/>
              </w:rPr>
              <w:t>Đặc điểm</w:t>
            </w:r>
          </w:p>
        </w:tc>
        <w:tc>
          <w:tcPr>
            <w:tcW w:w="4230" w:type="dxa"/>
            <w:vAlign w:val="center"/>
          </w:tcPr>
          <w:p w14:paraId="23DBFEB9" w14:textId="77777777" w:rsidR="0042797D" w:rsidRDefault="0042797D" w:rsidP="002F73B2">
            <w:pPr>
              <w:pStyle w:val="NormalWeb"/>
              <w:jc w:val="center"/>
              <w:rPr>
                <w:b/>
                <w:bCs/>
                <w:sz w:val="26"/>
                <w:szCs w:val="26"/>
              </w:rPr>
            </w:pPr>
            <w:r>
              <w:rPr>
                <w:b/>
                <w:bCs/>
                <w:sz w:val="26"/>
                <w:szCs w:val="26"/>
              </w:rPr>
              <w:t>Lợi ích</w:t>
            </w:r>
          </w:p>
        </w:tc>
      </w:tr>
      <w:tr w:rsidR="0042797D" w14:paraId="5187A792" w14:textId="77777777" w:rsidTr="002F73B2">
        <w:tc>
          <w:tcPr>
            <w:tcW w:w="2070" w:type="dxa"/>
            <w:vAlign w:val="center"/>
          </w:tcPr>
          <w:p w14:paraId="0E9D040D" w14:textId="77777777" w:rsidR="0042797D" w:rsidRDefault="0042797D" w:rsidP="002F73B2">
            <w:pPr>
              <w:pStyle w:val="NormalWeb"/>
              <w:jc w:val="both"/>
              <w:rPr>
                <w:b/>
                <w:bCs/>
                <w:sz w:val="26"/>
                <w:szCs w:val="26"/>
              </w:rPr>
            </w:pPr>
            <w:r>
              <w:rPr>
                <w:b/>
                <w:bCs/>
                <w:sz w:val="26"/>
                <w:szCs w:val="26"/>
              </w:rPr>
              <w:t>Tiết kiệm lợi ích nhân đôi</w:t>
            </w:r>
          </w:p>
        </w:tc>
        <w:tc>
          <w:tcPr>
            <w:tcW w:w="4590" w:type="dxa"/>
          </w:tcPr>
          <w:p w14:paraId="38B10EBC" w14:textId="77777777" w:rsidR="0042797D" w:rsidRPr="00967A8F" w:rsidRDefault="0042797D" w:rsidP="002F73B2">
            <w:pPr>
              <w:pStyle w:val="NormalWeb"/>
              <w:spacing w:line="360" w:lineRule="auto"/>
              <w:jc w:val="both"/>
              <w:rPr>
                <w:sz w:val="26"/>
                <w:szCs w:val="26"/>
              </w:rPr>
            </w:pPr>
            <w:r>
              <w:rPr>
                <w:sz w:val="26"/>
                <w:szCs w:val="26"/>
              </w:rPr>
              <w:t>L</w:t>
            </w:r>
            <w:r w:rsidRPr="00967A8F">
              <w:rPr>
                <w:sz w:val="26"/>
                <w:szCs w:val="26"/>
              </w:rPr>
              <w:t>à giải pháp tài chính phù hợp dành cho khách hàng có nhu cầu gửi tiền dài hạn, với mức lãi suất cạnh tranh và nhiều lợi ích gia tăng.</w:t>
            </w:r>
          </w:p>
        </w:tc>
        <w:tc>
          <w:tcPr>
            <w:tcW w:w="4230" w:type="dxa"/>
          </w:tcPr>
          <w:p w14:paraId="7B8F1BFC" w14:textId="77777777" w:rsidR="0042797D" w:rsidRPr="007674C6" w:rsidRDefault="0042797D" w:rsidP="002F73B2">
            <w:pPr>
              <w:pStyle w:val="NormalWeb"/>
              <w:spacing w:line="360" w:lineRule="auto"/>
              <w:jc w:val="both"/>
              <w:rPr>
                <w:sz w:val="26"/>
                <w:szCs w:val="26"/>
              </w:rPr>
            </w:pPr>
            <w:r>
              <w:rPr>
                <w:b/>
                <w:bCs/>
                <w:sz w:val="26"/>
                <w:szCs w:val="26"/>
              </w:rPr>
              <w:t xml:space="preserve">- </w:t>
            </w:r>
            <w:r w:rsidRPr="007674C6">
              <w:rPr>
                <w:sz w:val="26"/>
                <w:szCs w:val="26"/>
              </w:rPr>
              <w:t>Lãi suất ưu đãi, 6 tháng điều chỉnh một lần và không thấp hơn lãi suất ban đầu.</w:t>
            </w:r>
          </w:p>
          <w:p w14:paraId="3C317CA5" w14:textId="77777777" w:rsidR="0042797D" w:rsidRPr="00FB379F" w:rsidRDefault="0042797D" w:rsidP="002F73B2">
            <w:pPr>
              <w:pStyle w:val="NormalWeb"/>
              <w:spacing w:line="360" w:lineRule="auto"/>
              <w:jc w:val="both"/>
              <w:rPr>
                <w:sz w:val="26"/>
                <w:szCs w:val="26"/>
              </w:rPr>
            </w:pPr>
            <w:r w:rsidRPr="00967A8F">
              <w:rPr>
                <w:sz w:val="26"/>
                <w:szCs w:val="26"/>
              </w:rPr>
              <w:t xml:space="preserve">- </w:t>
            </w:r>
            <w:r w:rsidRPr="00FB379F">
              <w:rPr>
                <w:sz w:val="26"/>
                <w:szCs w:val="26"/>
              </w:rPr>
              <w:t>Được rút trước hạn một phần nhiều lần, áp dụng với hình thức nhận lãi cuối kỳ.</w:t>
            </w:r>
          </w:p>
        </w:tc>
      </w:tr>
      <w:tr w:rsidR="0042797D" w14:paraId="0FAEB75C" w14:textId="77777777" w:rsidTr="002F73B2">
        <w:tc>
          <w:tcPr>
            <w:tcW w:w="2070" w:type="dxa"/>
            <w:vAlign w:val="center"/>
          </w:tcPr>
          <w:p w14:paraId="5C347FE0" w14:textId="77777777" w:rsidR="0042797D" w:rsidRDefault="0042797D" w:rsidP="002F73B2">
            <w:pPr>
              <w:pStyle w:val="NormalWeb"/>
              <w:jc w:val="both"/>
              <w:rPr>
                <w:b/>
                <w:bCs/>
                <w:sz w:val="26"/>
                <w:szCs w:val="26"/>
              </w:rPr>
            </w:pPr>
            <w:r>
              <w:rPr>
                <w:b/>
                <w:bCs/>
                <w:sz w:val="26"/>
                <w:szCs w:val="26"/>
              </w:rPr>
              <w:t>Tiết kiệm thông thường</w:t>
            </w:r>
          </w:p>
        </w:tc>
        <w:tc>
          <w:tcPr>
            <w:tcW w:w="4590" w:type="dxa"/>
          </w:tcPr>
          <w:p w14:paraId="651AAD88" w14:textId="77777777" w:rsidR="0042797D" w:rsidRPr="00C549AA" w:rsidRDefault="0042797D" w:rsidP="002F73B2">
            <w:pPr>
              <w:pStyle w:val="NormalWeb"/>
              <w:spacing w:line="360" w:lineRule="auto"/>
              <w:jc w:val="both"/>
              <w:rPr>
                <w:sz w:val="26"/>
                <w:szCs w:val="26"/>
              </w:rPr>
            </w:pPr>
            <w:r w:rsidRPr="00011FEE">
              <w:rPr>
                <w:sz w:val="26"/>
                <w:szCs w:val="26"/>
              </w:rPr>
              <w:t>Tiết kiệm thông thường là sản phẩm tiền gửi không kỳ hạn và có kỳ hạn, với nhiều phương thức trả lãi như đầu kỳ, hàng tháng, hàng quý, 6 tháng/lần và cuối kỳ</w:t>
            </w:r>
          </w:p>
        </w:tc>
        <w:tc>
          <w:tcPr>
            <w:tcW w:w="4230" w:type="dxa"/>
          </w:tcPr>
          <w:p w14:paraId="4B802F98" w14:textId="77777777" w:rsidR="0042797D" w:rsidRPr="00C549AA" w:rsidRDefault="0042797D" w:rsidP="002F73B2">
            <w:pPr>
              <w:pStyle w:val="NormalWeb"/>
              <w:spacing w:line="360" w:lineRule="auto"/>
              <w:jc w:val="both"/>
              <w:rPr>
                <w:sz w:val="26"/>
                <w:szCs w:val="26"/>
              </w:rPr>
            </w:pPr>
            <w:r w:rsidRPr="00F57436">
              <w:rPr>
                <w:sz w:val="26"/>
                <w:szCs w:val="26"/>
              </w:rPr>
              <w:t>Cho phép rút trước hạn một phần nhiều lần, đa dạng kỳ hạn và phương thức trả lãi, đồng thời dùng để xác minh tài chính.</w:t>
            </w:r>
          </w:p>
        </w:tc>
      </w:tr>
      <w:tr w:rsidR="0042797D" w14:paraId="51192AC6" w14:textId="77777777" w:rsidTr="002F73B2">
        <w:tc>
          <w:tcPr>
            <w:tcW w:w="2070" w:type="dxa"/>
            <w:vAlign w:val="center"/>
          </w:tcPr>
          <w:p w14:paraId="3CBCEF6E" w14:textId="77777777" w:rsidR="0042797D" w:rsidRDefault="0042797D" w:rsidP="002F73B2">
            <w:pPr>
              <w:pStyle w:val="NormalWeb"/>
              <w:jc w:val="both"/>
              <w:rPr>
                <w:b/>
                <w:bCs/>
                <w:sz w:val="26"/>
                <w:szCs w:val="26"/>
              </w:rPr>
            </w:pPr>
            <w:r>
              <w:rPr>
                <w:b/>
                <w:bCs/>
                <w:sz w:val="26"/>
                <w:szCs w:val="26"/>
              </w:rPr>
              <w:t>Happy future</w:t>
            </w:r>
          </w:p>
        </w:tc>
        <w:tc>
          <w:tcPr>
            <w:tcW w:w="4590" w:type="dxa"/>
          </w:tcPr>
          <w:p w14:paraId="373A32D7" w14:textId="77777777" w:rsidR="0042797D" w:rsidRPr="00B725DE" w:rsidRDefault="0042797D" w:rsidP="002F73B2">
            <w:pPr>
              <w:pStyle w:val="NormalWeb"/>
              <w:spacing w:line="360" w:lineRule="auto"/>
              <w:jc w:val="both"/>
              <w:rPr>
                <w:sz w:val="26"/>
                <w:szCs w:val="26"/>
              </w:rPr>
            </w:pPr>
            <w:r w:rsidRPr="00B725DE">
              <w:rPr>
                <w:sz w:val="26"/>
                <w:szCs w:val="26"/>
              </w:rPr>
              <w:t>Tiết kiệm Happy Future là sản phẩm tiền gửi có kỳ hạn, cho phép gửi thêm nhiều lần trong kỳ hạn để tích lũy cho tương lai.</w:t>
            </w:r>
          </w:p>
          <w:p w14:paraId="4EBD40D0" w14:textId="77777777" w:rsidR="0042797D" w:rsidRPr="000B5719" w:rsidRDefault="0042797D" w:rsidP="002F73B2">
            <w:pPr>
              <w:pStyle w:val="NormalWeb"/>
              <w:spacing w:line="360" w:lineRule="auto"/>
              <w:jc w:val="both"/>
              <w:rPr>
                <w:sz w:val="26"/>
                <w:szCs w:val="26"/>
              </w:rPr>
            </w:pPr>
          </w:p>
        </w:tc>
        <w:tc>
          <w:tcPr>
            <w:tcW w:w="4230" w:type="dxa"/>
          </w:tcPr>
          <w:p w14:paraId="4D6C5C2E" w14:textId="77777777" w:rsidR="0042797D" w:rsidRDefault="0042797D" w:rsidP="002F73B2">
            <w:pPr>
              <w:pStyle w:val="NormalWeb"/>
              <w:spacing w:line="360" w:lineRule="auto"/>
              <w:jc w:val="both"/>
              <w:rPr>
                <w:sz w:val="26"/>
                <w:szCs w:val="26"/>
              </w:rPr>
            </w:pPr>
            <w:r w:rsidRPr="00176854">
              <w:rPr>
                <w:sz w:val="26"/>
                <w:szCs w:val="26"/>
              </w:rPr>
              <w:t>Đa dạng kênh nộp tiền, linh hoạt giao dịch, miễn phí SMS thông báo, ưu đãi lãi suất tái tục và áp dụng lãi suất hấp dẫn theo từng kỳ hạn.</w:t>
            </w:r>
          </w:p>
        </w:tc>
      </w:tr>
      <w:tr w:rsidR="0042797D" w14:paraId="5A014CEB" w14:textId="77777777" w:rsidTr="002F73B2">
        <w:tc>
          <w:tcPr>
            <w:tcW w:w="2070" w:type="dxa"/>
            <w:vAlign w:val="center"/>
          </w:tcPr>
          <w:p w14:paraId="4D8AD482" w14:textId="77777777" w:rsidR="0042797D" w:rsidRDefault="0042797D" w:rsidP="002F73B2">
            <w:pPr>
              <w:pStyle w:val="NormalWeb"/>
              <w:jc w:val="both"/>
              <w:rPr>
                <w:b/>
                <w:bCs/>
                <w:sz w:val="26"/>
                <w:szCs w:val="26"/>
              </w:rPr>
            </w:pPr>
            <w:r>
              <w:rPr>
                <w:b/>
                <w:bCs/>
                <w:sz w:val="26"/>
                <w:szCs w:val="26"/>
              </w:rPr>
              <w:t>Tài khoản thanh toán</w:t>
            </w:r>
          </w:p>
        </w:tc>
        <w:tc>
          <w:tcPr>
            <w:tcW w:w="4590" w:type="dxa"/>
          </w:tcPr>
          <w:p w14:paraId="62074C40" w14:textId="77777777" w:rsidR="0042797D" w:rsidRPr="001045A8" w:rsidRDefault="0042797D" w:rsidP="002F73B2">
            <w:pPr>
              <w:pStyle w:val="NormalWeb"/>
              <w:spacing w:line="360" w:lineRule="auto"/>
              <w:jc w:val="both"/>
              <w:rPr>
                <w:sz w:val="26"/>
                <w:szCs w:val="26"/>
              </w:rPr>
            </w:pPr>
            <w:r w:rsidRPr="001A27D1">
              <w:rPr>
                <w:sz w:val="26"/>
                <w:szCs w:val="26"/>
              </w:rPr>
              <w:t>Tài khoản tiền gửi thanh toán là tài khoản tiền gửi không kỳ hạn của cá nhân nhằm mục đích thực hiện các giao dịch qua ngân hàng nhanh chóng, thuận tiện và dễ dàng.</w:t>
            </w:r>
          </w:p>
        </w:tc>
        <w:tc>
          <w:tcPr>
            <w:tcW w:w="4230" w:type="dxa"/>
          </w:tcPr>
          <w:p w14:paraId="4D0528F6" w14:textId="77777777" w:rsidR="0042797D" w:rsidRDefault="0042797D" w:rsidP="002F73B2">
            <w:pPr>
              <w:pStyle w:val="NormalWeb"/>
              <w:spacing w:line="360" w:lineRule="auto"/>
              <w:jc w:val="both"/>
              <w:rPr>
                <w:sz w:val="26"/>
                <w:szCs w:val="26"/>
              </w:rPr>
            </w:pPr>
            <w:r w:rsidRPr="00E96C66">
              <w:rPr>
                <w:sz w:val="26"/>
                <w:szCs w:val="26"/>
              </w:rPr>
              <w:t>Hỗ trợ nộp rút tiền linh hoạt, chuyển nhận tiền và thanh toán trong, ngoài nước, tích hợp ngân hàng điện tử, dùng để bảo lãnh vay vốn và giao dịch toàn quốc.</w:t>
            </w:r>
          </w:p>
        </w:tc>
      </w:tr>
      <w:tr w:rsidR="0042797D" w14:paraId="51E13091" w14:textId="77777777" w:rsidTr="002F73B2">
        <w:tc>
          <w:tcPr>
            <w:tcW w:w="2070" w:type="dxa"/>
            <w:vAlign w:val="center"/>
          </w:tcPr>
          <w:p w14:paraId="7EF0AE41" w14:textId="77777777" w:rsidR="0042797D" w:rsidRDefault="0042797D" w:rsidP="002F73B2">
            <w:pPr>
              <w:pStyle w:val="NormalWeb"/>
              <w:jc w:val="both"/>
              <w:rPr>
                <w:b/>
                <w:bCs/>
                <w:sz w:val="26"/>
                <w:szCs w:val="26"/>
              </w:rPr>
            </w:pPr>
            <w:r>
              <w:rPr>
                <w:b/>
                <w:bCs/>
                <w:sz w:val="26"/>
                <w:szCs w:val="26"/>
              </w:rPr>
              <w:lastRenderedPageBreak/>
              <w:t xml:space="preserve">Gói sản phẩm” Happy combo” </w:t>
            </w:r>
          </w:p>
        </w:tc>
        <w:tc>
          <w:tcPr>
            <w:tcW w:w="4590" w:type="dxa"/>
          </w:tcPr>
          <w:p w14:paraId="725A007A" w14:textId="77777777" w:rsidR="0042797D" w:rsidRPr="001A27D1" w:rsidRDefault="0042797D" w:rsidP="002F73B2">
            <w:pPr>
              <w:pStyle w:val="NormalWeb"/>
              <w:spacing w:line="360" w:lineRule="auto"/>
              <w:jc w:val="both"/>
              <w:rPr>
                <w:sz w:val="26"/>
                <w:szCs w:val="26"/>
              </w:rPr>
            </w:pPr>
            <w:r w:rsidRPr="009B0A8D">
              <w:rPr>
                <w:sz w:val="26"/>
                <w:szCs w:val="26"/>
              </w:rPr>
              <w:t>Happy Combo là gói tài khoản cho khách hàng cá nhân, kết hợp tài khoản thanh toán và dịch vụ ngân hàng số với chi phí tối ưu.</w:t>
            </w:r>
          </w:p>
        </w:tc>
        <w:tc>
          <w:tcPr>
            <w:tcW w:w="4230" w:type="dxa"/>
          </w:tcPr>
          <w:p w14:paraId="01D134BF" w14:textId="77777777" w:rsidR="0042797D" w:rsidRDefault="0042797D" w:rsidP="002F73B2">
            <w:pPr>
              <w:pStyle w:val="NormalWeb"/>
              <w:spacing w:line="360" w:lineRule="auto"/>
              <w:jc w:val="both"/>
              <w:rPr>
                <w:sz w:val="26"/>
                <w:szCs w:val="26"/>
              </w:rPr>
            </w:pPr>
            <w:r w:rsidRPr="002363CE">
              <w:rPr>
                <w:sz w:val="26"/>
                <w:szCs w:val="26"/>
              </w:rPr>
              <w:t>Miễn phí Open Banking, chuyển tiền, nộp rút tiền mặt và nhiều loại phí khác.</w:t>
            </w:r>
          </w:p>
        </w:tc>
      </w:tr>
      <w:tr w:rsidR="0042797D" w14:paraId="2A0F55A3" w14:textId="77777777" w:rsidTr="002F73B2">
        <w:tc>
          <w:tcPr>
            <w:tcW w:w="2070" w:type="dxa"/>
            <w:vAlign w:val="center"/>
          </w:tcPr>
          <w:p w14:paraId="471118D3" w14:textId="77777777" w:rsidR="0042797D" w:rsidRDefault="0042797D" w:rsidP="002F73B2">
            <w:pPr>
              <w:pStyle w:val="NormalWeb"/>
              <w:jc w:val="both"/>
              <w:rPr>
                <w:b/>
                <w:bCs/>
                <w:sz w:val="26"/>
                <w:szCs w:val="26"/>
              </w:rPr>
            </w:pPr>
            <w:r>
              <w:rPr>
                <w:b/>
                <w:bCs/>
                <w:sz w:val="26"/>
                <w:szCs w:val="26"/>
              </w:rPr>
              <w:t>Gói sản phẩm” Happy lady”</w:t>
            </w:r>
          </w:p>
        </w:tc>
        <w:tc>
          <w:tcPr>
            <w:tcW w:w="4590" w:type="dxa"/>
          </w:tcPr>
          <w:p w14:paraId="75F22194" w14:textId="77777777" w:rsidR="0042797D" w:rsidRPr="00324E5B" w:rsidRDefault="0042797D" w:rsidP="002F73B2">
            <w:pPr>
              <w:pStyle w:val="NormalWeb"/>
              <w:spacing w:line="360" w:lineRule="auto"/>
              <w:jc w:val="both"/>
              <w:rPr>
                <w:sz w:val="26"/>
                <w:szCs w:val="26"/>
              </w:rPr>
            </w:pPr>
            <w:r w:rsidRPr="0046597F">
              <w:rPr>
                <w:sz w:val="26"/>
                <w:szCs w:val="26"/>
              </w:rPr>
              <w:t>Happy Lady là gói sản phẩm tích hợp nhiều dịch vụ ngân hàng, kèm ưu đãi dành riêng cho phái đẹp trong mua sắm, làm đẹp, giáo dục, ẩm thực và thanh toán tiêu dùng.</w:t>
            </w:r>
          </w:p>
        </w:tc>
        <w:tc>
          <w:tcPr>
            <w:tcW w:w="4230" w:type="dxa"/>
          </w:tcPr>
          <w:p w14:paraId="64FF1D2E" w14:textId="77777777" w:rsidR="0042797D" w:rsidRDefault="0042797D" w:rsidP="002F73B2">
            <w:pPr>
              <w:pStyle w:val="NormalWeb"/>
              <w:spacing w:line="360" w:lineRule="auto"/>
              <w:jc w:val="both"/>
              <w:rPr>
                <w:sz w:val="26"/>
                <w:szCs w:val="26"/>
              </w:rPr>
            </w:pPr>
            <w:r w:rsidRPr="00186239">
              <w:rPr>
                <w:sz w:val="26"/>
                <w:szCs w:val="26"/>
              </w:rPr>
              <w:t>Ưu đãi lãi suất tiền gửi, cho vay, miễn số dư tối thiểu, miễn mở tài khoản số đẹp và miễn phí thường niên 3 năm đầu thẻ Happy Lady.</w:t>
            </w:r>
          </w:p>
        </w:tc>
      </w:tr>
    </w:tbl>
    <w:p w14:paraId="29552595" w14:textId="77777777" w:rsidR="0042797D" w:rsidRPr="00E11E38" w:rsidRDefault="0042797D" w:rsidP="0042797D">
      <w:pPr>
        <w:pStyle w:val="NormalWeb"/>
        <w:spacing w:before="0" w:beforeAutospacing="0" w:after="0" w:afterAutospacing="0"/>
        <w:jc w:val="right"/>
        <w:rPr>
          <w:i/>
          <w:iCs/>
          <w:sz w:val="26"/>
          <w:szCs w:val="26"/>
        </w:rPr>
      </w:pPr>
      <w:r w:rsidRPr="00E11E38">
        <w:rPr>
          <w:i/>
          <w:iCs/>
          <w:sz w:val="26"/>
          <w:szCs w:val="26"/>
        </w:rPr>
        <w:t>( Nguồn: Website Ngân hàng TMCP Nam Á)</w:t>
      </w:r>
    </w:p>
    <w:p w14:paraId="428F9707" w14:textId="77777777" w:rsidR="0042797D" w:rsidRPr="00A66809" w:rsidRDefault="0042797D" w:rsidP="0042797D">
      <w:pPr>
        <w:pStyle w:val="NormalWeb"/>
        <w:spacing w:line="360" w:lineRule="auto"/>
        <w:jc w:val="both"/>
        <w:rPr>
          <w:b/>
          <w:bCs/>
          <w:sz w:val="26"/>
          <w:szCs w:val="26"/>
        </w:rPr>
      </w:pPr>
      <w:r w:rsidRPr="00A66809">
        <w:rPr>
          <w:b/>
          <w:bCs/>
          <w:sz w:val="26"/>
          <w:szCs w:val="26"/>
        </w:rPr>
        <w:t>2.</w:t>
      </w:r>
      <w:r>
        <w:rPr>
          <w:b/>
          <w:bCs/>
          <w:sz w:val="26"/>
          <w:szCs w:val="26"/>
        </w:rPr>
        <w:t>3</w:t>
      </w:r>
      <w:r w:rsidRPr="00A66809">
        <w:rPr>
          <w:b/>
          <w:bCs/>
          <w:sz w:val="26"/>
          <w:szCs w:val="26"/>
        </w:rPr>
        <w:t xml:space="preserve"> </w:t>
      </w:r>
      <w:r>
        <w:rPr>
          <w:b/>
          <w:bCs/>
          <w:sz w:val="26"/>
          <w:szCs w:val="26"/>
        </w:rPr>
        <w:t xml:space="preserve">PHÂN TÍCH THỰC TRẠNG </w:t>
      </w:r>
      <w:r w:rsidRPr="00A66809">
        <w:rPr>
          <w:b/>
          <w:bCs/>
          <w:sz w:val="26"/>
          <w:szCs w:val="26"/>
        </w:rPr>
        <w:t xml:space="preserve">HOẠT ĐỘNG HUY ĐỘNG VỐN </w:t>
      </w:r>
      <w:r>
        <w:rPr>
          <w:b/>
          <w:bCs/>
          <w:sz w:val="26"/>
          <w:szCs w:val="26"/>
        </w:rPr>
        <w:t xml:space="preserve">ĐỐI VỚI KHÁCH HÀNG CÁ NHÂN </w:t>
      </w:r>
      <w:r w:rsidRPr="00A66809">
        <w:rPr>
          <w:b/>
          <w:bCs/>
          <w:sz w:val="26"/>
          <w:szCs w:val="26"/>
        </w:rPr>
        <w:t>TẠI NGÂN HÀNG TMCP NAM Á – CHI NHÁNH ĐÀ NẴNG – PHÒNG GIAO DỊCH CẨM LỆ</w:t>
      </w:r>
    </w:p>
    <w:p w14:paraId="19A1AF7A" w14:textId="77777777" w:rsidR="0042797D" w:rsidRDefault="0042797D" w:rsidP="0042797D">
      <w:pPr>
        <w:spacing w:line="360" w:lineRule="auto"/>
        <w:jc w:val="both"/>
        <w:rPr>
          <w:rFonts w:ascii="Times New Roman" w:hAnsi="Times New Roman" w:cs="Times New Roman"/>
          <w:b/>
          <w:bCs/>
          <w:sz w:val="26"/>
          <w:szCs w:val="26"/>
        </w:rPr>
      </w:pPr>
      <w:r w:rsidRPr="00CB2764">
        <w:rPr>
          <w:rFonts w:ascii="Times New Roman" w:hAnsi="Times New Roman" w:cs="Times New Roman"/>
          <w:b/>
          <w:bCs/>
          <w:sz w:val="26"/>
          <w:szCs w:val="26"/>
        </w:rPr>
        <w:t xml:space="preserve">2.3.1 </w:t>
      </w:r>
      <w:r>
        <w:rPr>
          <w:rFonts w:ascii="Times New Roman" w:hAnsi="Times New Roman" w:cs="Times New Roman"/>
          <w:b/>
          <w:bCs/>
          <w:sz w:val="26"/>
          <w:szCs w:val="26"/>
        </w:rPr>
        <w:t xml:space="preserve">Thực trang chung về hoạt động huy động vốn đối với khách hàng cá nhân tại </w:t>
      </w:r>
      <w:r w:rsidRPr="00CB2764">
        <w:rPr>
          <w:rFonts w:ascii="Times New Roman" w:hAnsi="Times New Roman" w:cs="Times New Roman"/>
          <w:b/>
          <w:bCs/>
          <w:sz w:val="26"/>
          <w:szCs w:val="26"/>
        </w:rPr>
        <w:t>Ngân hàng TMCP Nam Á – Chi nhánh Đà Nẵng – Phòng giao dịch Cẩm Lệ</w:t>
      </w:r>
    </w:p>
    <w:p w14:paraId="6AD59D2E" w14:textId="77777777" w:rsidR="0042797D" w:rsidRDefault="0042797D" w:rsidP="0042797D">
      <w:pPr>
        <w:spacing w:before="144" w:after="144" w:line="360" w:lineRule="auto"/>
        <w:ind w:right="146"/>
      </w:pPr>
      <w:r>
        <w:rPr>
          <w:rFonts w:ascii="Times New Roman" w:hAnsi="Times New Roman"/>
          <w:sz w:val="26"/>
          <w:szCs w:val="26"/>
        </w:rPr>
        <w:t xml:space="preserve">   Hoạt động huy động vốn tại Ngân hàng TMCP Nam Á – Chi nhánh Đà Nẵng – PGD Cẩm Lệ được triển khai đối với hai nhóm khách hàng chủ yếu là khách hàng cá nhân và khách hàng tổ chức. Mỗi nhóm khách hàng có đặc điểm về nhu cầu gửi tiền, mục đích sử dụng vốn và tính ổn định nguồn tiền khác nhau, từ đó tạo nên sự khác biệt trong cơ cấu nguồn vốn huy động của đơn vị. Trong đó, khách hàng cá nhân thường chiếm tỷ trọng lớn nhờ nguồn tiền gửi tiết kiệm tương đối ổn định, phân tán và phù hợp với định hướng phát triển ngân hàng bán lẻ của PGD; trong khi khách hàng tổ chức góp phần bổ sung nguồn vốn có quy mô lớn, gắn với nhu cầu thanh toán, quản lý dòng tiền và hoạt động sản xuất kinh doanh. Vì vậy, việc xem xét hoạt động huy động vốn tại PGD theo đối tượng khách hàng sẽ giúp làm rõ cơ cấu nguồn vốn, mức độ đóng góp của từng nhóm khách hàng và là cơ sở để đánh giá thực trạng huy động vốn của đơn vị trong giai đoạn 2023–2025.</w:t>
      </w:r>
    </w:p>
    <w:p w14:paraId="1FFBE0F4" w14:textId="77777777" w:rsidR="0042797D" w:rsidRPr="001308FF" w:rsidRDefault="0042797D" w:rsidP="0042797D">
      <w:pPr>
        <w:spacing w:beforeLines="60" w:before="144" w:afterLines="60" w:after="144" w:line="360" w:lineRule="auto"/>
        <w:ind w:right="146"/>
        <w:rPr>
          <w:rFonts w:ascii="Times New Roman" w:hAnsi="Times New Roman" w:cs="Times New Roman"/>
          <w:b/>
          <w:sz w:val="26"/>
          <w:szCs w:val="26"/>
          <w:lang w:val="vi-VN"/>
        </w:rPr>
      </w:pPr>
      <w:r>
        <w:rPr>
          <w:rFonts w:ascii="Times New Roman" w:hAnsi="Times New Roman" w:cs="Times New Roman"/>
          <w:b/>
          <w:bCs/>
          <w:sz w:val="26"/>
          <w:szCs w:val="26"/>
        </w:rPr>
        <w:lastRenderedPageBreak/>
        <w:t xml:space="preserve">  </w:t>
      </w:r>
      <w:r w:rsidRPr="001308FF">
        <w:rPr>
          <w:rFonts w:ascii="Times New Roman" w:hAnsi="Times New Roman" w:cs="Times New Roman"/>
          <w:b/>
          <w:sz w:val="26"/>
          <w:szCs w:val="26"/>
        </w:rPr>
        <w:t>Bảng 2</w:t>
      </w:r>
      <w:r>
        <w:rPr>
          <w:rFonts w:ascii="Times New Roman" w:hAnsi="Times New Roman" w:cs="Times New Roman"/>
          <w:b/>
          <w:sz w:val="26"/>
          <w:szCs w:val="26"/>
        </w:rPr>
        <w:t>.6</w:t>
      </w:r>
      <w:r w:rsidRPr="001308FF">
        <w:rPr>
          <w:rFonts w:ascii="Times New Roman" w:hAnsi="Times New Roman" w:cs="Times New Roman"/>
          <w:b/>
          <w:sz w:val="26"/>
          <w:szCs w:val="26"/>
        </w:rPr>
        <w:t xml:space="preserve"> Tình hình huy động vốn của Ngân hàng</w:t>
      </w:r>
      <w:r w:rsidRPr="001308FF">
        <w:rPr>
          <w:rFonts w:ascii="Times New Roman" w:hAnsi="Times New Roman" w:cs="Times New Roman"/>
          <w:b/>
          <w:sz w:val="26"/>
          <w:szCs w:val="26"/>
          <w:lang w:val="vi-VN"/>
        </w:rPr>
        <w:t xml:space="preserve"> TMCP</w:t>
      </w:r>
      <w:r w:rsidRPr="001308FF">
        <w:rPr>
          <w:rFonts w:ascii="Times New Roman" w:hAnsi="Times New Roman" w:cs="Times New Roman"/>
          <w:b/>
          <w:sz w:val="26"/>
          <w:szCs w:val="26"/>
        </w:rPr>
        <w:t xml:space="preserve"> Nam Á</w:t>
      </w:r>
      <w:r w:rsidRPr="001308FF">
        <w:rPr>
          <w:rFonts w:ascii="Times New Roman" w:hAnsi="Times New Roman" w:cs="Times New Roman"/>
          <w:b/>
          <w:sz w:val="26"/>
          <w:szCs w:val="26"/>
          <w:lang w:val="vi-VN"/>
        </w:rPr>
        <w:t xml:space="preserve"> </w:t>
      </w:r>
      <w:r w:rsidRPr="001308FF">
        <w:rPr>
          <w:rFonts w:ascii="Times New Roman" w:hAnsi="Times New Roman" w:cs="Times New Roman"/>
          <w:b/>
          <w:sz w:val="26"/>
          <w:szCs w:val="26"/>
        </w:rPr>
        <w:t>– Chi</w:t>
      </w:r>
      <w:r w:rsidRPr="001308FF">
        <w:rPr>
          <w:rFonts w:ascii="Times New Roman" w:hAnsi="Times New Roman" w:cs="Times New Roman"/>
          <w:b/>
          <w:sz w:val="26"/>
          <w:szCs w:val="26"/>
          <w:lang w:val="vi-VN"/>
        </w:rPr>
        <w:t xml:space="preserve"> nhánh Đà Nẵng</w:t>
      </w:r>
      <w:r w:rsidRPr="001308FF">
        <w:rPr>
          <w:rFonts w:ascii="Times New Roman" w:hAnsi="Times New Roman" w:cs="Times New Roman"/>
          <w:b/>
          <w:sz w:val="26"/>
          <w:szCs w:val="26"/>
        </w:rPr>
        <w:t xml:space="preserve"> – PGD Cẩm Lệ</w:t>
      </w:r>
      <w:r w:rsidRPr="001308FF">
        <w:rPr>
          <w:rFonts w:ascii="Times New Roman" w:hAnsi="Times New Roman" w:cs="Times New Roman"/>
          <w:b/>
          <w:sz w:val="26"/>
          <w:szCs w:val="26"/>
          <w:lang w:val="vi-VN"/>
        </w:rPr>
        <w:t xml:space="preserve"> 202</w:t>
      </w:r>
      <w:r>
        <w:rPr>
          <w:rFonts w:ascii="Times New Roman" w:hAnsi="Times New Roman" w:cs="Times New Roman"/>
          <w:b/>
          <w:sz w:val="26"/>
          <w:szCs w:val="26"/>
          <w:lang w:val="vi-VN"/>
        </w:rPr>
        <w:t>3</w:t>
      </w:r>
      <w:r w:rsidRPr="001308FF">
        <w:rPr>
          <w:rFonts w:ascii="Times New Roman" w:hAnsi="Times New Roman" w:cs="Times New Roman"/>
          <w:b/>
          <w:sz w:val="26"/>
          <w:szCs w:val="26"/>
          <w:lang w:val="vi-VN"/>
        </w:rPr>
        <w:t xml:space="preserve"> </w:t>
      </w:r>
      <w:r w:rsidRPr="001308FF">
        <w:rPr>
          <w:rFonts w:ascii="Times New Roman" w:hAnsi="Times New Roman" w:cs="Times New Roman"/>
          <w:b/>
          <w:sz w:val="26"/>
          <w:szCs w:val="26"/>
        </w:rPr>
        <w:t>–</w:t>
      </w:r>
      <w:r w:rsidRPr="001308FF">
        <w:rPr>
          <w:rFonts w:ascii="Times New Roman" w:hAnsi="Times New Roman" w:cs="Times New Roman"/>
          <w:b/>
          <w:sz w:val="26"/>
          <w:szCs w:val="26"/>
          <w:lang w:val="vi-VN"/>
        </w:rPr>
        <w:t xml:space="preserve"> 202</w:t>
      </w:r>
      <w:r>
        <w:rPr>
          <w:rFonts w:ascii="Times New Roman" w:hAnsi="Times New Roman" w:cs="Times New Roman"/>
          <w:b/>
          <w:sz w:val="26"/>
          <w:szCs w:val="26"/>
          <w:lang w:val="vi-VN"/>
        </w:rPr>
        <w:t>5</w:t>
      </w:r>
    </w:p>
    <w:p w14:paraId="1CF1B235" w14:textId="77777777" w:rsidR="0042797D" w:rsidRPr="001308FF" w:rsidRDefault="0042797D" w:rsidP="0042797D">
      <w:pPr>
        <w:spacing w:beforeLines="60" w:before="144" w:afterLines="60" w:after="144" w:line="360" w:lineRule="auto"/>
        <w:ind w:right="146"/>
        <w:jc w:val="right"/>
        <w:rPr>
          <w:rFonts w:ascii="Times New Roman" w:hAnsi="Times New Roman" w:cs="Times New Roman"/>
          <w:bCs/>
          <w:i/>
          <w:iCs/>
          <w:sz w:val="26"/>
          <w:szCs w:val="26"/>
          <w:lang w:val="vi-VN"/>
        </w:rPr>
      </w:pPr>
      <w:r w:rsidRPr="001308FF">
        <w:rPr>
          <w:rFonts w:ascii="Times New Roman" w:hAnsi="Times New Roman" w:cs="Times New Roman"/>
          <w:bCs/>
          <w:i/>
          <w:iCs/>
          <w:sz w:val="26"/>
          <w:szCs w:val="26"/>
          <w:lang w:val="vi-VN"/>
        </w:rPr>
        <w:t>(Đơn vị tính: Triệu đồng)</w:t>
      </w:r>
    </w:p>
    <w:tbl>
      <w:tblPr>
        <w:tblStyle w:val="TableGrid"/>
        <w:tblW w:w="5147" w:type="pct"/>
        <w:jc w:val="center"/>
        <w:tblLook w:val="04A0" w:firstRow="1" w:lastRow="0" w:firstColumn="1" w:lastColumn="0" w:noHBand="0" w:noVBand="1"/>
      </w:tblPr>
      <w:tblGrid>
        <w:gridCol w:w="852"/>
        <w:gridCol w:w="1078"/>
        <w:gridCol w:w="968"/>
        <w:gridCol w:w="1078"/>
        <w:gridCol w:w="968"/>
        <w:gridCol w:w="1078"/>
        <w:gridCol w:w="968"/>
        <w:gridCol w:w="968"/>
        <w:gridCol w:w="858"/>
        <w:gridCol w:w="968"/>
        <w:gridCol w:w="858"/>
      </w:tblGrid>
      <w:tr w:rsidR="0042797D" w:rsidRPr="001308FF" w14:paraId="51D80AFB" w14:textId="77777777" w:rsidTr="002F73B2">
        <w:trPr>
          <w:trHeight w:val="701"/>
          <w:jc w:val="center"/>
        </w:trPr>
        <w:tc>
          <w:tcPr>
            <w:tcW w:w="390" w:type="pct"/>
            <w:vMerge w:val="restart"/>
            <w:vAlign w:val="center"/>
          </w:tcPr>
          <w:p w14:paraId="7F4E4C41"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lang w:val="vi-VN"/>
              </w:rPr>
              <w:t>Chỉ tiêu</w:t>
            </w:r>
          </w:p>
        </w:tc>
        <w:tc>
          <w:tcPr>
            <w:tcW w:w="932" w:type="pct"/>
            <w:gridSpan w:val="2"/>
            <w:vAlign w:val="center"/>
          </w:tcPr>
          <w:p w14:paraId="79D051DF" w14:textId="77777777" w:rsidR="0042797D" w:rsidRPr="00C43DF1" w:rsidRDefault="0042797D" w:rsidP="002F73B2">
            <w:pPr>
              <w:spacing w:beforeLines="60" w:before="144" w:afterLines="60" w:after="144"/>
              <w:ind w:left="158" w:right="146"/>
              <w:jc w:val="center"/>
              <w:rPr>
                <w:rFonts w:ascii="Times New Roman" w:hAnsi="Times New Roman" w:cs="Times New Roman"/>
                <w:b/>
                <w:bCs/>
                <w:lang w:val="vi-VN"/>
              </w:rPr>
            </w:pPr>
            <w:r w:rsidRPr="00C43DF1">
              <w:rPr>
                <w:rFonts w:ascii="Times New Roman" w:hAnsi="Times New Roman" w:cs="Times New Roman"/>
                <w:b/>
                <w:bCs/>
                <w:color w:val="000000"/>
              </w:rPr>
              <w:t>2023</w:t>
            </w:r>
          </w:p>
        </w:tc>
        <w:tc>
          <w:tcPr>
            <w:tcW w:w="933" w:type="pct"/>
            <w:gridSpan w:val="2"/>
            <w:vAlign w:val="center"/>
          </w:tcPr>
          <w:p w14:paraId="47E1C662"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2024</w:t>
            </w:r>
          </w:p>
        </w:tc>
        <w:tc>
          <w:tcPr>
            <w:tcW w:w="933" w:type="pct"/>
            <w:gridSpan w:val="2"/>
            <w:vAlign w:val="center"/>
          </w:tcPr>
          <w:p w14:paraId="3B846682"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202</w:t>
            </w:r>
            <w:r w:rsidRPr="00C43DF1">
              <w:rPr>
                <w:rFonts w:ascii="Times New Roman" w:hAnsi="Times New Roman" w:cs="Times New Roman"/>
                <w:b/>
                <w:bCs/>
                <w:color w:val="000000"/>
                <w:lang w:val="vi-VN"/>
              </w:rPr>
              <w:t>5</w:t>
            </w:r>
          </w:p>
        </w:tc>
        <w:tc>
          <w:tcPr>
            <w:tcW w:w="835" w:type="pct"/>
            <w:gridSpan w:val="2"/>
            <w:vAlign w:val="center"/>
          </w:tcPr>
          <w:p w14:paraId="615D58F3"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Chênh lệch 202</w:t>
            </w:r>
            <w:r w:rsidRPr="00C43DF1">
              <w:rPr>
                <w:rFonts w:ascii="Times New Roman" w:hAnsi="Times New Roman" w:cs="Times New Roman"/>
                <w:b/>
                <w:bCs/>
                <w:color w:val="000000"/>
                <w:lang w:val="vi-VN"/>
              </w:rPr>
              <w:t>4</w:t>
            </w:r>
            <w:r w:rsidRPr="00C43DF1">
              <w:rPr>
                <w:rFonts w:ascii="Times New Roman" w:hAnsi="Times New Roman" w:cs="Times New Roman"/>
                <w:b/>
                <w:bCs/>
                <w:color w:val="000000"/>
              </w:rPr>
              <w:t>/202</w:t>
            </w:r>
            <w:r w:rsidRPr="00C43DF1">
              <w:rPr>
                <w:rFonts w:ascii="Times New Roman" w:hAnsi="Times New Roman" w:cs="Times New Roman"/>
                <w:b/>
                <w:bCs/>
                <w:color w:val="000000"/>
                <w:lang w:val="vi-VN"/>
              </w:rPr>
              <w:t>3</w:t>
            </w:r>
          </w:p>
        </w:tc>
        <w:tc>
          <w:tcPr>
            <w:tcW w:w="978" w:type="pct"/>
            <w:gridSpan w:val="2"/>
            <w:vAlign w:val="center"/>
          </w:tcPr>
          <w:p w14:paraId="552A464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Chênh lệch 202</w:t>
            </w:r>
            <w:r w:rsidRPr="00C43DF1">
              <w:rPr>
                <w:rFonts w:ascii="Times New Roman" w:hAnsi="Times New Roman" w:cs="Times New Roman"/>
                <w:b/>
                <w:bCs/>
                <w:color w:val="000000"/>
                <w:lang w:val="vi-VN"/>
              </w:rPr>
              <w:t>5</w:t>
            </w:r>
            <w:r w:rsidRPr="00C43DF1">
              <w:rPr>
                <w:rFonts w:ascii="Times New Roman" w:hAnsi="Times New Roman" w:cs="Times New Roman"/>
                <w:b/>
                <w:bCs/>
                <w:color w:val="000000"/>
              </w:rPr>
              <w:t>/202</w:t>
            </w:r>
            <w:r w:rsidRPr="00C43DF1">
              <w:rPr>
                <w:rFonts w:ascii="Times New Roman" w:hAnsi="Times New Roman" w:cs="Times New Roman"/>
                <w:b/>
                <w:bCs/>
                <w:color w:val="000000"/>
                <w:lang w:val="vi-VN"/>
              </w:rPr>
              <w:t>4</w:t>
            </w:r>
          </w:p>
        </w:tc>
      </w:tr>
      <w:tr w:rsidR="0042797D" w:rsidRPr="001308FF" w14:paraId="35EFA2C5" w14:textId="77777777" w:rsidTr="002F73B2">
        <w:trPr>
          <w:trHeight w:val="656"/>
          <w:jc w:val="center"/>
        </w:trPr>
        <w:tc>
          <w:tcPr>
            <w:tcW w:w="390" w:type="pct"/>
            <w:vMerge/>
            <w:vAlign w:val="center"/>
          </w:tcPr>
          <w:p w14:paraId="682A278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p>
        </w:tc>
        <w:tc>
          <w:tcPr>
            <w:tcW w:w="490" w:type="pct"/>
            <w:vAlign w:val="center"/>
          </w:tcPr>
          <w:p w14:paraId="343C73C3"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Số tiền</w:t>
            </w:r>
          </w:p>
        </w:tc>
        <w:tc>
          <w:tcPr>
            <w:tcW w:w="442" w:type="pct"/>
            <w:vAlign w:val="center"/>
          </w:tcPr>
          <w:p w14:paraId="0E31DF60"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Tỷ trọng</w:t>
            </w:r>
            <w:r w:rsidRPr="00C43DF1">
              <w:rPr>
                <w:rFonts w:ascii="Times New Roman" w:hAnsi="Times New Roman" w:cs="Times New Roman"/>
                <w:b/>
                <w:bCs/>
                <w:color w:val="000000"/>
                <w:lang w:val="vi-VN"/>
              </w:rPr>
              <w:t xml:space="preserve"> </w:t>
            </w:r>
          </w:p>
        </w:tc>
        <w:tc>
          <w:tcPr>
            <w:tcW w:w="491" w:type="pct"/>
            <w:vAlign w:val="center"/>
          </w:tcPr>
          <w:p w14:paraId="2A53300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Số tiền</w:t>
            </w:r>
          </w:p>
        </w:tc>
        <w:tc>
          <w:tcPr>
            <w:tcW w:w="442" w:type="pct"/>
            <w:vAlign w:val="center"/>
          </w:tcPr>
          <w:p w14:paraId="54675C2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Tỷ trọng</w:t>
            </w:r>
            <w:r w:rsidRPr="00C43DF1">
              <w:rPr>
                <w:rFonts w:ascii="Times New Roman" w:hAnsi="Times New Roman" w:cs="Times New Roman"/>
                <w:b/>
                <w:bCs/>
                <w:color w:val="000000"/>
                <w:lang w:val="vi-VN"/>
              </w:rPr>
              <w:t xml:space="preserve"> </w:t>
            </w:r>
          </w:p>
        </w:tc>
        <w:tc>
          <w:tcPr>
            <w:tcW w:w="491" w:type="pct"/>
            <w:vAlign w:val="center"/>
          </w:tcPr>
          <w:p w14:paraId="1C483B69"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Số tiền</w:t>
            </w:r>
          </w:p>
        </w:tc>
        <w:tc>
          <w:tcPr>
            <w:tcW w:w="442" w:type="pct"/>
            <w:vAlign w:val="center"/>
          </w:tcPr>
          <w:p w14:paraId="1A1BF7CC" w14:textId="77777777" w:rsidR="0042797D" w:rsidRPr="00C43DF1" w:rsidRDefault="0042797D" w:rsidP="002F73B2">
            <w:pPr>
              <w:spacing w:beforeLines="60" w:before="144" w:afterLines="60" w:after="144"/>
              <w:ind w:right="146"/>
              <w:jc w:val="center"/>
              <w:rPr>
                <w:rFonts w:ascii="Times New Roman" w:hAnsi="Times New Roman" w:cs="Times New Roman"/>
                <w:b/>
                <w:bCs/>
                <w:color w:val="000000"/>
              </w:rPr>
            </w:pPr>
            <w:r w:rsidRPr="00C43DF1">
              <w:rPr>
                <w:rFonts w:ascii="Times New Roman" w:hAnsi="Times New Roman" w:cs="Times New Roman"/>
                <w:b/>
                <w:bCs/>
                <w:color w:val="000000"/>
              </w:rPr>
              <w:t>Tỷ trọng</w:t>
            </w:r>
            <w:r w:rsidRPr="00C43DF1">
              <w:rPr>
                <w:rFonts w:ascii="Times New Roman" w:hAnsi="Times New Roman" w:cs="Times New Roman"/>
                <w:b/>
                <w:bCs/>
                <w:color w:val="000000"/>
                <w:lang w:val="vi-VN"/>
              </w:rPr>
              <w:t xml:space="preserve"> </w:t>
            </w:r>
          </w:p>
        </w:tc>
        <w:tc>
          <w:tcPr>
            <w:tcW w:w="442" w:type="pct"/>
            <w:vAlign w:val="center"/>
          </w:tcPr>
          <w:p w14:paraId="3DFE1FFB"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Số tiền</w:t>
            </w:r>
          </w:p>
        </w:tc>
        <w:tc>
          <w:tcPr>
            <w:tcW w:w="393" w:type="pct"/>
            <w:vAlign w:val="center"/>
          </w:tcPr>
          <w:p w14:paraId="591DB5FA"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Tỷ lệ</w:t>
            </w:r>
            <w:r w:rsidRPr="00C43DF1">
              <w:rPr>
                <w:rFonts w:ascii="Times New Roman" w:hAnsi="Times New Roman" w:cs="Times New Roman"/>
                <w:b/>
                <w:bCs/>
                <w:color w:val="000000"/>
                <w:lang w:val="vi-VN"/>
              </w:rPr>
              <w:t xml:space="preserve"> </w:t>
            </w:r>
          </w:p>
        </w:tc>
        <w:tc>
          <w:tcPr>
            <w:tcW w:w="442" w:type="pct"/>
            <w:vAlign w:val="center"/>
          </w:tcPr>
          <w:p w14:paraId="63DB10D5" w14:textId="77777777" w:rsidR="0042797D" w:rsidRPr="00C43DF1" w:rsidRDefault="0042797D" w:rsidP="002F73B2">
            <w:pPr>
              <w:spacing w:beforeLines="60" w:before="144" w:afterLines="60" w:after="144"/>
              <w:ind w:right="146"/>
              <w:jc w:val="center"/>
              <w:rPr>
                <w:rFonts w:ascii="Times New Roman" w:hAnsi="Times New Roman" w:cs="Times New Roman"/>
                <w:b/>
                <w:bCs/>
                <w:color w:val="000000"/>
              </w:rPr>
            </w:pPr>
            <w:r w:rsidRPr="00C43DF1">
              <w:rPr>
                <w:rFonts w:ascii="Times New Roman" w:hAnsi="Times New Roman" w:cs="Times New Roman"/>
                <w:b/>
                <w:bCs/>
                <w:color w:val="000000"/>
              </w:rPr>
              <w:t>Số tiền</w:t>
            </w:r>
          </w:p>
        </w:tc>
        <w:tc>
          <w:tcPr>
            <w:tcW w:w="536" w:type="pct"/>
            <w:vAlign w:val="center"/>
          </w:tcPr>
          <w:p w14:paraId="6621B37D" w14:textId="77777777" w:rsidR="0042797D" w:rsidRPr="00C43DF1" w:rsidRDefault="0042797D" w:rsidP="002F73B2">
            <w:pPr>
              <w:jc w:val="center"/>
              <w:rPr>
                <w:rFonts w:ascii="Times New Roman" w:hAnsi="Times New Roman" w:cs="Times New Roman"/>
                <w:b/>
                <w:bCs/>
              </w:rPr>
            </w:pPr>
            <w:r w:rsidRPr="00C43DF1">
              <w:rPr>
                <w:rFonts w:ascii="Times New Roman" w:hAnsi="Times New Roman" w:cs="Times New Roman"/>
                <w:b/>
                <w:bCs/>
              </w:rPr>
              <w:t>Tỷ lệ</w:t>
            </w:r>
          </w:p>
        </w:tc>
      </w:tr>
      <w:tr w:rsidR="0042797D" w:rsidRPr="001308FF" w14:paraId="10128CF6" w14:textId="77777777" w:rsidTr="002F73B2">
        <w:trPr>
          <w:trHeight w:val="800"/>
          <w:jc w:val="center"/>
        </w:trPr>
        <w:tc>
          <w:tcPr>
            <w:tcW w:w="390" w:type="pct"/>
            <w:vAlign w:val="center"/>
          </w:tcPr>
          <w:p w14:paraId="454429AC"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lang w:val="vi-VN"/>
              </w:rPr>
              <w:t>Cá nhân</w:t>
            </w:r>
          </w:p>
        </w:tc>
        <w:tc>
          <w:tcPr>
            <w:tcW w:w="490" w:type="pct"/>
            <w:vAlign w:val="center"/>
          </w:tcPr>
          <w:p w14:paraId="62FF779C"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492</w:t>
            </w:r>
            <w:r w:rsidRPr="00C43DF1">
              <w:rPr>
                <w:rFonts w:ascii="Times New Roman" w:hAnsi="Times New Roman" w:cs="Times New Roman"/>
                <w:color w:val="000000"/>
                <w:lang w:val="vi-VN"/>
              </w:rPr>
              <w:t>.484</w:t>
            </w:r>
          </w:p>
        </w:tc>
        <w:tc>
          <w:tcPr>
            <w:tcW w:w="442" w:type="pct"/>
            <w:vAlign w:val="center"/>
          </w:tcPr>
          <w:p w14:paraId="7D9C8A7D"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66</w:t>
            </w:r>
            <w:r w:rsidRPr="00C43DF1">
              <w:rPr>
                <w:rFonts w:ascii="Times New Roman" w:hAnsi="Times New Roman" w:cs="Times New Roman"/>
                <w:color w:val="000000"/>
                <w:lang w:val="vi-VN"/>
              </w:rPr>
              <w:t>,30</w:t>
            </w:r>
          </w:p>
        </w:tc>
        <w:tc>
          <w:tcPr>
            <w:tcW w:w="491" w:type="pct"/>
            <w:vAlign w:val="center"/>
          </w:tcPr>
          <w:p w14:paraId="7979D00C"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532</w:t>
            </w:r>
            <w:r w:rsidRPr="00C43DF1">
              <w:rPr>
                <w:rFonts w:ascii="Times New Roman" w:hAnsi="Times New Roman" w:cs="Times New Roman"/>
                <w:color w:val="000000"/>
                <w:lang w:val="vi-VN"/>
              </w:rPr>
              <w:t>.347</w:t>
            </w:r>
          </w:p>
        </w:tc>
        <w:tc>
          <w:tcPr>
            <w:tcW w:w="442" w:type="pct"/>
            <w:vAlign w:val="center"/>
          </w:tcPr>
          <w:p w14:paraId="512F5944"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64,4</w:t>
            </w:r>
            <w:r w:rsidRPr="00C43DF1">
              <w:rPr>
                <w:rFonts w:ascii="Times New Roman" w:hAnsi="Times New Roman" w:cs="Times New Roman"/>
                <w:color w:val="000000"/>
                <w:lang w:val="vi-VN"/>
              </w:rPr>
              <w:t>0</w:t>
            </w:r>
          </w:p>
        </w:tc>
        <w:tc>
          <w:tcPr>
            <w:tcW w:w="491" w:type="pct"/>
            <w:vAlign w:val="center"/>
          </w:tcPr>
          <w:p w14:paraId="208057C0"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596,252</w:t>
            </w:r>
          </w:p>
        </w:tc>
        <w:tc>
          <w:tcPr>
            <w:tcW w:w="442" w:type="pct"/>
            <w:vAlign w:val="center"/>
          </w:tcPr>
          <w:p w14:paraId="76B3369D"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65,62</w:t>
            </w:r>
          </w:p>
        </w:tc>
        <w:tc>
          <w:tcPr>
            <w:tcW w:w="442" w:type="pct"/>
            <w:vAlign w:val="center"/>
          </w:tcPr>
          <w:p w14:paraId="54432B61"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39,867</w:t>
            </w:r>
          </w:p>
        </w:tc>
        <w:tc>
          <w:tcPr>
            <w:tcW w:w="393" w:type="pct"/>
            <w:vAlign w:val="center"/>
          </w:tcPr>
          <w:p w14:paraId="2FE41C4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8,10</w:t>
            </w:r>
          </w:p>
        </w:tc>
        <w:tc>
          <w:tcPr>
            <w:tcW w:w="442" w:type="pct"/>
            <w:vAlign w:val="center"/>
          </w:tcPr>
          <w:p w14:paraId="5D1E9DAC" w14:textId="77777777" w:rsidR="0042797D" w:rsidRPr="00C43DF1" w:rsidRDefault="0042797D" w:rsidP="002F73B2">
            <w:pPr>
              <w:spacing w:beforeLines="60" w:before="144" w:afterLines="60" w:after="144"/>
              <w:ind w:right="146"/>
              <w:jc w:val="center"/>
              <w:rPr>
                <w:rFonts w:ascii="Times New Roman" w:hAnsi="Times New Roman" w:cs="Times New Roman"/>
                <w:lang w:val="vi-VN"/>
              </w:rPr>
            </w:pPr>
            <w:r w:rsidRPr="00C43DF1">
              <w:rPr>
                <w:rFonts w:ascii="Times New Roman" w:hAnsi="Times New Roman" w:cs="Times New Roman"/>
                <w:color w:val="000000"/>
              </w:rPr>
              <w:t>63,905</w:t>
            </w:r>
          </w:p>
        </w:tc>
        <w:tc>
          <w:tcPr>
            <w:tcW w:w="536" w:type="pct"/>
            <w:vAlign w:val="center"/>
          </w:tcPr>
          <w:p w14:paraId="7A93B84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12,00</w:t>
            </w:r>
          </w:p>
        </w:tc>
      </w:tr>
      <w:tr w:rsidR="0042797D" w:rsidRPr="001308FF" w14:paraId="172332E0" w14:textId="77777777" w:rsidTr="002F73B2">
        <w:trPr>
          <w:trHeight w:val="656"/>
          <w:jc w:val="center"/>
        </w:trPr>
        <w:tc>
          <w:tcPr>
            <w:tcW w:w="390" w:type="pct"/>
            <w:vAlign w:val="center"/>
          </w:tcPr>
          <w:p w14:paraId="32B68053"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lang w:val="vi-VN"/>
              </w:rPr>
              <w:t>Tổ chức</w:t>
            </w:r>
          </w:p>
        </w:tc>
        <w:tc>
          <w:tcPr>
            <w:tcW w:w="490" w:type="pct"/>
            <w:vAlign w:val="center"/>
          </w:tcPr>
          <w:p w14:paraId="1E65CA85"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250</w:t>
            </w:r>
            <w:r w:rsidRPr="00C43DF1">
              <w:rPr>
                <w:rFonts w:ascii="Times New Roman" w:hAnsi="Times New Roman" w:cs="Times New Roman"/>
                <w:color w:val="000000"/>
                <w:lang w:val="vi-VN"/>
              </w:rPr>
              <w:t>.329</w:t>
            </w:r>
          </w:p>
        </w:tc>
        <w:tc>
          <w:tcPr>
            <w:tcW w:w="442" w:type="pct"/>
            <w:vAlign w:val="center"/>
          </w:tcPr>
          <w:p w14:paraId="4217060A"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33</w:t>
            </w:r>
            <w:r w:rsidRPr="00C43DF1">
              <w:rPr>
                <w:rFonts w:ascii="Times New Roman" w:hAnsi="Times New Roman" w:cs="Times New Roman"/>
                <w:color w:val="000000"/>
                <w:lang w:val="vi-VN"/>
              </w:rPr>
              <w:t>,70</w:t>
            </w:r>
          </w:p>
        </w:tc>
        <w:tc>
          <w:tcPr>
            <w:tcW w:w="491" w:type="pct"/>
            <w:vAlign w:val="center"/>
          </w:tcPr>
          <w:p w14:paraId="084F908B"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294</w:t>
            </w:r>
            <w:r w:rsidRPr="00C43DF1">
              <w:rPr>
                <w:rFonts w:ascii="Times New Roman" w:hAnsi="Times New Roman" w:cs="Times New Roman"/>
                <w:color w:val="000000"/>
                <w:lang w:val="vi-VN"/>
              </w:rPr>
              <w:t>.246</w:t>
            </w:r>
          </w:p>
        </w:tc>
        <w:tc>
          <w:tcPr>
            <w:tcW w:w="442" w:type="pct"/>
            <w:vAlign w:val="center"/>
          </w:tcPr>
          <w:p w14:paraId="6F68CEFA"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35,</w:t>
            </w:r>
            <w:r w:rsidRPr="00C43DF1">
              <w:rPr>
                <w:rFonts w:ascii="Times New Roman" w:hAnsi="Times New Roman" w:cs="Times New Roman"/>
                <w:color w:val="000000"/>
                <w:lang w:val="vi-VN"/>
              </w:rPr>
              <w:t>60</w:t>
            </w:r>
          </w:p>
        </w:tc>
        <w:tc>
          <w:tcPr>
            <w:tcW w:w="491" w:type="pct"/>
            <w:vAlign w:val="center"/>
          </w:tcPr>
          <w:p w14:paraId="22D94CA6"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312,422</w:t>
            </w:r>
          </w:p>
        </w:tc>
        <w:tc>
          <w:tcPr>
            <w:tcW w:w="442" w:type="pct"/>
            <w:vAlign w:val="center"/>
          </w:tcPr>
          <w:p w14:paraId="055E51A7"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34,38</w:t>
            </w:r>
          </w:p>
        </w:tc>
        <w:tc>
          <w:tcPr>
            <w:tcW w:w="442" w:type="pct"/>
            <w:vAlign w:val="center"/>
          </w:tcPr>
          <w:p w14:paraId="0E6F22E0"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43,916</w:t>
            </w:r>
          </w:p>
        </w:tc>
        <w:tc>
          <w:tcPr>
            <w:tcW w:w="393" w:type="pct"/>
            <w:vAlign w:val="center"/>
          </w:tcPr>
          <w:p w14:paraId="5899AF7C"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17,54</w:t>
            </w:r>
          </w:p>
        </w:tc>
        <w:tc>
          <w:tcPr>
            <w:tcW w:w="442" w:type="pct"/>
            <w:vAlign w:val="center"/>
          </w:tcPr>
          <w:p w14:paraId="1AEE0629"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18,176</w:t>
            </w:r>
          </w:p>
        </w:tc>
        <w:tc>
          <w:tcPr>
            <w:tcW w:w="536" w:type="pct"/>
            <w:vAlign w:val="center"/>
          </w:tcPr>
          <w:p w14:paraId="386F0BC4"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color w:val="000000"/>
              </w:rPr>
              <w:t>6,18</w:t>
            </w:r>
          </w:p>
        </w:tc>
      </w:tr>
      <w:tr w:rsidR="0042797D" w:rsidRPr="001308FF" w14:paraId="7752F241" w14:textId="77777777" w:rsidTr="002F73B2">
        <w:trPr>
          <w:trHeight w:val="710"/>
          <w:jc w:val="center"/>
        </w:trPr>
        <w:tc>
          <w:tcPr>
            <w:tcW w:w="390" w:type="pct"/>
            <w:vAlign w:val="center"/>
          </w:tcPr>
          <w:p w14:paraId="3C637898" w14:textId="77777777" w:rsidR="0042797D" w:rsidRPr="00C43DF1" w:rsidRDefault="0042797D" w:rsidP="002F73B2">
            <w:pPr>
              <w:spacing w:beforeLines="60" w:before="144" w:afterLines="60" w:after="144"/>
              <w:ind w:right="146"/>
              <w:jc w:val="center"/>
              <w:rPr>
                <w:rFonts w:ascii="Times New Roman" w:hAnsi="Times New Roman" w:cs="Times New Roman"/>
                <w:b/>
                <w:bCs/>
              </w:rPr>
            </w:pPr>
            <w:r w:rsidRPr="00C43DF1">
              <w:rPr>
                <w:rFonts w:ascii="Times New Roman" w:hAnsi="Times New Roman" w:cs="Times New Roman"/>
                <w:b/>
                <w:bCs/>
                <w:lang w:val="vi-VN"/>
              </w:rPr>
              <w:t xml:space="preserve">Tổng </w:t>
            </w:r>
            <w:r w:rsidRPr="00C43DF1">
              <w:rPr>
                <w:rFonts w:ascii="Times New Roman" w:hAnsi="Times New Roman" w:cs="Times New Roman"/>
                <w:b/>
                <w:bCs/>
              </w:rPr>
              <w:t>HĐV</w:t>
            </w:r>
          </w:p>
        </w:tc>
        <w:tc>
          <w:tcPr>
            <w:tcW w:w="490" w:type="pct"/>
            <w:vAlign w:val="center"/>
          </w:tcPr>
          <w:p w14:paraId="4F16220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742</w:t>
            </w:r>
            <w:r w:rsidRPr="00C43DF1">
              <w:rPr>
                <w:rFonts w:ascii="Times New Roman" w:hAnsi="Times New Roman" w:cs="Times New Roman"/>
                <w:b/>
                <w:bCs/>
                <w:color w:val="000000"/>
                <w:lang w:val="vi-VN"/>
              </w:rPr>
              <w:t>.813</w:t>
            </w:r>
          </w:p>
        </w:tc>
        <w:tc>
          <w:tcPr>
            <w:tcW w:w="442" w:type="pct"/>
            <w:vAlign w:val="center"/>
          </w:tcPr>
          <w:p w14:paraId="1F254DD4"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100</w:t>
            </w:r>
            <w:r w:rsidRPr="00C43DF1">
              <w:rPr>
                <w:rFonts w:ascii="Times New Roman" w:hAnsi="Times New Roman" w:cs="Times New Roman"/>
                <w:b/>
                <w:bCs/>
                <w:color w:val="000000"/>
                <w:lang w:val="vi-VN"/>
              </w:rPr>
              <w:t>,</w:t>
            </w:r>
            <w:r w:rsidRPr="00C43DF1">
              <w:rPr>
                <w:rFonts w:ascii="Times New Roman" w:hAnsi="Times New Roman" w:cs="Times New Roman"/>
                <w:b/>
                <w:bCs/>
                <w:color w:val="000000"/>
              </w:rPr>
              <w:t>00</w:t>
            </w:r>
          </w:p>
        </w:tc>
        <w:tc>
          <w:tcPr>
            <w:tcW w:w="491" w:type="pct"/>
            <w:vAlign w:val="center"/>
          </w:tcPr>
          <w:p w14:paraId="75277037"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826</w:t>
            </w:r>
            <w:r w:rsidRPr="00C43DF1">
              <w:rPr>
                <w:rFonts w:ascii="Times New Roman" w:hAnsi="Times New Roman" w:cs="Times New Roman"/>
                <w:b/>
                <w:bCs/>
                <w:color w:val="000000"/>
                <w:lang w:val="vi-VN"/>
              </w:rPr>
              <w:t>.593</w:t>
            </w:r>
          </w:p>
        </w:tc>
        <w:tc>
          <w:tcPr>
            <w:tcW w:w="442" w:type="pct"/>
            <w:vAlign w:val="center"/>
          </w:tcPr>
          <w:p w14:paraId="0508E2A6"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100,00</w:t>
            </w:r>
          </w:p>
        </w:tc>
        <w:tc>
          <w:tcPr>
            <w:tcW w:w="491" w:type="pct"/>
            <w:vAlign w:val="center"/>
          </w:tcPr>
          <w:p w14:paraId="40EBA6BD"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908,674</w:t>
            </w:r>
          </w:p>
        </w:tc>
        <w:tc>
          <w:tcPr>
            <w:tcW w:w="442" w:type="pct"/>
            <w:vAlign w:val="center"/>
          </w:tcPr>
          <w:p w14:paraId="2B686F7C"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100,00</w:t>
            </w:r>
          </w:p>
        </w:tc>
        <w:tc>
          <w:tcPr>
            <w:tcW w:w="442" w:type="pct"/>
            <w:vAlign w:val="center"/>
          </w:tcPr>
          <w:p w14:paraId="6089C52E"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83,783</w:t>
            </w:r>
          </w:p>
        </w:tc>
        <w:tc>
          <w:tcPr>
            <w:tcW w:w="393" w:type="pct"/>
            <w:vAlign w:val="center"/>
          </w:tcPr>
          <w:p w14:paraId="205E6D73"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11,28</w:t>
            </w:r>
          </w:p>
        </w:tc>
        <w:tc>
          <w:tcPr>
            <w:tcW w:w="442" w:type="pct"/>
            <w:vAlign w:val="center"/>
          </w:tcPr>
          <w:p w14:paraId="6199924B"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82,081</w:t>
            </w:r>
          </w:p>
        </w:tc>
        <w:tc>
          <w:tcPr>
            <w:tcW w:w="536" w:type="pct"/>
            <w:vAlign w:val="center"/>
          </w:tcPr>
          <w:p w14:paraId="5B8E25F4" w14:textId="77777777" w:rsidR="0042797D" w:rsidRPr="00C43DF1" w:rsidRDefault="0042797D" w:rsidP="002F73B2">
            <w:pPr>
              <w:spacing w:beforeLines="60" w:before="144" w:afterLines="60" w:after="144"/>
              <w:ind w:right="146"/>
              <w:jc w:val="center"/>
              <w:rPr>
                <w:rFonts w:ascii="Times New Roman" w:hAnsi="Times New Roman" w:cs="Times New Roman"/>
                <w:b/>
                <w:bCs/>
                <w:lang w:val="vi-VN"/>
              </w:rPr>
            </w:pPr>
            <w:r w:rsidRPr="00C43DF1">
              <w:rPr>
                <w:rFonts w:ascii="Times New Roman" w:hAnsi="Times New Roman" w:cs="Times New Roman"/>
                <w:b/>
                <w:bCs/>
                <w:color w:val="000000"/>
              </w:rPr>
              <w:t>9,93</w:t>
            </w:r>
          </w:p>
        </w:tc>
      </w:tr>
    </w:tbl>
    <w:p w14:paraId="4424A80A" w14:textId="77777777" w:rsidR="0042797D" w:rsidRDefault="0042797D" w:rsidP="0042797D">
      <w:pPr>
        <w:pStyle w:val="ListParagraph"/>
        <w:tabs>
          <w:tab w:val="left" w:pos="5103"/>
        </w:tabs>
        <w:spacing w:beforeLines="60" w:before="144" w:afterLines="60" w:after="144" w:line="360" w:lineRule="auto"/>
        <w:ind w:left="0"/>
        <w:jc w:val="right"/>
        <w:rPr>
          <w:rFonts w:ascii="Times New Roman" w:hAnsi="Times New Roman" w:cs="Times New Roman"/>
          <w:i/>
          <w:sz w:val="26"/>
          <w:szCs w:val="26"/>
          <w:lang w:val="vi-VN"/>
        </w:rPr>
      </w:pPr>
      <w:r w:rsidRPr="001308FF">
        <w:rPr>
          <w:rFonts w:ascii="Times New Roman" w:hAnsi="Times New Roman" w:cs="Times New Roman"/>
          <w:i/>
          <w:sz w:val="26"/>
          <w:szCs w:val="26"/>
          <w:lang w:val="vi-VN"/>
        </w:rPr>
        <w:t>(</w:t>
      </w:r>
      <w:r w:rsidRPr="001308FF">
        <w:rPr>
          <w:rFonts w:ascii="Times New Roman" w:hAnsi="Times New Roman" w:cs="Times New Roman"/>
          <w:i/>
          <w:sz w:val="26"/>
          <w:szCs w:val="26"/>
        </w:rPr>
        <w:t>Nguồn: BCTC Ngân hàng</w:t>
      </w:r>
      <w:r w:rsidRPr="001308FF">
        <w:rPr>
          <w:rFonts w:ascii="Times New Roman" w:hAnsi="Times New Roman" w:cs="Times New Roman"/>
          <w:i/>
          <w:sz w:val="26"/>
          <w:szCs w:val="26"/>
          <w:lang w:val="vi-VN"/>
        </w:rPr>
        <w:t xml:space="preserve"> TMCP</w:t>
      </w:r>
      <w:r w:rsidRPr="001308FF">
        <w:rPr>
          <w:rFonts w:ascii="Times New Roman" w:hAnsi="Times New Roman" w:cs="Times New Roman"/>
          <w:i/>
          <w:sz w:val="26"/>
          <w:szCs w:val="26"/>
        </w:rPr>
        <w:t xml:space="preserve"> Nam Á –</w:t>
      </w:r>
      <w:r w:rsidRPr="001308FF">
        <w:rPr>
          <w:rFonts w:ascii="Times New Roman" w:hAnsi="Times New Roman" w:cs="Times New Roman"/>
          <w:i/>
          <w:sz w:val="26"/>
          <w:szCs w:val="26"/>
          <w:lang w:val="vi-VN"/>
        </w:rPr>
        <w:t xml:space="preserve"> Chi nhánh Đà Nẵng </w:t>
      </w:r>
      <w:r w:rsidRPr="001308FF">
        <w:rPr>
          <w:rFonts w:ascii="Times New Roman" w:hAnsi="Times New Roman" w:cs="Times New Roman"/>
          <w:i/>
          <w:sz w:val="26"/>
          <w:szCs w:val="26"/>
        </w:rPr>
        <w:t>– PGD Cẩm</w:t>
      </w:r>
      <w:r w:rsidRPr="001308FF">
        <w:rPr>
          <w:rFonts w:ascii="Times New Roman" w:hAnsi="Times New Roman" w:cs="Times New Roman"/>
          <w:i/>
          <w:sz w:val="26"/>
          <w:szCs w:val="26"/>
          <w:lang w:val="vi-VN"/>
        </w:rPr>
        <w:t xml:space="preserve"> Lệ)</w:t>
      </w:r>
    </w:p>
    <w:p w14:paraId="4D4F6E5C" w14:textId="77777777" w:rsidR="0042797D" w:rsidRDefault="0042797D" w:rsidP="0042797D">
      <w:pPr>
        <w:spacing w:line="360" w:lineRule="auto"/>
        <w:jc w:val="both"/>
      </w:pPr>
      <w:r>
        <w:rPr>
          <w:rFonts w:ascii="Times New Roman" w:hAnsi="Times New Roman"/>
          <w:sz w:val="26"/>
          <w:szCs w:val="26"/>
        </w:rPr>
        <w:t xml:space="preserve">   Dựa vào Bảng 2.6, có thể thấy tổng nguồn vốn huy động của Ngân hàng TMCP Nam Á – Chi nhánh Đà Nẵng – PGD Cẩm Lệ trong giai đoạn 2023–2025 tăng trưởng tương đối ổn định. Cụ thể, tổng huy động vốn đạt 742.813 triệu đồng năm 2023, tăng lên 826.593 triệu đồng năm 2024, tương ứng tăng 83.783 triệu đồng hay 11,28%, và tiếp tục đạt 908.674 triệu đồng năm 2025, tăng thêm 82.081 triệu đồng hay 9,93% so với năm 2024. Điều này cho thấy PGD vẫn duy trì được khả năng mở rộng quy mô nguồn vốn qua từng năm, tạo nền tảng cho hoạt động kinh doanh và sử dụng vốn trong các giai đoạn tiếp theo.</w:t>
      </w:r>
    </w:p>
    <w:p w14:paraId="7B499A62" w14:textId="77777777" w:rsidR="0042797D" w:rsidRDefault="0042797D" w:rsidP="0042797D">
      <w:pPr>
        <w:spacing w:line="360" w:lineRule="auto"/>
        <w:jc w:val="both"/>
      </w:pPr>
      <w:r>
        <w:rPr>
          <w:rFonts w:ascii="Times New Roman" w:hAnsi="Times New Roman"/>
          <w:sz w:val="26"/>
          <w:szCs w:val="26"/>
        </w:rPr>
        <w:t xml:space="preserve">   Xét riêng theo đối tượng khách hàng cá nhân, đây luôn là nguồn vốn huy động giữ vai trò chủ lực trong cơ cấu vốn của PGD khi tỷ trọng duy trì ở mức trên 60% trong toàn bộ giai đoạn nghiên cứu. Năm 2023, vốn huy động từ khách hàng cá nhân đạt 492.484 triệu đồng, chiếm 66,30% tổng huy động vốn; năm 2024 tăng lên 532.347 triệu đồng, chiếm 64,40%; và năm 2025 tiếp tục tăng lên 596.252 triệu đồng, chiếm 65,62%. Việc khách hàng cá nhân luôn chiếm tỷ trọng cao cho thấy PGD Cẩm Lệ có lợi thế rõ nét trong huy động vốn bán lẻ, đồng thời phản ánh nguồn vốn từ khu vực dân cư vẫn là nền tảng quan trọng </w:t>
      </w:r>
      <w:r>
        <w:rPr>
          <w:rFonts w:ascii="Times New Roman" w:hAnsi="Times New Roman"/>
          <w:sz w:val="26"/>
          <w:szCs w:val="26"/>
        </w:rPr>
        <w:lastRenderedPageBreak/>
        <w:t>nhất đối với hoạt động huy động vốn của đơn vị. Đây là một ưu điểm lớn vì nguồn vốn từ khách hàng cá nhân thường có tính phân tán, tương đối ổn định và giúp ngân hàng hạn chế rủi ro phụ thuộc vào một số khách hàng lớn.</w:t>
      </w:r>
    </w:p>
    <w:p w14:paraId="51B48F12" w14:textId="77777777" w:rsidR="0042797D" w:rsidRDefault="0042797D" w:rsidP="0042797D">
      <w:pPr>
        <w:spacing w:line="360" w:lineRule="auto"/>
        <w:jc w:val="both"/>
      </w:pPr>
      <w:r>
        <w:rPr>
          <w:rFonts w:ascii="Times New Roman" w:hAnsi="Times New Roman"/>
          <w:sz w:val="26"/>
          <w:szCs w:val="26"/>
        </w:rPr>
        <w:t xml:space="preserve">   Tuy nhiên, tỷ trọng huy động vốn từ khách hàng cá nhân có sự tăng giảm qua các năm, thể hiện cơ cấu nguồn vốn của PGD có sự dịch chuyển nhất định giữa khách hàng cá nhân và khách hàng tổ chức. Cụ thể, tỷ trọng khách hàng cá nhân giảm từ 66,30% năm 2023 xuống 64,40% năm 2024, sau đó tăng trở lại lên 65,62% vào năm 2025. Diễn biến này cho thấy năm 2024, từ 492.484 triệu đồng (chiếm 66,30% tổng huy động vốn) tăng lên 532.347 triệu đồng ( chiếm 64,40% tổng huy động vốn), mặc dù vốn huy động từ khách hàng cá nhân vẫn tăng về giá trị tuyệt đối nhưng tốc độ tăng chưa cao, chỉ đạt 8,10%, thấp hơn mức tăng của nhóm khách hàng tổ chức nên tỷ trọng bị thu hẹp. Sang năm 2025, vốn huy động từ khách hàng cá nhân tăng 63.905 triệu đồng( từ 532.347 triệu đồng lên 596.252 triệu đồng), tương ứng 12,00%, qua đó lấy lại tỷ trọng đã giảm trước đó và tiếp tục khẳng định vai trò chủ đạo trong tổng nguồn vốn huy động. Nhìn chung, nguồn vốn từ khách hàng cá nhân vẫn tăng trưởng theo xu hướng tích cực, nhưng mức tăng còn khá khiêm tốn và chưa thật sự bứt phá. Điều này cho thấy PGD đã duy trì được nền khách hàng cá nhân tương đối tốt, song vẫn cần tiếp tục đẩy mạnh các giải pháp huy động vốn bán lẻ nhằm nâng cao hơn nữa quy mô và tốc độ tăng trưởng của nguồn vốn này trong thời gian tới.</w:t>
      </w:r>
    </w:p>
    <w:p w14:paraId="16E18DEB" w14:textId="77777777" w:rsidR="0042797D" w:rsidRDefault="0042797D" w:rsidP="0042797D">
      <w:pPr>
        <w:spacing w:line="360" w:lineRule="auto"/>
        <w:jc w:val="both"/>
        <w:rPr>
          <w:rFonts w:ascii="Times New Roman" w:hAnsi="Times New Roman" w:cs="Times New Roman"/>
          <w:b/>
          <w:bCs/>
          <w:sz w:val="26"/>
          <w:szCs w:val="26"/>
        </w:rPr>
      </w:pPr>
      <w:r w:rsidRPr="00CB2764">
        <w:rPr>
          <w:rFonts w:ascii="Times New Roman" w:hAnsi="Times New Roman" w:cs="Times New Roman"/>
          <w:b/>
          <w:bCs/>
          <w:sz w:val="26"/>
          <w:szCs w:val="26"/>
        </w:rPr>
        <w:t>2.3.</w:t>
      </w:r>
      <w:r>
        <w:rPr>
          <w:rFonts w:ascii="Times New Roman" w:hAnsi="Times New Roman" w:cs="Times New Roman"/>
          <w:b/>
          <w:bCs/>
          <w:sz w:val="26"/>
          <w:szCs w:val="26"/>
        </w:rPr>
        <w:t>2</w:t>
      </w:r>
      <w:r w:rsidRPr="00CB2764">
        <w:rPr>
          <w:rFonts w:ascii="Times New Roman" w:hAnsi="Times New Roman" w:cs="Times New Roman"/>
          <w:b/>
          <w:bCs/>
          <w:sz w:val="26"/>
          <w:szCs w:val="26"/>
        </w:rPr>
        <w:t xml:space="preserve"> </w:t>
      </w:r>
      <w:r>
        <w:rPr>
          <w:rFonts w:ascii="Times New Roman" w:hAnsi="Times New Roman" w:cs="Times New Roman"/>
          <w:b/>
          <w:bCs/>
          <w:sz w:val="26"/>
          <w:szCs w:val="26"/>
        </w:rPr>
        <w:t xml:space="preserve">Phân tích 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đối với khách hàng cá nhân theo kì hạn tại</w:t>
      </w:r>
      <w:r w:rsidRPr="00CB2764">
        <w:rPr>
          <w:rFonts w:ascii="Times New Roman" w:hAnsi="Times New Roman" w:cs="Times New Roman"/>
          <w:b/>
          <w:bCs/>
          <w:sz w:val="26"/>
          <w:szCs w:val="26"/>
        </w:rPr>
        <w:t xml:space="preserve"> Ngân hàng TMCP Nam Á – Chi nhánh Đà Nẵng – Phòng giao dịch Cẩm Lệ</w:t>
      </w:r>
      <w:r>
        <w:rPr>
          <w:rFonts w:ascii="Times New Roman" w:hAnsi="Times New Roman" w:cs="Times New Roman"/>
          <w:b/>
          <w:bCs/>
          <w:sz w:val="26"/>
          <w:szCs w:val="26"/>
        </w:rPr>
        <w:t xml:space="preserve"> </w:t>
      </w:r>
    </w:p>
    <w:p w14:paraId="660E24D2" w14:textId="77777777" w:rsidR="0042797D" w:rsidRDefault="0042797D" w:rsidP="0042797D">
      <w:pPr>
        <w:spacing w:line="360" w:lineRule="auto"/>
        <w:jc w:val="both"/>
      </w:pPr>
      <w:r>
        <w:rPr>
          <w:rFonts w:ascii="Times New Roman" w:hAnsi="Times New Roman"/>
          <w:sz w:val="26"/>
          <w:szCs w:val="26"/>
        </w:rPr>
        <w:t xml:space="preserve">   Hoạt động huy động vốn đối với khách hàng cá nhân tại Ngân hàng TMCP Nam Á – Chi nhánh Đà Nẵng – PGD Cẩm Lệ được triển khai theo nhiều kỳ hạn khác nhau, bao gồm tiền gửi không kỳ hạn và tiền gửi có kỳ hạn với các mức thời gian linh hoạt. Mỗi kỳ hạn đều phù hợp với những nhu cầu tài chính riêng của khách hàng, như nhu cầu thanh toán, dự trữ ngắn hạn, tích lũy trung hạn hay đầu tư an toàn trong dài hạn. Việc đa dạng hóa các kỳ hạn huy động không chỉ giúp ngân hàng đáp ứng tốt hơn sự khác biệt trong mục tiêu gửi tiền, khả năng tài chính và mức độ chấp nhận ràng buộc về thời gian của khách hàng cá nhân, mà còn tạo điều kiện để PGD chủ động hơn trong việc cơ cấu nguồn vốn, nâng cao tính ổn </w:t>
      </w:r>
      <w:r>
        <w:rPr>
          <w:rFonts w:ascii="Times New Roman" w:hAnsi="Times New Roman"/>
          <w:sz w:val="26"/>
          <w:szCs w:val="26"/>
        </w:rPr>
        <w:lastRenderedPageBreak/>
        <w:t>định của vốn huy động và phục vụ hiệu quả cho hoạt động kinh doanh. Vì vậy, phân tích cơ cấu huy động vốn theo kỳ hạn sẽ giúp làm rõ xu hướng lựa chọn kỳ hạn gửi tiền của khách hàng cá nhân tại PGD trong giai đoạn 2023–2025.</w:t>
      </w:r>
    </w:p>
    <w:p w14:paraId="47A76BD3" w14:textId="77777777" w:rsidR="0042797D" w:rsidRDefault="0042797D" w:rsidP="0042797D">
      <w:pPr>
        <w:spacing w:before="240" w:after="0" w:line="360" w:lineRule="auto"/>
        <w:jc w:val="both"/>
        <w:rPr>
          <w:rFonts w:ascii="Times New Roman" w:hAnsi="Times New Roman" w:cs="Times New Roman"/>
          <w:b/>
          <w:bCs/>
          <w:sz w:val="26"/>
          <w:szCs w:val="26"/>
        </w:rPr>
      </w:pPr>
      <w:r w:rsidRPr="00E91F56">
        <w:rPr>
          <w:rFonts w:ascii="Times New Roman" w:hAnsi="Times New Roman" w:cs="Times New Roman"/>
          <w:b/>
          <w:bCs/>
          <w:sz w:val="26"/>
          <w:szCs w:val="26"/>
        </w:rPr>
        <w:t>Bảng 2.7</w:t>
      </w:r>
      <w:r>
        <w:rPr>
          <w:rFonts w:ascii="Times New Roman" w:hAnsi="Times New Roman" w:cs="Times New Roman"/>
          <w:sz w:val="26"/>
          <w:szCs w:val="26"/>
        </w:rPr>
        <w:t xml:space="preserve"> </w:t>
      </w:r>
      <w:r>
        <w:rPr>
          <w:rFonts w:ascii="Times New Roman" w:hAnsi="Times New Roman" w:cs="Times New Roman"/>
          <w:b/>
          <w:bCs/>
          <w:sz w:val="26"/>
          <w:szCs w:val="26"/>
        </w:rPr>
        <w:t xml:space="preserve">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 xml:space="preserve">đối với khách hàng cá nhân theo kì hạn </w:t>
      </w:r>
      <w:r w:rsidRPr="00CB2764">
        <w:rPr>
          <w:rFonts w:ascii="Times New Roman" w:hAnsi="Times New Roman" w:cs="Times New Roman"/>
          <w:b/>
          <w:bCs/>
          <w:sz w:val="26"/>
          <w:szCs w:val="26"/>
        </w:rPr>
        <w:t>của Ngân hàng TMCP Nam Á – Chi nhánh Đà Nẵng – Phòng giao dịch Cẩm Lệ</w:t>
      </w:r>
      <w:r>
        <w:rPr>
          <w:rFonts w:ascii="Times New Roman" w:hAnsi="Times New Roman" w:cs="Times New Roman"/>
          <w:b/>
          <w:bCs/>
          <w:sz w:val="26"/>
          <w:szCs w:val="26"/>
        </w:rPr>
        <w:t xml:space="preserve"> </w:t>
      </w:r>
    </w:p>
    <w:p w14:paraId="7CE047D4" w14:textId="77777777" w:rsidR="0042797D" w:rsidRPr="000A6D1F" w:rsidRDefault="0042797D" w:rsidP="0042797D">
      <w:pPr>
        <w:spacing w:before="240" w:after="0" w:line="360" w:lineRule="auto"/>
        <w:jc w:val="right"/>
        <w:rPr>
          <w:rFonts w:ascii="Times New Roman" w:hAnsi="Times New Roman" w:cs="Times New Roman"/>
          <w:i/>
          <w:iCs/>
          <w:sz w:val="26"/>
          <w:szCs w:val="26"/>
        </w:rPr>
      </w:pPr>
      <w:r w:rsidRPr="000A6D1F">
        <w:rPr>
          <w:rFonts w:ascii="Times New Roman" w:hAnsi="Times New Roman" w:cs="Times New Roman"/>
          <w:i/>
          <w:iCs/>
          <w:sz w:val="26"/>
          <w:szCs w:val="26"/>
        </w:rPr>
        <w:t>Đvt: triệu đồng</w:t>
      </w:r>
    </w:p>
    <w:tbl>
      <w:tblPr>
        <w:tblW w:w="10389" w:type="dxa"/>
        <w:tblLook w:val="04A0" w:firstRow="1" w:lastRow="0" w:firstColumn="1" w:lastColumn="0" w:noHBand="0" w:noVBand="1"/>
      </w:tblPr>
      <w:tblGrid>
        <w:gridCol w:w="1435"/>
        <w:gridCol w:w="931"/>
        <w:gridCol w:w="928"/>
        <w:gridCol w:w="931"/>
        <w:gridCol w:w="928"/>
        <w:gridCol w:w="222"/>
        <w:gridCol w:w="931"/>
        <w:gridCol w:w="1064"/>
        <w:gridCol w:w="821"/>
        <w:gridCol w:w="711"/>
        <w:gridCol w:w="821"/>
        <w:gridCol w:w="666"/>
      </w:tblGrid>
      <w:tr w:rsidR="0042797D" w:rsidRPr="006316D5" w14:paraId="04FF3F14" w14:textId="77777777" w:rsidTr="002F73B2">
        <w:trPr>
          <w:trHeight w:val="360"/>
        </w:trPr>
        <w:tc>
          <w:tcPr>
            <w:tcW w:w="1435" w:type="dxa"/>
            <w:vMerge w:val="restart"/>
            <w:tcBorders>
              <w:top w:val="single" w:sz="4" w:space="0" w:color="auto"/>
              <w:left w:val="single" w:sz="4" w:space="0" w:color="auto"/>
              <w:bottom w:val="single" w:sz="4" w:space="0" w:color="000000"/>
              <w:right w:val="single" w:sz="4" w:space="0" w:color="auto"/>
            </w:tcBorders>
            <w:noWrap/>
            <w:vAlign w:val="center"/>
            <w:hideMark/>
          </w:tcPr>
          <w:p w14:paraId="43308979"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Chỉ tiêu</w:t>
            </w:r>
          </w:p>
        </w:tc>
        <w:tc>
          <w:tcPr>
            <w:tcW w:w="1859" w:type="dxa"/>
            <w:gridSpan w:val="2"/>
            <w:tcBorders>
              <w:top w:val="single" w:sz="4" w:space="0" w:color="auto"/>
              <w:left w:val="nil"/>
              <w:bottom w:val="single" w:sz="4" w:space="0" w:color="auto"/>
              <w:right w:val="single" w:sz="4" w:space="0" w:color="000000"/>
            </w:tcBorders>
            <w:noWrap/>
            <w:vAlign w:val="bottom"/>
            <w:hideMark/>
          </w:tcPr>
          <w:p w14:paraId="3816D1BB"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2023</w:t>
            </w:r>
          </w:p>
        </w:tc>
        <w:tc>
          <w:tcPr>
            <w:tcW w:w="1859" w:type="dxa"/>
            <w:gridSpan w:val="2"/>
            <w:tcBorders>
              <w:top w:val="single" w:sz="4" w:space="0" w:color="auto"/>
              <w:left w:val="nil"/>
              <w:bottom w:val="single" w:sz="4" w:space="0" w:color="auto"/>
              <w:right w:val="single" w:sz="4" w:space="0" w:color="000000"/>
            </w:tcBorders>
            <w:noWrap/>
            <w:vAlign w:val="bottom"/>
            <w:hideMark/>
          </w:tcPr>
          <w:p w14:paraId="5E78C68D"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2024</w:t>
            </w:r>
          </w:p>
        </w:tc>
        <w:tc>
          <w:tcPr>
            <w:tcW w:w="222" w:type="dxa"/>
            <w:tcBorders>
              <w:top w:val="single" w:sz="4" w:space="0" w:color="auto"/>
              <w:left w:val="nil"/>
              <w:bottom w:val="single" w:sz="4" w:space="0" w:color="auto"/>
              <w:right w:val="nil"/>
            </w:tcBorders>
          </w:tcPr>
          <w:p w14:paraId="5A660456"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1995" w:type="dxa"/>
            <w:gridSpan w:val="2"/>
            <w:tcBorders>
              <w:top w:val="single" w:sz="4" w:space="0" w:color="auto"/>
              <w:left w:val="nil"/>
              <w:bottom w:val="single" w:sz="4" w:space="0" w:color="auto"/>
              <w:right w:val="single" w:sz="4" w:space="0" w:color="000000"/>
            </w:tcBorders>
            <w:noWrap/>
            <w:vAlign w:val="bottom"/>
            <w:hideMark/>
          </w:tcPr>
          <w:p w14:paraId="16C12D6A"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2025</w:t>
            </w:r>
          </w:p>
        </w:tc>
        <w:tc>
          <w:tcPr>
            <w:tcW w:w="1532" w:type="dxa"/>
            <w:gridSpan w:val="2"/>
            <w:tcBorders>
              <w:top w:val="single" w:sz="4" w:space="0" w:color="auto"/>
              <w:left w:val="nil"/>
              <w:bottom w:val="single" w:sz="4" w:space="0" w:color="auto"/>
              <w:right w:val="single" w:sz="4" w:space="0" w:color="000000"/>
            </w:tcBorders>
            <w:noWrap/>
            <w:vAlign w:val="bottom"/>
            <w:hideMark/>
          </w:tcPr>
          <w:p w14:paraId="0BF7EAA4"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Chênh lệch 2024/2023</w:t>
            </w:r>
          </w:p>
        </w:tc>
        <w:tc>
          <w:tcPr>
            <w:tcW w:w="1487" w:type="dxa"/>
            <w:gridSpan w:val="2"/>
            <w:tcBorders>
              <w:top w:val="single" w:sz="4" w:space="0" w:color="auto"/>
              <w:left w:val="nil"/>
              <w:bottom w:val="single" w:sz="4" w:space="0" w:color="auto"/>
              <w:right w:val="single" w:sz="4" w:space="0" w:color="000000"/>
            </w:tcBorders>
            <w:noWrap/>
            <w:vAlign w:val="bottom"/>
            <w:hideMark/>
          </w:tcPr>
          <w:p w14:paraId="40F152B8"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Chênh lệch 2025/2024</w:t>
            </w:r>
          </w:p>
        </w:tc>
      </w:tr>
      <w:tr w:rsidR="0042797D" w:rsidRPr="006316D5" w14:paraId="2AE40D85" w14:textId="77777777" w:rsidTr="002F73B2">
        <w:trPr>
          <w:trHeight w:val="360"/>
        </w:trPr>
        <w:tc>
          <w:tcPr>
            <w:tcW w:w="1435" w:type="dxa"/>
            <w:vMerge/>
            <w:tcBorders>
              <w:top w:val="single" w:sz="4" w:space="0" w:color="auto"/>
              <w:left w:val="single" w:sz="4" w:space="0" w:color="auto"/>
              <w:bottom w:val="single" w:sz="4" w:space="0" w:color="000000"/>
              <w:right w:val="single" w:sz="4" w:space="0" w:color="auto"/>
            </w:tcBorders>
            <w:vAlign w:val="center"/>
            <w:hideMark/>
          </w:tcPr>
          <w:p w14:paraId="4F239AC3" w14:textId="77777777" w:rsidR="0042797D" w:rsidRPr="006316D5" w:rsidRDefault="0042797D" w:rsidP="002F73B2">
            <w:pPr>
              <w:spacing w:after="0" w:line="240" w:lineRule="auto"/>
              <w:rPr>
                <w:rFonts w:ascii="Times New Roman" w:eastAsia="Times New Roman" w:hAnsi="Times New Roman" w:cs="Times New Roman"/>
                <w:b/>
                <w:bCs/>
                <w:color w:val="000000"/>
                <w:kern w:val="0"/>
                <w:sz w:val="20"/>
                <w:szCs w:val="20"/>
                <w14:ligatures w14:val="none"/>
              </w:rPr>
            </w:pPr>
          </w:p>
        </w:tc>
        <w:tc>
          <w:tcPr>
            <w:tcW w:w="931" w:type="dxa"/>
            <w:tcBorders>
              <w:top w:val="nil"/>
              <w:left w:val="nil"/>
              <w:bottom w:val="single" w:sz="4" w:space="0" w:color="auto"/>
              <w:right w:val="single" w:sz="4" w:space="0" w:color="auto"/>
            </w:tcBorders>
            <w:noWrap/>
            <w:vAlign w:val="bottom"/>
            <w:hideMark/>
          </w:tcPr>
          <w:p w14:paraId="23F50308"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Số tiền</w:t>
            </w:r>
          </w:p>
        </w:tc>
        <w:tc>
          <w:tcPr>
            <w:tcW w:w="928" w:type="dxa"/>
            <w:tcBorders>
              <w:top w:val="nil"/>
              <w:left w:val="nil"/>
              <w:bottom w:val="single" w:sz="4" w:space="0" w:color="auto"/>
              <w:right w:val="single" w:sz="4" w:space="0" w:color="auto"/>
            </w:tcBorders>
            <w:noWrap/>
            <w:vAlign w:val="bottom"/>
            <w:hideMark/>
          </w:tcPr>
          <w:p w14:paraId="09821BBB"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Tỷ trọng</w:t>
            </w:r>
          </w:p>
        </w:tc>
        <w:tc>
          <w:tcPr>
            <w:tcW w:w="931" w:type="dxa"/>
            <w:tcBorders>
              <w:top w:val="nil"/>
              <w:left w:val="nil"/>
              <w:bottom w:val="single" w:sz="4" w:space="0" w:color="auto"/>
              <w:right w:val="single" w:sz="4" w:space="0" w:color="auto"/>
            </w:tcBorders>
            <w:noWrap/>
            <w:vAlign w:val="bottom"/>
            <w:hideMark/>
          </w:tcPr>
          <w:p w14:paraId="5F6E95E5"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Số tiền</w:t>
            </w:r>
          </w:p>
        </w:tc>
        <w:tc>
          <w:tcPr>
            <w:tcW w:w="928" w:type="dxa"/>
            <w:tcBorders>
              <w:top w:val="nil"/>
              <w:left w:val="nil"/>
              <w:bottom w:val="single" w:sz="4" w:space="0" w:color="auto"/>
              <w:right w:val="single" w:sz="4" w:space="0" w:color="auto"/>
            </w:tcBorders>
            <w:noWrap/>
            <w:vAlign w:val="bottom"/>
            <w:hideMark/>
          </w:tcPr>
          <w:p w14:paraId="30795E8A"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Tỷ trọng</w:t>
            </w:r>
          </w:p>
        </w:tc>
        <w:tc>
          <w:tcPr>
            <w:tcW w:w="222" w:type="dxa"/>
            <w:tcBorders>
              <w:top w:val="nil"/>
              <w:left w:val="nil"/>
              <w:bottom w:val="single" w:sz="4" w:space="0" w:color="auto"/>
              <w:right w:val="nil"/>
            </w:tcBorders>
          </w:tcPr>
          <w:p w14:paraId="3B2CA0A3"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931" w:type="dxa"/>
            <w:tcBorders>
              <w:top w:val="nil"/>
              <w:left w:val="nil"/>
              <w:bottom w:val="single" w:sz="4" w:space="0" w:color="auto"/>
              <w:right w:val="single" w:sz="4" w:space="0" w:color="auto"/>
            </w:tcBorders>
            <w:noWrap/>
            <w:vAlign w:val="bottom"/>
            <w:hideMark/>
          </w:tcPr>
          <w:p w14:paraId="3A1B5226"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Số tiền</w:t>
            </w:r>
          </w:p>
        </w:tc>
        <w:tc>
          <w:tcPr>
            <w:tcW w:w="1064" w:type="dxa"/>
            <w:tcBorders>
              <w:top w:val="nil"/>
              <w:left w:val="nil"/>
              <w:bottom w:val="single" w:sz="4" w:space="0" w:color="auto"/>
              <w:right w:val="single" w:sz="4" w:space="0" w:color="auto"/>
            </w:tcBorders>
            <w:noWrap/>
            <w:vAlign w:val="bottom"/>
            <w:hideMark/>
          </w:tcPr>
          <w:p w14:paraId="452B59D7"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Tỷ trọng)</w:t>
            </w:r>
          </w:p>
        </w:tc>
        <w:tc>
          <w:tcPr>
            <w:tcW w:w="821" w:type="dxa"/>
            <w:tcBorders>
              <w:top w:val="nil"/>
              <w:left w:val="nil"/>
              <w:bottom w:val="single" w:sz="4" w:space="0" w:color="auto"/>
              <w:right w:val="single" w:sz="4" w:space="0" w:color="auto"/>
            </w:tcBorders>
            <w:noWrap/>
            <w:vAlign w:val="bottom"/>
            <w:hideMark/>
          </w:tcPr>
          <w:p w14:paraId="2B22655F"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Số tiền</w:t>
            </w:r>
          </w:p>
        </w:tc>
        <w:tc>
          <w:tcPr>
            <w:tcW w:w="711" w:type="dxa"/>
            <w:tcBorders>
              <w:top w:val="nil"/>
              <w:left w:val="nil"/>
              <w:bottom w:val="single" w:sz="4" w:space="0" w:color="auto"/>
              <w:right w:val="single" w:sz="4" w:space="0" w:color="auto"/>
            </w:tcBorders>
            <w:noWrap/>
            <w:vAlign w:val="bottom"/>
            <w:hideMark/>
          </w:tcPr>
          <w:p w14:paraId="6197C64D"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Tỷ lệ</w:t>
            </w:r>
          </w:p>
        </w:tc>
        <w:tc>
          <w:tcPr>
            <w:tcW w:w="821" w:type="dxa"/>
            <w:tcBorders>
              <w:top w:val="nil"/>
              <w:left w:val="nil"/>
              <w:bottom w:val="single" w:sz="4" w:space="0" w:color="auto"/>
              <w:right w:val="single" w:sz="4" w:space="0" w:color="auto"/>
            </w:tcBorders>
            <w:noWrap/>
            <w:vAlign w:val="bottom"/>
            <w:hideMark/>
          </w:tcPr>
          <w:p w14:paraId="169F5B2E"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Số tiền</w:t>
            </w:r>
          </w:p>
        </w:tc>
        <w:tc>
          <w:tcPr>
            <w:tcW w:w="666" w:type="dxa"/>
            <w:tcBorders>
              <w:top w:val="nil"/>
              <w:left w:val="nil"/>
              <w:bottom w:val="single" w:sz="4" w:space="0" w:color="auto"/>
              <w:right w:val="single" w:sz="4" w:space="0" w:color="auto"/>
            </w:tcBorders>
            <w:noWrap/>
            <w:vAlign w:val="bottom"/>
            <w:hideMark/>
          </w:tcPr>
          <w:p w14:paraId="7A79BA11"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Tỷ lệ</w:t>
            </w:r>
          </w:p>
        </w:tc>
      </w:tr>
      <w:tr w:rsidR="0042797D" w:rsidRPr="006316D5" w14:paraId="3E593793" w14:textId="77777777" w:rsidTr="002F73B2">
        <w:trPr>
          <w:trHeight w:val="557"/>
        </w:trPr>
        <w:tc>
          <w:tcPr>
            <w:tcW w:w="1435" w:type="dxa"/>
            <w:tcBorders>
              <w:top w:val="nil"/>
              <w:left w:val="single" w:sz="4" w:space="0" w:color="auto"/>
              <w:bottom w:val="single" w:sz="4" w:space="0" w:color="auto"/>
              <w:right w:val="single" w:sz="4" w:space="0" w:color="auto"/>
            </w:tcBorders>
            <w:vAlign w:val="center"/>
            <w:hideMark/>
          </w:tcPr>
          <w:p w14:paraId="09E77E29" w14:textId="77777777" w:rsidR="0042797D" w:rsidRPr="006316D5" w:rsidRDefault="0042797D" w:rsidP="002F73B2">
            <w:pPr>
              <w:spacing w:after="0" w:line="240" w:lineRule="auto"/>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Nguồn VHĐ từ KHCN</w:t>
            </w:r>
          </w:p>
        </w:tc>
        <w:tc>
          <w:tcPr>
            <w:tcW w:w="931" w:type="dxa"/>
            <w:tcBorders>
              <w:top w:val="nil"/>
              <w:left w:val="nil"/>
              <w:bottom w:val="single" w:sz="4" w:space="0" w:color="auto"/>
              <w:right w:val="single" w:sz="4" w:space="0" w:color="auto"/>
            </w:tcBorders>
            <w:vAlign w:val="center"/>
            <w:hideMark/>
          </w:tcPr>
          <w:p w14:paraId="10DFB261"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492.484</w:t>
            </w:r>
          </w:p>
        </w:tc>
        <w:tc>
          <w:tcPr>
            <w:tcW w:w="928" w:type="dxa"/>
            <w:tcBorders>
              <w:top w:val="nil"/>
              <w:left w:val="nil"/>
              <w:bottom w:val="single" w:sz="4" w:space="0" w:color="auto"/>
              <w:right w:val="single" w:sz="4" w:space="0" w:color="auto"/>
            </w:tcBorders>
            <w:vAlign w:val="center"/>
            <w:hideMark/>
          </w:tcPr>
          <w:p w14:paraId="70CAF1A7"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100</w:t>
            </w:r>
          </w:p>
        </w:tc>
        <w:tc>
          <w:tcPr>
            <w:tcW w:w="931" w:type="dxa"/>
            <w:tcBorders>
              <w:top w:val="nil"/>
              <w:left w:val="nil"/>
              <w:bottom w:val="single" w:sz="4" w:space="0" w:color="auto"/>
              <w:right w:val="single" w:sz="4" w:space="0" w:color="auto"/>
            </w:tcBorders>
            <w:noWrap/>
            <w:vAlign w:val="center"/>
            <w:hideMark/>
          </w:tcPr>
          <w:p w14:paraId="34A57946"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532.347</w:t>
            </w:r>
          </w:p>
        </w:tc>
        <w:tc>
          <w:tcPr>
            <w:tcW w:w="928" w:type="dxa"/>
            <w:tcBorders>
              <w:top w:val="nil"/>
              <w:left w:val="nil"/>
              <w:bottom w:val="single" w:sz="4" w:space="0" w:color="auto"/>
              <w:right w:val="single" w:sz="4" w:space="0" w:color="auto"/>
            </w:tcBorders>
            <w:noWrap/>
            <w:vAlign w:val="center"/>
            <w:hideMark/>
          </w:tcPr>
          <w:p w14:paraId="4B2A3198"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100</w:t>
            </w:r>
          </w:p>
        </w:tc>
        <w:tc>
          <w:tcPr>
            <w:tcW w:w="222" w:type="dxa"/>
            <w:tcBorders>
              <w:top w:val="nil"/>
              <w:left w:val="nil"/>
              <w:bottom w:val="single" w:sz="4" w:space="0" w:color="auto"/>
              <w:right w:val="nil"/>
            </w:tcBorders>
          </w:tcPr>
          <w:p w14:paraId="2CBD72C8"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931" w:type="dxa"/>
            <w:tcBorders>
              <w:top w:val="nil"/>
              <w:left w:val="nil"/>
              <w:bottom w:val="single" w:sz="4" w:space="0" w:color="auto"/>
              <w:right w:val="single" w:sz="4" w:space="0" w:color="auto"/>
            </w:tcBorders>
            <w:noWrap/>
            <w:vAlign w:val="center"/>
            <w:hideMark/>
          </w:tcPr>
          <w:p w14:paraId="7AE91EF8"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596.252</w:t>
            </w:r>
          </w:p>
        </w:tc>
        <w:tc>
          <w:tcPr>
            <w:tcW w:w="1064" w:type="dxa"/>
            <w:tcBorders>
              <w:top w:val="nil"/>
              <w:left w:val="nil"/>
              <w:bottom w:val="single" w:sz="4" w:space="0" w:color="auto"/>
              <w:right w:val="single" w:sz="4" w:space="0" w:color="auto"/>
            </w:tcBorders>
            <w:noWrap/>
            <w:vAlign w:val="center"/>
            <w:hideMark/>
          </w:tcPr>
          <w:p w14:paraId="5C5618C3"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100</w:t>
            </w:r>
          </w:p>
        </w:tc>
        <w:tc>
          <w:tcPr>
            <w:tcW w:w="821" w:type="dxa"/>
            <w:tcBorders>
              <w:top w:val="nil"/>
              <w:left w:val="nil"/>
              <w:bottom w:val="single" w:sz="4" w:space="0" w:color="auto"/>
              <w:right w:val="single" w:sz="4" w:space="0" w:color="auto"/>
            </w:tcBorders>
            <w:noWrap/>
            <w:vAlign w:val="center"/>
            <w:hideMark/>
          </w:tcPr>
          <w:p w14:paraId="6E00D6AA"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39.863</w:t>
            </w:r>
          </w:p>
        </w:tc>
        <w:tc>
          <w:tcPr>
            <w:tcW w:w="711" w:type="dxa"/>
            <w:tcBorders>
              <w:top w:val="nil"/>
              <w:left w:val="nil"/>
              <w:bottom w:val="single" w:sz="4" w:space="0" w:color="auto"/>
              <w:right w:val="single" w:sz="4" w:space="0" w:color="auto"/>
            </w:tcBorders>
            <w:noWrap/>
            <w:vAlign w:val="center"/>
            <w:hideMark/>
          </w:tcPr>
          <w:p w14:paraId="31383231"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8.09</w:t>
            </w:r>
          </w:p>
        </w:tc>
        <w:tc>
          <w:tcPr>
            <w:tcW w:w="821" w:type="dxa"/>
            <w:tcBorders>
              <w:top w:val="nil"/>
              <w:left w:val="nil"/>
              <w:bottom w:val="single" w:sz="4" w:space="0" w:color="auto"/>
              <w:right w:val="single" w:sz="4" w:space="0" w:color="auto"/>
            </w:tcBorders>
            <w:noWrap/>
            <w:vAlign w:val="center"/>
            <w:hideMark/>
          </w:tcPr>
          <w:p w14:paraId="53EA5425"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63.905</w:t>
            </w:r>
          </w:p>
        </w:tc>
        <w:tc>
          <w:tcPr>
            <w:tcW w:w="666" w:type="dxa"/>
            <w:tcBorders>
              <w:top w:val="nil"/>
              <w:left w:val="nil"/>
              <w:bottom w:val="single" w:sz="4" w:space="0" w:color="auto"/>
              <w:right w:val="single" w:sz="4" w:space="0" w:color="auto"/>
            </w:tcBorders>
            <w:noWrap/>
            <w:vAlign w:val="center"/>
            <w:hideMark/>
          </w:tcPr>
          <w:p w14:paraId="5FAB012E"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12.00</w:t>
            </w:r>
          </w:p>
        </w:tc>
      </w:tr>
      <w:tr w:rsidR="0042797D" w:rsidRPr="006316D5" w14:paraId="56B183C5" w14:textId="77777777" w:rsidTr="002F73B2">
        <w:trPr>
          <w:trHeight w:val="50"/>
        </w:trPr>
        <w:tc>
          <w:tcPr>
            <w:tcW w:w="1435" w:type="dxa"/>
            <w:tcBorders>
              <w:top w:val="nil"/>
              <w:left w:val="single" w:sz="4" w:space="0" w:color="auto"/>
              <w:bottom w:val="single" w:sz="4" w:space="0" w:color="auto"/>
              <w:right w:val="single" w:sz="4" w:space="0" w:color="auto"/>
            </w:tcBorders>
            <w:noWrap/>
            <w:vAlign w:val="center"/>
            <w:hideMark/>
          </w:tcPr>
          <w:p w14:paraId="7FB5D186" w14:textId="77777777" w:rsidR="0042797D" w:rsidRPr="006316D5" w:rsidRDefault="0042797D" w:rsidP="002F73B2">
            <w:pPr>
              <w:spacing w:after="0" w:line="240" w:lineRule="auto"/>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KKH</w:t>
            </w:r>
          </w:p>
        </w:tc>
        <w:tc>
          <w:tcPr>
            <w:tcW w:w="931" w:type="dxa"/>
            <w:tcBorders>
              <w:top w:val="single" w:sz="4" w:space="0" w:color="auto"/>
              <w:left w:val="nil"/>
              <w:bottom w:val="single" w:sz="4" w:space="0" w:color="auto"/>
              <w:right w:val="single" w:sz="4" w:space="0" w:color="auto"/>
            </w:tcBorders>
            <w:noWrap/>
            <w:vAlign w:val="center"/>
            <w:hideMark/>
          </w:tcPr>
          <w:p w14:paraId="7D33FAAF"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97.133</w:t>
            </w:r>
          </w:p>
        </w:tc>
        <w:tc>
          <w:tcPr>
            <w:tcW w:w="928" w:type="dxa"/>
            <w:tcBorders>
              <w:top w:val="single" w:sz="4" w:space="0" w:color="auto"/>
              <w:left w:val="nil"/>
              <w:bottom w:val="single" w:sz="4" w:space="0" w:color="auto"/>
              <w:right w:val="single" w:sz="4" w:space="0" w:color="auto"/>
            </w:tcBorders>
            <w:noWrap/>
            <w:vAlign w:val="center"/>
            <w:hideMark/>
          </w:tcPr>
          <w:p w14:paraId="4E251943"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19.72</w:t>
            </w:r>
          </w:p>
        </w:tc>
        <w:tc>
          <w:tcPr>
            <w:tcW w:w="931" w:type="dxa"/>
            <w:tcBorders>
              <w:top w:val="single" w:sz="4" w:space="0" w:color="auto"/>
              <w:left w:val="nil"/>
              <w:bottom w:val="single" w:sz="4" w:space="0" w:color="auto"/>
              <w:right w:val="single" w:sz="4" w:space="0" w:color="auto"/>
            </w:tcBorders>
            <w:noWrap/>
            <w:vAlign w:val="center"/>
            <w:hideMark/>
          </w:tcPr>
          <w:p w14:paraId="00470BC4"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121.493</w:t>
            </w:r>
          </w:p>
        </w:tc>
        <w:tc>
          <w:tcPr>
            <w:tcW w:w="928" w:type="dxa"/>
            <w:tcBorders>
              <w:top w:val="single" w:sz="4" w:space="0" w:color="auto"/>
              <w:left w:val="nil"/>
              <w:bottom w:val="single" w:sz="4" w:space="0" w:color="auto"/>
              <w:right w:val="single" w:sz="4" w:space="0" w:color="auto"/>
            </w:tcBorders>
            <w:noWrap/>
            <w:vAlign w:val="center"/>
            <w:hideMark/>
          </w:tcPr>
          <w:p w14:paraId="409B0B4F"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22.82</w:t>
            </w:r>
          </w:p>
        </w:tc>
        <w:tc>
          <w:tcPr>
            <w:tcW w:w="222" w:type="dxa"/>
            <w:tcBorders>
              <w:top w:val="single" w:sz="4" w:space="0" w:color="auto"/>
              <w:left w:val="nil"/>
              <w:bottom w:val="single" w:sz="4" w:space="0" w:color="auto"/>
              <w:right w:val="nil"/>
            </w:tcBorders>
          </w:tcPr>
          <w:p w14:paraId="170DBCE1"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931" w:type="dxa"/>
            <w:tcBorders>
              <w:top w:val="single" w:sz="4" w:space="0" w:color="auto"/>
              <w:left w:val="nil"/>
              <w:bottom w:val="single" w:sz="4" w:space="0" w:color="auto"/>
              <w:right w:val="single" w:sz="4" w:space="0" w:color="auto"/>
            </w:tcBorders>
            <w:noWrap/>
            <w:vAlign w:val="center"/>
            <w:hideMark/>
          </w:tcPr>
          <w:p w14:paraId="0513CA2D"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130.417</w:t>
            </w:r>
          </w:p>
        </w:tc>
        <w:tc>
          <w:tcPr>
            <w:tcW w:w="1064" w:type="dxa"/>
            <w:tcBorders>
              <w:top w:val="single" w:sz="4" w:space="0" w:color="auto"/>
              <w:left w:val="nil"/>
              <w:bottom w:val="single" w:sz="4" w:space="0" w:color="auto"/>
              <w:right w:val="single" w:sz="4" w:space="0" w:color="auto"/>
            </w:tcBorders>
            <w:noWrap/>
            <w:vAlign w:val="center"/>
            <w:hideMark/>
          </w:tcPr>
          <w:p w14:paraId="633FC9EE"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21.87</w:t>
            </w:r>
          </w:p>
        </w:tc>
        <w:tc>
          <w:tcPr>
            <w:tcW w:w="821" w:type="dxa"/>
            <w:tcBorders>
              <w:top w:val="single" w:sz="4" w:space="0" w:color="auto"/>
              <w:left w:val="nil"/>
              <w:bottom w:val="single" w:sz="4" w:space="0" w:color="auto"/>
              <w:right w:val="single" w:sz="4" w:space="0" w:color="auto"/>
            </w:tcBorders>
            <w:noWrap/>
            <w:vAlign w:val="center"/>
            <w:hideMark/>
          </w:tcPr>
          <w:p w14:paraId="2132A866"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24.36</w:t>
            </w:r>
          </w:p>
        </w:tc>
        <w:tc>
          <w:tcPr>
            <w:tcW w:w="711" w:type="dxa"/>
            <w:tcBorders>
              <w:top w:val="single" w:sz="4" w:space="0" w:color="auto"/>
              <w:left w:val="nil"/>
              <w:bottom w:val="single" w:sz="4" w:space="0" w:color="auto"/>
              <w:right w:val="single" w:sz="4" w:space="0" w:color="auto"/>
            </w:tcBorders>
            <w:noWrap/>
            <w:vAlign w:val="center"/>
            <w:hideMark/>
          </w:tcPr>
          <w:p w14:paraId="2F730AFA"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25.08</w:t>
            </w:r>
          </w:p>
        </w:tc>
        <w:tc>
          <w:tcPr>
            <w:tcW w:w="821" w:type="dxa"/>
            <w:tcBorders>
              <w:top w:val="single" w:sz="4" w:space="0" w:color="auto"/>
              <w:left w:val="nil"/>
              <w:bottom w:val="single" w:sz="4" w:space="0" w:color="auto"/>
              <w:right w:val="single" w:sz="4" w:space="0" w:color="auto"/>
            </w:tcBorders>
            <w:noWrap/>
            <w:vAlign w:val="center"/>
            <w:hideMark/>
          </w:tcPr>
          <w:p w14:paraId="6B78DBF4"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8.924</w:t>
            </w:r>
          </w:p>
        </w:tc>
        <w:tc>
          <w:tcPr>
            <w:tcW w:w="666" w:type="dxa"/>
            <w:tcBorders>
              <w:top w:val="single" w:sz="4" w:space="0" w:color="auto"/>
              <w:left w:val="nil"/>
              <w:bottom w:val="single" w:sz="4" w:space="0" w:color="auto"/>
              <w:right w:val="single" w:sz="4" w:space="0" w:color="auto"/>
            </w:tcBorders>
            <w:noWrap/>
            <w:vAlign w:val="center"/>
            <w:hideMark/>
          </w:tcPr>
          <w:p w14:paraId="169B1641"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7.35</w:t>
            </w:r>
          </w:p>
        </w:tc>
      </w:tr>
      <w:tr w:rsidR="0042797D" w:rsidRPr="006316D5" w14:paraId="76772527" w14:textId="77777777" w:rsidTr="002F73B2">
        <w:trPr>
          <w:trHeight w:val="260"/>
        </w:trPr>
        <w:tc>
          <w:tcPr>
            <w:tcW w:w="1435" w:type="dxa"/>
            <w:tcBorders>
              <w:top w:val="nil"/>
              <w:left w:val="single" w:sz="4" w:space="0" w:color="auto"/>
              <w:bottom w:val="single" w:sz="4" w:space="0" w:color="auto"/>
              <w:right w:val="single" w:sz="4" w:space="0" w:color="auto"/>
            </w:tcBorders>
            <w:noWrap/>
            <w:vAlign w:val="center"/>
            <w:hideMark/>
          </w:tcPr>
          <w:p w14:paraId="7318F355" w14:textId="77777777" w:rsidR="0042797D" w:rsidRPr="006316D5" w:rsidRDefault="0042797D" w:rsidP="002F73B2">
            <w:pPr>
              <w:spacing w:after="0" w:line="240" w:lineRule="auto"/>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CKH</w:t>
            </w:r>
          </w:p>
        </w:tc>
        <w:tc>
          <w:tcPr>
            <w:tcW w:w="931" w:type="dxa"/>
            <w:tcBorders>
              <w:top w:val="nil"/>
              <w:left w:val="nil"/>
              <w:bottom w:val="single" w:sz="4" w:space="0" w:color="auto"/>
              <w:right w:val="single" w:sz="4" w:space="0" w:color="auto"/>
            </w:tcBorders>
            <w:noWrap/>
            <w:vAlign w:val="center"/>
            <w:hideMark/>
          </w:tcPr>
          <w:p w14:paraId="1F3BEAC2"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395.351</w:t>
            </w:r>
          </w:p>
        </w:tc>
        <w:tc>
          <w:tcPr>
            <w:tcW w:w="928" w:type="dxa"/>
            <w:tcBorders>
              <w:top w:val="nil"/>
              <w:left w:val="nil"/>
              <w:bottom w:val="single" w:sz="4" w:space="0" w:color="auto"/>
              <w:right w:val="single" w:sz="4" w:space="0" w:color="auto"/>
            </w:tcBorders>
            <w:noWrap/>
            <w:vAlign w:val="center"/>
            <w:hideMark/>
          </w:tcPr>
          <w:p w14:paraId="58A9D716"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80.28</w:t>
            </w:r>
          </w:p>
        </w:tc>
        <w:tc>
          <w:tcPr>
            <w:tcW w:w="931" w:type="dxa"/>
            <w:tcBorders>
              <w:top w:val="nil"/>
              <w:left w:val="nil"/>
              <w:bottom w:val="single" w:sz="4" w:space="0" w:color="auto"/>
              <w:right w:val="single" w:sz="4" w:space="0" w:color="auto"/>
            </w:tcBorders>
            <w:noWrap/>
            <w:vAlign w:val="center"/>
            <w:hideMark/>
          </w:tcPr>
          <w:p w14:paraId="06AD5331"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410.854</w:t>
            </w:r>
          </w:p>
        </w:tc>
        <w:tc>
          <w:tcPr>
            <w:tcW w:w="928" w:type="dxa"/>
            <w:tcBorders>
              <w:top w:val="nil"/>
              <w:left w:val="nil"/>
              <w:bottom w:val="single" w:sz="4" w:space="0" w:color="auto"/>
              <w:right w:val="single" w:sz="4" w:space="0" w:color="auto"/>
            </w:tcBorders>
            <w:noWrap/>
            <w:vAlign w:val="center"/>
            <w:hideMark/>
          </w:tcPr>
          <w:p w14:paraId="425D3D5E"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77.18</w:t>
            </w:r>
          </w:p>
        </w:tc>
        <w:tc>
          <w:tcPr>
            <w:tcW w:w="222" w:type="dxa"/>
            <w:tcBorders>
              <w:top w:val="nil"/>
              <w:left w:val="nil"/>
              <w:bottom w:val="single" w:sz="4" w:space="0" w:color="auto"/>
              <w:right w:val="nil"/>
            </w:tcBorders>
          </w:tcPr>
          <w:p w14:paraId="0E080C54"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931" w:type="dxa"/>
            <w:tcBorders>
              <w:top w:val="nil"/>
              <w:left w:val="nil"/>
              <w:bottom w:val="single" w:sz="4" w:space="0" w:color="auto"/>
              <w:right w:val="single" w:sz="4" w:space="0" w:color="auto"/>
            </w:tcBorders>
            <w:noWrap/>
            <w:vAlign w:val="center"/>
            <w:hideMark/>
          </w:tcPr>
          <w:p w14:paraId="65CDA970"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465.835</w:t>
            </w:r>
          </w:p>
        </w:tc>
        <w:tc>
          <w:tcPr>
            <w:tcW w:w="1064" w:type="dxa"/>
            <w:tcBorders>
              <w:top w:val="nil"/>
              <w:left w:val="nil"/>
              <w:bottom w:val="single" w:sz="4" w:space="0" w:color="auto"/>
              <w:right w:val="single" w:sz="4" w:space="0" w:color="auto"/>
            </w:tcBorders>
            <w:noWrap/>
            <w:vAlign w:val="center"/>
            <w:hideMark/>
          </w:tcPr>
          <w:p w14:paraId="1DEA0D00"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78.13</w:t>
            </w:r>
          </w:p>
        </w:tc>
        <w:tc>
          <w:tcPr>
            <w:tcW w:w="821" w:type="dxa"/>
            <w:tcBorders>
              <w:top w:val="nil"/>
              <w:left w:val="nil"/>
              <w:bottom w:val="single" w:sz="4" w:space="0" w:color="auto"/>
              <w:right w:val="single" w:sz="4" w:space="0" w:color="auto"/>
            </w:tcBorders>
            <w:noWrap/>
            <w:vAlign w:val="center"/>
            <w:hideMark/>
          </w:tcPr>
          <w:p w14:paraId="37016E46"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15.503</w:t>
            </w:r>
          </w:p>
        </w:tc>
        <w:tc>
          <w:tcPr>
            <w:tcW w:w="711" w:type="dxa"/>
            <w:tcBorders>
              <w:top w:val="nil"/>
              <w:left w:val="nil"/>
              <w:bottom w:val="single" w:sz="4" w:space="0" w:color="auto"/>
              <w:right w:val="single" w:sz="4" w:space="0" w:color="auto"/>
            </w:tcBorders>
            <w:noWrap/>
            <w:vAlign w:val="center"/>
            <w:hideMark/>
          </w:tcPr>
          <w:p w14:paraId="4CF052E3"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3.92</w:t>
            </w:r>
          </w:p>
        </w:tc>
        <w:tc>
          <w:tcPr>
            <w:tcW w:w="821" w:type="dxa"/>
            <w:tcBorders>
              <w:top w:val="nil"/>
              <w:left w:val="nil"/>
              <w:bottom w:val="single" w:sz="4" w:space="0" w:color="auto"/>
              <w:right w:val="single" w:sz="4" w:space="0" w:color="auto"/>
            </w:tcBorders>
            <w:noWrap/>
            <w:vAlign w:val="center"/>
            <w:hideMark/>
          </w:tcPr>
          <w:p w14:paraId="3AA8B80A"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54.981</w:t>
            </w:r>
          </w:p>
        </w:tc>
        <w:tc>
          <w:tcPr>
            <w:tcW w:w="666" w:type="dxa"/>
            <w:tcBorders>
              <w:top w:val="nil"/>
              <w:left w:val="nil"/>
              <w:bottom w:val="single" w:sz="4" w:space="0" w:color="auto"/>
              <w:right w:val="single" w:sz="4" w:space="0" w:color="auto"/>
            </w:tcBorders>
            <w:noWrap/>
            <w:vAlign w:val="center"/>
            <w:hideMark/>
          </w:tcPr>
          <w:p w14:paraId="75A92ED9" w14:textId="77777777" w:rsidR="0042797D" w:rsidRPr="006316D5" w:rsidRDefault="0042797D" w:rsidP="002F73B2">
            <w:pPr>
              <w:spacing w:after="0" w:line="240" w:lineRule="auto"/>
              <w:jc w:val="center"/>
              <w:rPr>
                <w:rFonts w:ascii="Times New Roman" w:eastAsia="Times New Roman" w:hAnsi="Times New Roman" w:cs="Times New Roman"/>
                <w:b/>
                <w:bCs/>
                <w:color w:val="000000"/>
                <w:kern w:val="0"/>
                <w:sz w:val="20"/>
                <w:szCs w:val="20"/>
                <w14:ligatures w14:val="none"/>
              </w:rPr>
            </w:pPr>
            <w:r w:rsidRPr="006316D5">
              <w:rPr>
                <w:rFonts w:ascii="Times New Roman" w:eastAsia="Times New Roman" w:hAnsi="Times New Roman" w:cs="Times New Roman"/>
                <w:b/>
                <w:bCs/>
                <w:color w:val="000000"/>
                <w:kern w:val="0"/>
                <w:sz w:val="20"/>
                <w:szCs w:val="20"/>
                <w14:ligatures w14:val="none"/>
              </w:rPr>
              <w:t>13.38</w:t>
            </w:r>
          </w:p>
        </w:tc>
      </w:tr>
      <w:tr w:rsidR="0042797D" w:rsidRPr="006316D5" w14:paraId="2A4803BA" w14:textId="77777777" w:rsidTr="002F73B2">
        <w:trPr>
          <w:trHeight w:val="359"/>
        </w:trPr>
        <w:tc>
          <w:tcPr>
            <w:tcW w:w="1435" w:type="dxa"/>
            <w:tcBorders>
              <w:top w:val="nil"/>
              <w:left w:val="single" w:sz="4" w:space="0" w:color="auto"/>
              <w:bottom w:val="single" w:sz="4" w:space="0" w:color="auto"/>
              <w:right w:val="single" w:sz="4" w:space="0" w:color="auto"/>
            </w:tcBorders>
            <w:noWrap/>
            <w:vAlign w:val="center"/>
            <w:hideMark/>
          </w:tcPr>
          <w:p w14:paraId="53D93FC7" w14:textId="77777777" w:rsidR="0042797D" w:rsidRPr="006316D5" w:rsidRDefault="0042797D" w:rsidP="002F73B2">
            <w:pPr>
              <w:spacing w:after="0" w:line="240" w:lineRule="auto"/>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CKH &lt; 12 tháng</w:t>
            </w:r>
          </w:p>
        </w:tc>
        <w:tc>
          <w:tcPr>
            <w:tcW w:w="931" w:type="dxa"/>
            <w:tcBorders>
              <w:top w:val="nil"/>
              <w:left w:val="nil"/>
              <w:bottom w:val="single" w:sz="4" w:space="0" w:color="auto"/>
              <w:right w:val="single" w:sz="4" w:space="0" w:color="auto"/>
            </w:tcBorders>
            <w:noWrap/>
            <w:vAlign w:val="center"/>
            <w:hideMark/>
          </w:tcPr>
          <w:p w14:paraId="5070A3D0"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271.319</w:t>
            </w:r>
          </w:p>
        </w:tc>
        <w:tc>
          <w:tcPr>
            <w:tcW w:w="928" w:type="dxa"/>
            <w:tcBorders>
              <w:top w:val="nil"/>
              <w:left w:val="nil"/>
              <w:bottom w:val="single" w:sz="4" w:space="0" w:color="auto"/>
              <w:right w:val="single" w:sz="4" w:space="0" w:color="auto"/>
            </w:tcBorders>
            <w:noWrap/>
            <w:vAlign w:val="center"/>
            <w:hideMark/>
          </w:tcPr>
          <w:p w14:paraId="0C493955"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55.09</w:t>
            </w:r>
          </w:p>
        </w:tc>
        <w:tc>
          <w:tcPr>
            <w:tcW w:w="931" w:type="dxa"/>
            <w:tcBorders>
              <w:top w:val="nil"/>
              <w:left w:val="nil"/>
              <w:bottom w:val="single" w:sz="4" w:space="0" w:color="auto"/>
              <w:right w:val="single" w:sz="4" w:space="0" w:color="auto"/>
            </w:tcBorders>
            <w:noWrap/>
            <w:vAlign w:val="center"/>
            <w:hideMark/>
          </w:tcPr>
          <w:p w14:paraId="70293264"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294.671</w:t>
            </w:r>
          </w:p>
        </w:tc>
        <w:tc>
          <w:tcPr>
            <w:tcW w:w="928" w:type="dxa"/>
            <w:tcBorders>
              <w:top w:val="nil"/>
              <w:left w:val="nil"/>
              <w:bottom w:val="single" w:sz="4" w:space="0" w:color="auto"/>
              <w:right w:val="single" w:sz="4" w:space="0" w:color="auto"/>
            </w:tcBorders>
            <w:noWrap/>
            <w:vAlign w:val="center"/>
            <w:hideMark/>
          </w:tcPr>
          <w:p w14:paraId="777F0F3A"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55.35</w:t>
            </w:r>
          </w:p>
        </w:tc>
        <w:tc>
          <w:tcPr>
            <w:tcW w:w="222" w:type="dxa"/>
            <w:tcBorders>
              <w:top w:val="nil"/>
              <w:left w:val="nil"/>
              <w:bottom w:val="single" w:sz="4" w:space="0" w:color="auto"/>
              <w:right w:val="nil"/>
            </w:tcBorders>
          </w:tcPr>
          <w:p w14:paraId="6078094C"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p>
        </w:tc>
        <w:tc>
          <w:tcPr>
            <w:tcW w:w="931" w:type="dxa"/>
            <w:tcBorders>
              <w:top w:val="nil"/>
              <w:left w:val="nil"/>
              <w:bottom w:val="single" w:sz="4" w:space="0" w:color="auto"/>
              <w:right w:val="single" w:sz="4" w:space="0" w:color="auto"/>
            </w:tcBorders>
            <w:noWrap/>
            <w:vAlign w:val="center"/>
            <w:hideMark/>
          </w:tcPr>
          <w:p w14:paraId="780991BB"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310.416</w:t>
            </w:r>
          </w:p>
        </w:tc>
        <w:tc>
          <w:tcPr>
            <w:tcW w:w="1064" w:type="dxa"/>
            <w:tcBorders>
              <w:top w:val="nil"/>
              <w:left w:val="nil"/>
              <w:bottom w:val="single" w:sz="4" w:space="0" w:color="auto"/>
              <w:right w:val="single" w:sz="4" w:space="0" w:color="auto"/>
            </w:tcBorders>
            <w:noWrap/>
            <w:vAlign w:val="center"/>
            <w:hideMark/>
          </w:tcPr>
          <w:p w14:paraId="2228AD12"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52.06</w:t>
            </w:r>
          </w:p>
        </w:tc>
        <w:tc>
          <w:tcPr>
            <w:tcW w:w="821" w:type="dxa"/>
            <w:tcBorders>
              <w:top w:val="nil"/>
              <w:left w:val="nil"/>
              <w:bottom w:val="single" w:sz="4" w:space="0" w:color="auto"/>
              <w:right w:val="single" w:sz="4" w:space="0" w:color="auto"/>
            </w:tcBorders>
            <w:noWrap/>
            <w:vAlign w:val="center"/>
            <w:hideMark/>
          </w:tcPr>
          <w:p w14:paraId="0D844204"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23.352</w:t>
            </w:r>
          </w:p>
        </w:tc>
        <w:tc>
          <w:tcPr>
            <w:tcW w:w="711" w:type="dxa"/>
            <w:tcBorders>
              <w:top w:val="nil"/>
              <w:left w:val="nil"/>
              <w:bottom w:val="single" w:sz="4" w:space="0" w:color="auto"/>
              <w:right w:val="single" w:sz="4" w:space="0" w:color="auto"/>
            </w:tcBorders>
            <w:noWrap/>
            <w:vAlign w:val="center"/>
            <w:hideMark/>
          </w:tcPr>
          <w:p w14:paraId="25E548F4"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8.61</w:t>
            </w:r>
          </w:p>
        </w:tc>
        <w:tc>
          <w:tcPr>
            <w:tcW w:w="821" w:type="dxa"/>
            <w:tcBorders>
              <w:top w:val="nil"/>
              <w:left w:val="nil"/>
              <w:bottom w:val="single" w:sz="4" w:space="0" w:color="auto"/>
              <w:right w:val="single" w:sz="4" w:space="0" w:color="auto"/>
            </w:tcBorders>
            <w:noWrap/>
            <w:vAlign w:val="center"/>
            <w:hideMark/>
          </w:tcPr>
          <w:p w14:paraId="682C86A4"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15.475</w:t>
            </w:r>
          </w:p>
        </w:tc>
        <w:tc>
          <w:tcPr>
            <w:tcW w:w="666" w:type="dxa"/>
            <w:tcBorders>
              <w:top w:val="nil"/>
              <w:left w:val="nil"/>
              <w:bottom w:val="single" w:sz="4" w:space="0" w:color="auto"/>
              <w:right w:val="single" w:sz="4" w:space="0" w:color="auto"/>
            </w:tcBorders>
            <w:noWrap/>
            <w:vAlign w:val="center"/>
            <w:hideMark/>
          </w:tcPr>
          <w:p w14:paraId="0F361ECB"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5.34</w:t>
            </w:r>
          </w:p>
        </w:tc>
      </w:tr>
      <w:tr w:rsidR="0042797D" w:rsidRPr="006316D5" w14:paraId="4A216208" w14:textId="77777777" w:rsidTr="002F73B2">
        <w:trPr>
          <w:trHeight w:val="337"/>
        </w:trPr>
        <w:tc>
          <w:tcPr>
            <w:tcW w:w="1435" w:type="dxa"/>
            <w:tcBorders>
              <w:top w:val="nil"/>
              <w:left w:val="single" w:sz="4" w:space="0" w:color="auto"/>
              <w:bottom w:val="single" w:sz="4" w:space="0" w:color="auto"/>
              <w:right w:val="single" w:sz="4" w:space="0" w:color="auto"/>
            </w:tcBorders>
            <w:noWrap/>
            <w:vAlign w:val="center"/>
            <w:hideMark/>
          </w:tcPr>
          <w:p w14:paraId="27C3AFF8" w14:textId="77777777" w:rsidR="0042797D" w:rsidRPr="006316D5" w:rsidRDefault="0042797D" w:rsidP="002F73B2">
            <w:pPr>
              <w:spacing w:after="0" w:line="240" w:lineRule="auto"/>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 xml:space="preserve">CKH </w:t>
            </w:r>
            <w:r w:rsidRPr="006316D5">
              <w:rPr>
                <w:rFonts w:ascii="Aptos Narrow" w:eastAsia="Times New Roman" w:hAnsi="Aptos Narrow" w:cs="Times New Roman"/>
                <w:color w:val="000000"/>
                <w:kern w:val="0"/>
                <w:sz w:val="20"/>
                <w:szCs w:val="20"/>
                <w14:ligatures w14:val="none"/>
              </w:rPr>
              <w:t>≥</w:t>
            </w:r>
            <w:r w:rsidRPr="006316D5">
              <w:rPr>
                <w:rFonts w:ascii="Times New Roman" w:eastAsia="Times New Roman" w:hAnsi="Times New Roman" w:cs="Times New Roman"/>
                <w:color w:val="000000"/>
                <w:kern w:val="0"/>
                <w:sz w:val="20"/>
                <w:szCs w:val="20"/>
                <w14:ligatures w14:val="none"/>
              </w:rPr>
              <w:t xml:space="preserve"> 12 tháng</w:t>
            </w:r>
          </w:p>
        </w:tc>
        <w:tc>
          <w:tcPr>
            <w:tcW w:w="931" w:type="dxa"/>
            <w:tcBorders>
              <w:top w:val="nil"/>
              <w:left w:val="nil"/>
              <w:bottom w:val="single" w:sz="4" w:space="0" w:color="auto"/>
              <w:right w:val="single" w:sz="4" w:space="0" w:color="auto"/>
            </w:tcBorders>
            <w:noWrap/>
            <w:vAlign w:val="center"/>
            <w:hideMark/>
          </w:tcPr>
          <w:p w14:paraId="194275D1"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124.032</w:t>
            </w:r>
          </w:p>
        </w:tc>
        <w:tc>
          <w:tcPr>
            <w:tcW w:w="928" w:type="dxa"/>
            <w:tcBorders>
              <w:top w:val="nil"/>
              <w:left w:val="nil"/>
              <w:bottom w:val="single" w:sz="4" w:space="0" w:color="auto"/>
              <w:right w:val="single" w:sz="4" w:space="0" w:color="auto"/>
            </w:tcBorders>
            <w:noWrap/>
            <w:vAlign w:val="center"/>
            <w:hideMark/>
          </w:tcPr>
          <w:p w14:paraId="25AE99A9"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25.18</w:t>
            </w:r>
          </w:p>
        </w:tc>
        <w:tc>
          <w:tcPr>
            <w:tcW w:w="931" w:type="dxa"/>
            <w:tcBorders>
              <w:top w:val="nil"/>
              <w:left w:val="nil"/>
              <w:bottom w:val="single" w:sz="4" w:space="0" w:color="auto"/>
              <w:right w:val="single" w:sz="4" w:space="0" w:color="auto"/>
            </w:tcBorders>
            <w:noWrap/>
            <w:vAlign w:val="center"/>
            <w:hideMark/>
          </w:tcPr>
          <w:p w14:paraId="3649ADDB"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116.183</w:t>
            </w:r>
          </w:p>
        </w:tc>
        <w:tc>
          <w:tcPr>
            <w:tcW w:w="928" w:type="dxa"/>
            <w:tcBorders>
              <w:top w:val="nil"/>
              <w:left w:val="nil"/>
              <w:bottom w:val="single" w:sz="4" w:space="0" w:color="auto"/>
              <w:right w:val="single" w:sz="4" w:space="0" w:color="auto"/>
            </w:tcBorders>
            <w:noWrap/>
            <w:vAlign w:val="center"/>
            <w:hideMark/>
          </w:tcPr>
          <w:p w14:paraId="439F6CA5"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28.28</w:t>
            </w:r>
          </w:p>
        </w:tc>
        <w:tc>
          <w:tcPr>
            <w:tcW w:w="222" w:type="dxa"/>
            <w:tcBorders>
              <w:top w:val="nil"/>
              <w:left w:val="nil"/>
              <w:bottom w:val="single" w:sz="4" w:space="0" w:color="auto"/>
              <w:right w:val="nil"/>
            </w:tcBorders>
          </w:tcPr>
          <w:p w14:paraId="5617D7B9"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p>
        </w:tc>
        <w:tc>
          <w:tcPr>
            <w:tcW w:w="931" w:type="dxa"/>
            <w:tcBorders>
              <w:top w:val="nil"/>
              <w:left w:val="nil"/>
              <w:bottom w:val="single" w:sz="4" w:space="0" w:color="auto"/>
              <w:right w:val="single" w:sz="4" w:space="0" w:color="auto"/>
            </w:tcBorders>
            <w:noWrap/>
            <w:vAlign w:val="center"/>
            <w:hideMark/>
          </w:tcPr>
          <w:p w14:paraId="6BBBAF9E"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155.419</w:t>
            </w:r>
          </w:p>
        </w:tc>
        <w:tc>
          <w:tcPr>
            <w:tcW w:w="1064" w:type="dxa"/>
            <w:tcBorders>
              <w:top w:val="nil"/>
              <w:left w:val="nil"/>
              <w:bottom w:val="single" w:sz="4" w:space="0" w:color="auto"/>
              <w:right w:val="single" w:sz="4" w:space="0" w:color="auto"/>
            </w:tcBorders>
            <w:noWrap/>
            <w:vAlign w:val="center"/>
            <w:hideMark/>
          </w:tcPr>
          <w:p w14:paraId="1A4D3151"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26.07</w:t>
            </w:r>
          </w:p>
        </w:tc>
        <w:tc>
          <w:tcPr>
            <w:tcW w:w="821" w:type="dxa"/>
            <w:tcBorders>
              <w:top w:val="nil"/>
              <w:left w:val="nil"/>
              <w:bottom w:val="single" w:sz="4" w:space="0" w:color="auto"/>
              <w:right w:val="single" w:sz="4" w:space="0" w:color="auto"/>
            </w:tcBorders>
            <w:noWrap/>
            <w:vAlign w:val="center"/>
            <w:hideMark/>
          </w:tcPr>
          <w:p w14:paraId="1E69C014"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-7.849</w:t>
            </w:r>
          </w:p>
        </w:tc>
        <w:tc>
          <w:tcPr>
            <w:tcW w:w="711" w:type="dxa"/>
            <w:tcBorders>
              <w:top w:val="nil"/>
              <w:left w:val="nil"/>
              <w:bottom w:val="single" w:sz="4" w:space="0" w:color="auto"/>
              <w:right w:val="single" w:sz="4" w:space="0" w:color="auto"/>
            </w:tcBorders>
            <w:noWrap/>
            <w:vAlign w:val="center"/>
            <w:hideMark/>
          </w:tcPr>
          <w:p w14:paraId="59FA75F6"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-6.33</w:t>
            </w:r>
          </w:p>
        </w:tc>
        <w:tc>
          <w:tcPr>
            <w:tcW w:w="821" w:type="dxa"/>
            <w:tcBorders>
              <w:top w:val="nil"/>
              <w:left w:val="nil"/>
              <w:bottom w:val="single" w:sz="4" w:space="0" w:color="auto"/>
              <w:right w:val="single" w:sz="4" w:space="0" w:color="auto"/>
            </w:tcBorders>
            <w:noWrap/>
            <w:vAlign w:val="center"/>
            <w:hideMark/>
          </w:tcPr>
          <w:p w14:paraId="788C4F22"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39.236</w:t>
            </w:r>
          </w:p>
        </w:tc>
        <w:tc>
          <w:tcPr>
            <w:tcW w:w="666" w:type="dxa"/>
            <w:tcBorders>
              <w:top w:val="nil"/>
              <w:left w:val="nil"/>
              <w:bottom w:val="single" w:sz="4" w:space="0" w:color="auto"/>
              <w:right w:val="single" w:sz="4" w:space="0" w:color="auto"/>
            </w:tcBorders>
            <w:noWrap/>
            <w:vAlign w:val="center"/>
            <w:hideMark/>
          </w:tcPr>
          <w:p w14:paraId="39C4B35A" w14:textId="77777777" w:rsidR="0042797D" w:rsidRPr="006316D5" w:rsidRDefault="0042797D" w:rsidP="002F73B2">
            <w:pPr>
              <w:spacing w:after="0" w:line="240" w:lineRule="auto"/>
              <w:jc w:val="center"/>
              <w:rPr>
                <w:rFonts w:ascii="Times New Roman" w:eastAsia="Times New Roman" w:hAnsi="Times New Roman" w:cs="Times New Roman"/>
                <w:color w:val="000000"/>
                <w:kern w:val="0"/>
                <w:sz w:val="20"/>
                <w:szCs w:val="20"/>
                <w14:ligatures w14:val="none"/>
              </w:rPr>
            </w:pPr>
            <w:r w:rsidRPr="006316D5">
              <w:rPr>
                <w:rFonts w:ascii="Times New Roman" w:eastAsia="Times New Roman" w:hAnsi="Times New Roman" w:cs="Times New Roman"/>
                <w:color w:val="000000"/>
                <w:kern w:val="0"/>
                <w:sz w:val="20"/>
                <w:szCs w:val="20"/>
                <w14:ligatures w14:val="none"/>
              </w:rPr>
              <w:t>33.77</w:t>
            </w:r>
          </w:p>
        </w:tc>
      </w:tr>
    </w:tbl>
    <w:p w14:paraId="7DBA9AAE" w14:textId="77777777" w:rsidR="0042797D" w:rsidRPr="004E6F30" w:rsidRDefault="0042797D" w:rsidP="0042797D">
      <w:pPr>
        <w:spacing w:line="360" w:lineRule="auto"/>
        <w:jc w:val="right"/>
        <w:rPr>
          <w:rFonts w:ascii="Times New Roman" w:hAnsi="Times New Roman" w:cs="Times New Roman"/>
          <w:i/>
          <w:iCs/>
          <w:sz w:val="26"/>
          <w:szCs w:val="26"/>
        </w:rPr>
      </w:pPr>
      <w:r w:rsidRPr="004E6F30">
        <w:rPr>
          <w:rFonts w:ascii="Times New Roman" w:hAnsi="Times New Roman" w:cs="Times New Roman"/>
          <w:i/>
          <w:iCs/>
          <w:sz w:val="26"/>
          <w:szCs w:val="26"/>
        </w:rPr>
        <w:t>(Nguồn: BCTC Ngân hàng TMCP Nam Á – Chi nhánh Đà Nẵng – PGD Cẩm Lệ)</w:t>
      </w:r>
    </w:p>
    <w:p w14:paraId="7ACCF3E0" w14:textId="77777777" w:rsidR="0042797D" w:rsidRPr="003968AF" w:rsidRDefault="0042797D" w:rsidP="0042797D">
      <w:pPr>
        <w:spacing w:line="360" w:lineRule="auto"/>
        <w:jc w:val="both"/>
        <w:rPr>
          <w:rFonts w:ascii="Times New Roman" w:hAnsi="Times New Roman" w:cs="Times New Roman"/>
        </w:rPr>
      </w:pPr>
      <w:r>
        <w:rPr>
          <w:rFonts w:ascii="Times New Roman" w:hAnsi="Times New Roman"/>
          <w:sz w:val="26"/>
          <w:szCs w:val="26"/>
        </w:rPr>
        <w:t xml:space="preserve">   Căn cứ vào Bảng 2.7, có thể thấy cơ cấu huy động vốn đối với khách hàng cá nhân tại Ngân hàng TMCP Nam Á – Chi nhánh Đà Nẵng – PGD Cẩm Lệ được hình thành chủ yếu từ tiền gửi có kỳ hạn, trong khi tiền gửi không kỳ hạn chiếm tỷ trọng thấp hơn. Cụ thể, tiền gửi có kỳ hạn đạt 395.351 triệu đồng năm 2023, chiếm 80,28% tổng vốn huy động khách hàng cá nhân; năm 2024 tăng lên 410.854 triệu đồng, chiếm 77,18%; và năm 2025 tiếp tục tăng mạnh lên 465.835 triệu đồng, chiếm 78,13%. Việc tiền gửi có kỳ hạn luôn chiếm tỷ trọng cao cho thấy nguồn vốn huy động từ khách hàng cá nhân của PGD có tính ổn định tương đối tốt, tạo điều kiện thuận lợi cho ngân hàng chủ động hơn trong việc cân đối nguồn vốn và sử dụng vốn cho hoạt động kinh doanh. </w:t>
      </w:r>
    </w:p>
    <w:p w14:paraId="23B4E385" w14:textId="77777777" w:rsidR="0042797D" w:rsidRDefault="0042797D" w:rsidP="0042797D">
      <w:pPr>
        <w:spacing w:line="360" w:lineRule="auto"/>
        <w:jc w:val="both"/>
      </w:pPr>
      <w:r>
        <w:rPr>
          <w:rFonts w:ascii="Times New Roman" w:hAnsi="Times New Roman"/>
          <w:sz w:val="26"/>
          <w:szCs w:val="26"/>
        </w:rPr>
        <w:t xml:space="preserve">   Tuy giữ vai trò chủ đạo, tỷ trọng tiền gửi có kỳ hạn vẫn có sự biến động nhẹ qua từng năm, phản ánh sự dịch chuyển nhất định sang tiền gửi không kỳ hạn. Cụ thể, tỷ trọng tiền gửi có kỳ hạn giảm từ 80,28% năm 2023 xuống 77,18% năm 2024, trước khi tăng trở lại lên 78,13% vào năm 2025; ngược lại, tiền gửi không kỳ hạn tăng từ 19,72% lên 22,82% </w:t>
      </w:r>
      <w:r>
        <w:rPr>
          <w:rFonts w:ascii="Times New Roman" w:hAnsi="Times New Roman"/>
          <w:sz w:val="26"/>
          <w:szCs w:val="26"/>
        </w:rPr>
        <w:lastRenderedPageBreak/>
        <w:t>rồi giảm còn 21,87%. Diễn biến này cho thấy trong năm 2024, khách hàng có xu hướng ưu tiên duy trì tiền ở dạng linh hoạt hơn, làm cho tiền gửi không kỳ hạn tăng mạnh 24.360 triệu đồng, tương ứng 25,08%, cao hơn nhiều so với mức tăng 3,92% của tiền gửi có kỳ hạn. Điều này có thể xuất phát từ bối cảnh nền kinh tế Việt Nam bước vào giai đoạn phục hồi nhưng vẫn còn nhiều yếu tố biến động, khi tiêu dùng và đầu tư tư nhân phục hồi chưa đồng đều, khách hàng có xu hướng giữ tiền trên tài khoản thanh toán hoặc tiền gửi ngắn linh hoạt để dễ dàng đáp ứng nhu cầu chi tiêu, thanh toán và dự phòng thanh khoản. Bên cạnh đó, mặt bằng lãi suất trong năm 2024 duy trì ở mức không quá cao cũng có thể làm giảm động lực “khóa” tiền trong kỳ hạn dài, khiến một phần dòng tiền dịch chuyển sang tiền gửi không kỳ hạn hoặc các kỳ hạn ngắn hơn. Sang năm 2025, khi niềm tin thị trường và nhu cầu tối ưu lợi tức được cải thiện, tiền gửi có kỳ hạn tăng mạnh trở lại 54.981 triệu đồng, tương ứng 13,38%, cao hơn mức tăng 7,35% của tiền gửi không kỳ hạn, qua đó giúp cơ cấu vốn quay lại theo hướng ổn định hơn.</w:t>
      </w:r>
    </w:p>
    <w:p w14:paraId="6D8924A1" w14:textId="77777777" w:rsidR="0042797D" w:rsidRDefault="0042797D" w:rsidP="0042797D">
      <w:pPr>
        <w:spacing w:line="360" w:lineRule="auto"/>
        <w:jc w:val="both"/>
      </w:pPr>
      <w:r>
        <w:rPr>
          <w:rFonts w:ascii="Times New Roman" w:hAnsi="Times New Roman"/>
          <w:sz w:val="26"/>
          <w:szCs w:val="26"/>
        </w:rPr>
        <w:t xml:space="preserve">   Trong nhóm tiền gửi có kỳ hạn, tiền gửi dưới 12 tháng luôn chiếm tỷ trọng cao nhất và đều duy trì trên 50% tổng vốn huy động khách hàng cá nhân qua các năm. Cụ thể, khoản mục này đạt 271.319 triệu đồng năm 2023, chiếm 55,09%; năm 2024 tăng lên 294.671 triệu đồng, chiếm 55,35%; và năm 2025 tiếp tục tăng lên 310.416 triệu đồng, chiếm 52,06%. Việc kỳ hạn dưới 12 tháng luôn chiếm tỷ trọng lớn cho thấy PGD tập trung khá mạnh vào nhóm kỳ hạn ngắn và trung bình, bởi đây là nhóm phù hợp với đặc điểm tài chính của khách hàng cá nhân: vừa muốn hưởng lãi suất cao hơn tiền gửi không kỳ hạn, vừa muốn duy trì khả năng linh hoạt để điều chỉnh kế hoạch sử dụng tiền trong thời gian không quá dài. Về phía ngân hàng, việc huy động mạnh ở kỳ hạn dưới 12 tháng cũng giúp mở rộng quy mô vốn nhanh hơn, dễ thu hút khách hàng hơn và phù hợp với bối cảnh cạnh tranh lãi suất giữa các ngân hàng bán lẻ. Xét về chênh lệch, năm 2024 nhóm này tăng 23.352 triệu đồng, tương ứng 8,61%, phản ánh khách hàng vẫn ưu tiên gửi tiền theo kỳ hạn ngắn trong bối cảnh phục hồi kinh tế còn thận trọng. Tuy nhiên, sang năm 2025, mặc dù vẫn tăng thêm 15.745 triệu đồng, tốc độ tăng chỉ còn 5,34% và tỷ trọng giảm xuống 52,06%. Điều đó cho thấy nhóm kỳ hạn dưới 12 tháng tuy vẫn giữ vai trò chủ đạo, nhưng </w:t>
      </w:r>
      <w:r>
        <w:rPr>
          <w:rFonts w:ascii="Times New Roman" w:hAnsi="Times New Roman"/>
          <w:sz w:val="26"/>
          <w:szCs w:val="26"/>
        </w:rPr>
        <w:lastRenderedPageBreak/>
        <w:t>không còn là động lực tăng trưởng duy nhất của tiền gửi có kỳ hạn như trước, do một phần dòng tiền đã bắt đầu dịch chuyển sang nhóm kỳ hạn dài hơn.</w:t>
      </w:r>
    </w:p>
    <w:p w14:paraId="414F20FC" w14:textId="77777777" w:rsidR="0042797D" w:rsidRDefault="0042797D" w:rsidP="0042797D">
      <w:pPr>
        <w:spacing w:line="360" w:lineRule="auto"/>
        <w:jc w:val="both"/>
      </w:pPr>
      <w:r>
        <w:rPr>
          <w:rFonts w:ascii="Times New Roman" w:hAnsi="Times New Roman"/>
          <w:sz w:val="26"/>
          <w:szCs w:val="26"/>
        </w:rPr>
        <w:t xml:space="preserve">   Đối với tiền gửi có kỳ hạn từ 12 tháng trở lên, khoản mục này cũng giữ vai trò quan trọng trong cơ cấu vốn huy động khách hàng cá nhân, nhưng biến động rõ hơn so với nhóm dưới 12 tháng. Năm 2023, tiền gửi kỳ hạn từ 12 tháng trở lên đạt 124.032 triệu đồng, chiếm 25,18% tổng vốn huy động khách hàng cá nhân. Sang năm 2024, khoản mục này giảm xuống còn 116.183 triệu đồng, giảm 7.849 triệu đồng, tương ứng 6,33%, dù tỷ trọng trong bảng thể hiện ở mức 28,28%. Mức giảm về giá trị tuyệt đối cho thấy trong năm 2024, khách hàng chưa thực sự ưu tiên các kỳ hạn dài, chủ yếu do tâm lý thận trọng trước biến động của thị trường, nhu cầu giữ tiền linh hoạt cao hơn, đồng thời khoảng chênh lệch lợi ích giữa gửi dài hạn và gửi ngắn hạn chưa đủ lớn để khuyến khích khách hàng cam kết nguồn tiền trong thời gian dài. Tuy nhiên, sang năm 2025, nhóm này tăng mạnh lên 155.419 triệu đồng, tăng 39.236 triệu đồng, tương ứng 33,77% so với năm 2024. Đây là mức tăng cao nhất trong các nhóm kỳ hạn của bảng, cho thấy khách hàng đã quay lại với xu hướng gửi tiền dài hạn nhiều hơn. Diễn biến này có thể gắn với bối cảnh năm 2025 khi hoạt động kinh tế trong nước tiếp tục phục hồi, thị trường bất động sản và nhu cầu tiêu dùng dần cải thiện, trong khi hệ thống ngân hàng vẫn duy trì mặt bằng lãi suất tiền gửi tương đối hấp dẫn ở các kỳ hạn dài. Khi triển vọng kinh tế ổn định hơn, khách hàng có xu hướng gửi tiền dài hạn để cố định mức sinh lời và đảm bảo an toàn cho khoản tiền nhàn rỗi. Về phía ngân hàng, sự gia tăng mạnh của nhóm trên 12 tháng là tín hiệu tích cực vì giúp kéo dài kỳ hạn nguồn vốn, nâng cao mức độ ổn định và hỗ trợ tốt hơn cho việc cân đối sử dụng vốn trong trung và dài hạn.</w:t>
      </w:r>
    </w:p>
    <w:p w14:paraId="13B13DFD" w14:textId="77777777" w:rsidR="0042797D" w:rsidRDefault="0042797D" w:rsidP="0042797D">
      <w:pPr>
        <w:spacing w:line="360" w:lineRule="auto"/>
        <w:jc w:val="both"/>
      </w:pPr>
      <w:r>
        <w:rPr>
          <w:rFonts w:ascii="Times New Roman" w:hAnsi="Times New Roman"/>
          <w:sz w:val="26"/>
          <w:szCs w:val="26"/>
        </w:rPr>
        <w:t xml:space="preserve">   Nhìn chung, cơ cấu huy động vốn theo kỳ hạn của khách hàng cá nhân tại PGD Cẩm Lệ trong giai đoạn 2023–2025 cho thấy tiền gửi có kỳ hạn vẫn là nền tảng chủ đạo, trong đó kỳ hạn dưới 12 tháng chiếm ưu thế, còn kỳ hạn từ 12 tháng trở lên biến động mạnh hơn nhưng phục hồi rất tốt ở năm cuối kỳ. Sự thay đổi nhẹ giữa tiền gửi có kỳ hạn và không kỳ hạn phản ánh khả năng thích ứng của ngân hàng trước xu hướng dịch chuyển dòng tiền của khách hàng trong từng bối cảnh kinh tế khác nhau. Nếu năm 2024 thiên về nhu cầu linh </w:t>
      </w:r>
      <w:r>
        <w:rPr>
          <w:rFonts w:ascii="Times New Roman" w:hAnsi="Times New Roman"/>
          <w:sz w:val="26"/>
          <w:szCs w:val="26"/>
        </w:rPr>
        <w:lastRenderedPageBreak/>
        <w:t>hoạt và thanh khoản, thì năm 2025 đã cho thấy xu hướng quay lại với các khoản tiền gửi có kỳ hạn, đặc biệt là kỳ hạn dài hơn. Đây là diễn biến tích cực vì không chỉ giúp PGD gia tăng quy mô huy động vốn mà còn cải thiện chất lượng nguồn vốn theo hướng ổn định hơn, tạo điều kiện thuận lợi cho hoạt động sử dụng vốn an toàn và hiệu quả trong thời gian tới.</w:t>
      </w:r>
    </w:p>
    <w:p w14:paraId="11A3CF9B" w14:textId="77777777" w:rsidR="0042797D" w:rsidRDefault="0042797D" w:rsidP="0042797D">
      <w:pPr>
        <w:spacing w:line="360" w:lineRule="auto"/>
        <w:jc w:val="both"/>
        <w:rPr>
          <w:rFonts w:ascii="Times New Roman" w:hAnsi="Times New Roman" w:cs="Times New Roman"/>
          <w:b/>
          <w:bCs/>
          <w:sz w:val="26"/>
          <w:szCs w:val="26"/>
        </w:rPr>
      </w:pPr>
      <w:r w:rsidRPr="00CB2764">
        <w:rPr>
          <w:rFonts w:ascii="Times New Roman" w:hAnsi="Times New Roman" w:cs="Times New Roman"/>
          <w:b/>
          <w:bCs/>
          <w:sz w:val="26"/>
          <w:szCs w:val="26"/>
        </w:rPr>
        <w:t>2.3.</w:t>
      </w:r>
      <w:r>
        <w:rPr>
          <w:rFonts w:ascii="Times New Roman" w:hAnsi="Times New Roman" w:cs="Times New Roman"/>
          <w:b/>
          <w:bCs/>
          <w:sz w:val="26"/>
          <w:szCs w:val="26"/>
        </w:rPr>
        <w:t>3</w:t>
      </w:r>
      <w:r w:rsidRPr="00CB2764">
        <w:rPr>
          <w:rFonts w:ascii="Times New Roman" w:hAnsi="Times New Roman" w:cs="Times New Roman"/>
          <w:b/>
          <w:bCs/>
          <w:sz w:val="26"/>
          <w:szCs w:val="26"/>
        </w:rPr>
        <w:t xml:space="preserve"> </w:t>
      </w:r>
      <w:r>
        <w:rPr>
          <w:rFonts w:ascii="Times New Roman" w:hAnsi="Times New Roman" w:cs="Times New Roman"/>
          <w:b/>
          <w:bCs/>
          <w:sz w:val="26"/>
          <w:szCs w:val="26"/>
        </w:rPr>
        <w:t xml:space="preserve">Phân tích 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đối với khách hàng cá nhân theo sản phẩm tại</w:t>
      </w:r>
      <w:r w:rsidRPr="00CB2764">
        <w:rPr>
          <w:rFonts w:ascii="Times New Roman" w:hAnsi="Times New Roman" w:cs="Times New Roman"/>
          <w:b/>
          <w:bCs/>
          <w:sz w:val="26"/>
          <w:szCs w:val="26"/>
        </w:rPr>
        <w:t xml:space="preserve"> Ngân hàng TMCP Nam Á – Chi nhánh Đà Nẵng – Phòng giao dịch Cẩm Lệ</w:t>
      </w:r>
      <w:r>
        <w:rPr>
          <w:rFonts w:ascii="Times New Roman" w:hAnsi="Times New Roman" w:cs="Times New Roman"/>
          <w:b/>
          <w:bCs/>
          <w:sz w:val="26"/>
          <w:szCs w:val="26"/>
        </w:rPr>
        <w:t xml:space="preserve"> </w:t>
      </w:r>
    </w:p>
    <w:p w14:paraId="546025BB" w14:textId="77777777" w:rsidR="0042797D" w:rsidRDefault="0042797D" w:rsidP="0042797D">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   </w:t>
      </w:r>
      <w:r w:rsidRPr="004317B5">
        <w:rPr>
          <w:rFonts w:ascii="Times New Roman" w:hAnsi="Times New Roman" w:cs="Times New Roman"/>
          <w:sz w:val="26"/>
          <w:szCs w:val="26"/>
        </w:rPr>
        <w:t>Hoạt động huy động vốn đối với khách hàng cá nhân tại Ngân hàng TMCP Nam Á – Chi nhánh Đà Nẵng – Phòng giao dịch Cẩm Lệ được triển khai thông qua nhiều sản phẩm đa dạng, nhằm đáp ứng nhu cầu gửi tiền, tích lũy và sử dụng dịch vụ tài chính của khách hàng. Các sản phẩm huy động của ngân hàng tương đối phong phú, bao gồm tiền gửi tiết kiệm thông thường, tiết kiệm online, tiết kiệm lợi ích nhân đôi, Happy Future, tài khoản thanh toán cùng một số gói sản phẩm tích hợp như Happy Combo và Happy Lady</w:t>
      </w:r>
      <w:r>
        <w:rPr>
          <w:rFonts w:ascii="Times New Roman" w:hAnsi="Times New Roman" w:cs="Times New Roman"/>
          <w:sz w:val="26"/>
          <w:szCs w:val="26"/>
        </w:rPr>
        <w:t xml:space="preserve">,… </w:t>
      </w:r>
      <w:r w:rsidRPr="004317B5">
        <w:rPr>
          <w:rFonts w:ascii="Times New Roman" w:hAnsi="Times New Roman" w:cs="Times New Roman"/>
          <w:sz w:val="26"/>
          <w:szCs w:val="26"/>
        </w:rPr>
        <w:t>. Mỗi sản phẩm đều được thiết kế với đặc điểm và tiện ích riêng, phù hợp với từng nhu cầu khác nhau của khách hàng cá nhân, từ gửi tiền an toàn, sinh lời ổn định đến sử dụng linh hoạt trong thanh toán và giao dịch hằng ngày. Vì vậy, việc phân tích cơ cấu huy động vốn theo sản phẩm sẽ giúp làm rõ vai trò của từng sản phẩm trong tổng nguồn vốn huy động từ khách hàng cá nhân, đồng thời phản ánh mức độ phù hợp giữa chính sách sản phẩm của ngân hàng với nhu cầu thực tế của khách hàng trong giai đoạn 2023–2025.</w:t>
      </w:r>
    </w:p>
    <w:p w14:paraId="07944829" w14:textId="77777777" w:rsidR="0042797D" w:rsidRPr="00C900EF" w:rsidRDefault="0042797D" w:rsidP="0042797D">
      <w:pPr>
        <w:spacing w:line="360" w:lineRule="auto"/>
        <w:jc w:val="both"/>
        <w:rPr>
          <w:rFonts w:ascii="Times New Roman" w:hAnsi="Times New Roman" w:cs="Times New Roman"/>
          <w:sz w:val="26"/>
          <w:szCs w:val="26"/>
        </w:rPr>
      </w:pPr>
      <w:r w:rsidRPr="00E91F56">
        <w:rPr>
          <w:rFonts w:ascii="Times New Roman" w:hAnsi="Times New Roman" w:cs="Times New Roman"/>
          <w:b/>
          <w:bCs/>
          <w:sz w:val="26"/>
          <w:szCs w:val="26"/>
        </w:rPr>
        <w:t>Bảng 2.</w:t>
      </w:r>
      <w:r>
        <w:rPr>
          <w:rFonts w:ascii="Times New Roman" w:hAnsi="Times New Roman" w:cs="Times New Roman"/>
          <w:b/>
          <w:bCs/>
          <w:sz w:val="26"/>
          <w:szCs w:val="26"/>
        </w:rPr>
        <w:t>8</w:t>
      </w:r>
      <w:r>
        <w:rPr>
          <w:rFonts w:ascii="Times New Roman" w:hAnsi="Times New Roman" w:cs="Times New Roman"/>
          <w:sz w:val="26"/>
          <w:szCs w:val="26"/>
        </w:rPr>
        <w:t xml:space="preserve"> </w:t>
      </w:r>
      <w:r>
        <w:rPr>
          <w:rFonts w:ascii="Times New Roman" w:hAnsi="Times New Roman" w:cs="Times New Roman"/>
          <w:b/>
          <w:bCs/>
          <w:sz w:val="26"/>
          <w:szCs w:val="26"/>
        </w:rPr>
        <w:t xml:space="preserve">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 xml:space="preserve">đối với khách hàng cá nhân theo sản phẩm </w:t>
      </w:r>
      <w:r w:rsidRPr="00CB2764">
        <w:rPr>
          <w:rFonts w:ascii="Times New Roman" w:hAnsi="Times New Roman" w:cs="Times New Roman"/>
          <w:b/>
          <w:bCs/>
          <w:sz w:val="26"/>
          <w:szCs w:val="26"/>
        </w:rPr>
        <w:t>của Ngân hàng TMCP Nam Á – Chi nhánh Đà Nẵng – Phòng giao dịch Cẩm Lệ</w:t>
      </w:r>
      <w:r>
        <w:rPr>
          <w:rFonts w:ascii="Times New Roman" w:hAnsi="Times New Roman" w:cs="Times New Roman"/>
          <w:b/>
          <w:bCs/>
          <w:sz w:val="26"/>
          <w:szCs w:val="26"/>
        </w:rPr>
        <w:t xml:space="preserve"> </w:t>
      </w:r>
    </w:p>
    <w:p w14:paraId="5EA0FC79" w14:textId="77777777" w:rsidR="0042797D" w:rsidRPr="000A6D1F" w:rsidRDefault="0042797D" w:rsidP="0042797D">
      <w:pPr>
        <w:spacing w:before="240" w:after="0" w:line="360" w:lineRule="auto"/>
        <w:jc w:val="right"/>
        <w:rPr>
          <w:rFonts w:ascii="Times New Roman" w:hAnsi="Times New Roman" w:cs="Times New Roman"/>
          <w:i/>
          <w:iCs/>
          <w:sz w:val="26"/>
          <w:szCs w:val="26"/>
        </w:rPr>
      </w:pPr>
      <w:r w:rsidRPr="000A6D1F">
        <w:rPr>
          <w:rFonts w:ascii="Times New Roman" w:hAnsi="Times New Roman" w:cs="Times New Roman"/>
          <w:i/>
          <w:iCs/>
          <w:sz w:val="26"/>
          <w:szCs w:val="26"/>
        </w:rPr>
        <w:t>Đvt: triệu đồng</w:t>
      </w:r>
    </w:p>
    <w:tbl>
      <w:tblPr>
        <w:tblW w:w="10370" w:type="dxa"/>
        <w:tblLook w:val="04A0" w:firstRow="1" w:lastRow="0" w:firstColumn="1" w:lastColumn="0" w:noHBand="0" w:noVBand="1"/>
      </w:tblPr>
      <w:tblGrid>
        <w:gridCol w:w="1491"/>
        <w:gridCol w:w="1045"/>
        <w:gridCol w:w="776"/>
        <w:gridCol w:w="931"/>
        <w:gridCol w:w="880"/>
        <w:gridCol w:w="931"/>
        <w:gridCol w:w="937"/>
        <w:gridCol w:w="968"/>
        <w:gridCol w:w="792"/>
        <w:gridCol w:w="968"/>
        <w:gridCol w:w="711"/>
      </w:tblGrid>
      <w:tr w:rsidR="0042797D" w:rsidRPr="00D25C29" w14:paraId="739925F0" w14:textId="77777777" w:rsidTr="002F73B2">
        <w:trPr>
          <w:trHeight w:val="376"/>
        </w:trPr>
        <w:tc>
          <w:tcPr>
            <w:tcW w:w="1491" w:type="dxa"/>
            <w:vMerge w:val="restart"/>
            <w:tcBorders>
              <w:top w:val="single" w:sz="4" w:space="0" w:color="auto"/>
              <w:left w:val="single" w:sz="4" w:space="0" w:color="auto"/>
              <w:bottom w:val="single" w:sz="4" w:space="0" w:color="000000"/>
              <w:right w:val="single" w:sz="4" w:space="0" w:color="auto"/>
            </w:tcBorders>
            <w:noWrap/>
            <w:vAlign w:val="center"/>
            <w:hideMark/>
          </w:tcPr>
          <w:p w14:paraId="610294E8"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Chỉ tiêu</w:t>
            </w:r>
          </w:p>
        </w:tc>
        <w:tc>
          <w:tcPr>
            <w:tcW w:w="1804" w:type="dxa"/>
            <w:gridSpan w:val="2"/>
            <w:tcBorders>
              <w:top w:val="single" w:sz="4" w:space="0" w:color="auto"/>
              <w:left w:val="nil"/>
              <w:bottom w:val="single" w:sz="4" w:space="0" w:color="auto"/>
              <w:right w:val="single" w:sz="4" w:space="0" w:color="000000"/>
            </w:tcBorders>
            <w:noWrap/>
            <w:vAlign w:val="bottom"/>
            <w:hideMark/>
          </w:tcPr>
          <w:p w14:paraId="3B177826"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2023</w:t>
            </w:r>
          </w:p>
        </w:tc>
        <w:tc>
          <w:tcPr>
            <w:tcW w:w="1804" w:type="dxa"/>
            <w:gridSpan w:val="2"/>
            <w:tcBorders>
              <w:top w:val="single" w:sz="4" w:space="0" w:color="auto"/>
              <w:left w:val="nil"/>
              <w:bottom w:val="single" w:sz="4" w:space="0" w:color="auto"/>
              <w:right w:val="single" w:sz="4" w:space="0" w:color="000000"/>
            </w:tcBorders>
            <w:noWrap/>
            <w:vAlign w:val="bottom"/>
            <w:hideMark/>
          </w:tcPr>
          <w:p w14:paraId="0E692AEA"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2024</w:t>
            </w:r>
          </w:p>
        </w:tc>
        <w:tc>
          <w:tcPr>
            <w:tcW w:w="1848" w:type="dxa"/>
            <w:gridSpan w:val="2"/>
            <w:tcBorders>
              <w:top w:val="single" w:sz="4" w:space="0" w:color="auto"/>
              <w:left w:val="nil"/>
              <w:bottom w:val="single" w:sz="4" w:space="0" w:color="auto"/>
              <w:right w:val="single" w:sz="4" w:space="0" w:color="000000"/>
            </w:tcBorders>
            <w:noWrap/>
            <w:vAlign w:val="bottom"/>
            <w:hideMark/>
          </w:tcPr>
          <w:p w14:paraId="73A01611"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2025</w:t>
            </w:r>
          </w:p>
        </w:tc>
        <w:tc>
          <w:tcPr>
            <w:tcW w:w="1760" w:type="dxa"/>
            <w:gridSpan w:val="2"/>
            <w:tcBorders>
              <w:top w:val="single" w:sz="4" w:space="0" w:color="auto"/>
              <w:left w:val="nil"/>
              <w:bottom w:val="single" w:sz="4" w:space="0" w:color="auto"/>
              <w:right w:val="single" w:sz="4" w:space="0" w:color="000000"/>
            </w:tcBorders>
            <w:noWrap/>
            <w:vAlign w:val="bottom"/>
            <w:hideMark/>
          </w:tcPr>
          <w:p w14:paraId="5F7B79D1"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Chênh lệch 2024/2023</w:t>
            </w:r>
          </w:p>
        </w:tc>
        <w:tc>
          <w:tcPr>
            <w:tcW w:w="1663" w:type="dxa"/>
            <w:gridSpan w:val="2"/>
            <w:tcBorders>
              <w:top w:val="single" w:sz="4" w:space="0" w:color="auto"/>
              <w:left w:val="nil"/>
              <w:bottom w:val="single" w:sz="4" w:space="0" w:color="auto"/>
              <w:right w:val="single" w:sz="4" w:space="0" w:color="000000"/>
            </w:tcBorders>
            <w:noWrap/>
            <w:vAlign w:val="bottom"/>
            <w:hideMark/>
          </w:tcPr>
          <w:p w14:paraId="1EFD39A5"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Chênh lệch 2025/2024</w:t>
            </w:r>
          </w:p>
        </w:tc>
      </w:tr>
      <w:tr w:rsidR="0042797D" w:rsidRPr="00D25C29" w14:paraId="5D09573D" w14:textId="77777777" w:rsidTr="002F73B2">
        <w:trPr>
          <w:trHeight w:val="376"/>
        </w:trPr>
        <w:tc>
          <w:tcPr>
            <w:tcW w:w="1491" w:type="dxa"/>
            <w:vMerge/>
            <w:tcBorders>
              <w:top w:val="single" w:sz="4" w:space="0" w:color="auto"/>
              <w:left w:val="single" w:sz="4" w:space="0" w:color="auto"/>
              <w:bottom w:val="single" w:sz="4" w:space="0" w:color="000000"/>
              <w:right w:val="single" w:sz="4" w:space="0" w:color="auto"/>
            </w:tcBorders>
            <w:vAlign w:val="center"/>
            <w:hideMark/>
          </w:tcPr>
          <w:p w14:paraId="55514E77" w14:textId="77777777" w:rsidR="0042797D" w:rsidRPr="00D25C29" w:rsidRDefault="0042797D" w:rsidP="002F73B2">
            <w:pPr>
              <w:spacing w:after="0" w:line="240" w:lineRule="auto"/>
              <w:rPr>
                <w:rFonts w:ascii="Times New Roman" w:eastAsia="Times New Roman" w:hAnsi="Times New Roman" w:cs="Times New Roman"/>
                <w:b/>
                <w:bCs/>
                <w:color w:val="000000"/>
                <w:kern w:val="0"/>
                <w14:ligatures w14:val="none"/>
              </w:rPr>
            </w:pPr>
          </w:p>
        </w:tc>
        <w:tc>
          <w:tcPr>
            <w:tcW w:w="1045" w:type="dxa"/>
            <w:tcBorders>
              <w:top w:val="nil"/>
              <w:left w:val="nil"/>
              <w:bottom w:val="single" w:sz="4" w:space="0" w:color="auto"/>
              <w:right w:val="single" w:sz="4" w:space="0" w:color="auto"/>
            </w:tcBorders>
            <w:noWrap/>
            <w:vAlign w:val="bottom"/>
            <w:hideMark/>
          </w:tcPr>
          <w:p w14:paraId="2B3C02D3"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Số tiền</w:t>
            </w:r>
          </w:p>
        </w:tc>
        <w:tc>
          <w:tcPr>
            <w:tcW w:w="758" w:type="dxa"/>
            <w:tcBorders>
              <w:top w:val="nil"/>
              <w:left w:val="nil"/>
              <w:bottom w:val="single" w:sz="4" w:space="0" w:color="auto"/>
              <w:right w:val="single" w:sz="4" w:space="0" w:color="auto"/>
            </w:tcBorders>
            <w:noWrap/>
            <w:vAlign w:val="bottom"/>
            <w:hideMark/>
          </w:tcPr>
          <w:p w14:paraId="38451917"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Tỷ trọng</w:t>
            </w:r>
          </w:p>
        </w:tc>
        <w:tc>
          <w:tcPr>
            <w:tcW w:w="924" w:type="dxa"/>
            <w:tcBorders>
              <w:top w:val="nil"/>
              <w:left w:val="nil"/>
              <w:bottom w:val="single" w:sz="4" w:space="0" w:color="auto"/>
              <w:right w:val="single" w:sz="4" w:space="0" w:color="auto"/>
            </w:tcBorders>
            <w:noWrap/>
            <w:vAlign w:val="bottom"/>
            <w:hideMark/>
          </w:tcPr>
          <w:p w14:paraId="4DE06949"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Số tiền</w:t>
            </w:r>
          </w:p>
        </w:tc>
        <w:tc>
          <w:tcPr>
            <w:tcW w:w="880" w:type="dxa"/>
            <w:tcBorders>
              <w:top w:val="nil"/>
              <w:left w:val="nil"/>
              <w:bottom w:val="single" w:sz="4" w:space="0" w:color="auto"/>
              <w:right w:val="single" w:sz="4" w:space="0" w:color="auto"/>
            </w:tcBorders>
            <w:noWrap/>
            <w:vAlign w:val="bottom"/>
            <w:hideMark/>
          </w:tcPr>
          <w:p w14:paraId="3533FEDF"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Tỷ trọng</w:t>
            </w:r>
          </w:p>
        </w:tc>
        <w:tc>
          <w:tcPr>
            <w:tcW w:w="910" w:type="dxa"/>
            <w:tcBorders>
              <w:top w:val="nil"/>
              <w:left w:val="nil"/>
              <w:bottom w:val="single" w:sz="4" w:space="0" w:color="auto"/>
              <w:right w:val="single" w:sz="4" w:space="0" w:color="auto"/>
            </w:tcBorders>
            <w:noWrap/>
            <w:vAlign w:val="bottom"/>
            <w:hideMark/>
          </w:tcPr>
          <w:p w14:paraId="26C57353"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Số tiền</w:t>
            </w:r>
          </w:p>
        </w:tc>
        <w:tc>
          <w:tcPr>
            <w:tcW w:w="937" w:type="dxa"/>
            <w:tcBorders>
              <w:top w:val="nil"/>
              <w:left w:val="nil"/>
              <w:bottom w:val="single" w:sz="4" w:space="0" w:color="auto"/>
              <w:right w:val="single" w:sz="4" w:space="0" w:color="auto"/>
            </w:tcBorders>
            <w:noWrap/>
            <w:vAlign w:val="bottom"/>
            <w:hideMark/>
          </w:tcPr>
          <w:p w14:paraId="7FE60779"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 xml:space="preserve">Tỷ trọng </w:t>
            </w:r>
          </w:p>
        </w:tc>
        <w:tc>
          <w:tcPr>
            <w:tcW w:w="968" w:type="dxa"/>
            <w:tcBorders>
              <w:top w:val="nil"/>
              <w:left w:val="nil"/>
              <w:bottom w:val="single" w:sz="4" w:space="0" w:color="auto"/>
              <w:right w:val="single" w:sz="4" w:space="0" w:color="auto"/>
            </w:tcBorders>
            <w:noWrap/>
            <w:vAlign w:val="bottom"/>
            <w:hideMark/>
          </w:tcPr>
          <w:p w14:paraId="36B9A25F"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Số tiền</w:t>
            </w:r>
          </w:p>
        </w:tc>
        <w:tc>
          <w:tcPr>
            <w:tcW w:w="792" w:type="dxa"/>
            <w:tcBorders>
              <w:top w:val="nil"/>
              <w:left w:val="nil"/>
              <w:bottom w:val="single" w:sz="4" w:space="0" w:color="auto"/>
              <w:right w:val="single" w:sz="4" w:space="0" w:color="auto"/>
            </w:tcBorders>
            <w:noWrap/>
            <w:vAlign w:val="bottom"/>
            <w:hideMark/>
          </w:tcPr>
          <w:p w14:paraId="0A96E245"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Tỷ lệ</w:t>
            </w:r>
          </w:p>
        </w:tc>
        <w:tc>
          <w:tcPr>
            <w:tcW w:w="968" w:type="dxa"/>
            <w:tcBorders>
              <w:top w:val="nil"/>
              <w:left w:val="nil"/>
              <w:bottom w:val="single" w:sz="4" w:space="0" w:color="auto"/>
              <w:right w:val="single" w:sz="4" w:space="0" w:color="auto"/>
            </w:tcBorders>
            <w:noWrap/>
            <w:vAlign w:val="bottom"/>
            <w:hideMark/>
          </w:tcPr>
          <w:p w14:paraId="597316AE"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Số tiền</w:t>
            </w:r>
          </w:p>
        </w:tc>
        <w:tc>
          <w:tcPr>
            <w:tcW w:w="695" w:type="dxa"/>
            <w:tcBorders>
              <w:top w:val="nil"/>
              <w:left w:val="nil"/>
              <w:bottom w:val="single" w:sz="4" w:space="0" w:color="auto"/>
              <w:right w:val="single" w:sz="4" w:space="0" w:color="auto"/>
            </w:tcBorders>
            <w:noWrap/>
            <w:vAlign w:val="bottom"/>
            <w:hideMark/>
          </w:tcPr>
          <w:p w14:paraId="2F39F218"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D25C29">
              <w:rPr>
                <w:rFonts w:ascii="Times New Roman" w:eastAsia="Times New Roman" w:hAnsi="Times New Roman" w:cs="Times New Roman"/>
                <w:b/>
                <w:bCs/>
                <w:color w:val="000000"/>
                <w:kern w:val="0"/>
                <w14:ligatures w14:val="none"/>
              </w:rPr>
              <w:t>Tỷ lệ</w:t>
            </w:r>
          </w:p>
        </w:tc>
      </w:tr>
      <w:tr w:rsidR="0042797D" w:rsidRPr="00D25C29" w14:paraId="723D4CCF"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4A6494CE" w14:textId="77777777" w:rsidR="0042797D" w:rsidRPr="00D25C29"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Nguồn vốn huy động từ KHCN</w:t>
            </w:r>
          </w:p>
        </w:tc>
        <w:tc>
          <w:tcPr>
            <w:tcW w:w="1045" w:type="dxa"/>
            <w:tcBorders>
              <w:top w:val="nil"/>
              <w:left w:val="nil"/>
              <w:bottom w:val="single" w:sz="4" w:space="0" w:color="auto"/>
              <w:right w:val="single" w:sz="4" w:space="0" w:color="auto"/>
            </w:tcBorders>
            <w:vAlign w:val="center"/>
            <w:hideMark/>
          </w:tcPr>
          <w:p w14:paraId="0FAD6DEB"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492.484</w:t>
            </w:r>
          </w:p>
        </w:tc>
        <w:tc>
          <w:tcPr>
            <w:tcW w:w="758" w:type="dxa"/>
            <w:tcBorders>
              <w:top w:val="nil"/>
              <w:left w:val="nil"/>
              <w:bottom w:val="single" w:sz="4" w:space="0" w:color="auto"/>
              <w:right w:val="single" w:sz="4" w:space="0" w:color="auto"/>
            </w:tcBorders>
            <w:vAlign w:val="center"/>
            <w:hideMark/>
          </w:tcPr>
          <w:p w14:paraId="0B5E8400"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100</w:t>
            </w:r>
          </w:p>
        </w:tc>
        <w:tc>
          <w:tcPr>
            <w:tcW w:w="924" w:type="dxa"/>
            <w:tcBorders>
              <w:top w:val="nil"/>
              <w:left w:val="nil"/>
              <w:bottom w:val="single" w:sz="4" w:space="0" w:color="auto"/>
              <w:right w:val="single" w:sz="4" w:space="0" w:color="auto"/>
            </w:tcBorders>
            <w:noWrap/>
            <w:vAlign w:val="center"/>
            <w:hideMark/>
          </w:tcPr>
          <w:p w14:paraId="43FAAD3F"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532.347</w:t>
            </w:r>
          </w:p>
        </w:tc>
        <w:tc>
          <w:tcPr>
            <w:tcW w:w="880" w:type="dxa"/>
            <w:tcBorders>
              <w:top w:val="nil"/>
              <w:left w:val="nil"/>
              <w:bottom w:val="single" w:sz="4" w:space="0" w:color="auto"/>
              <w:right w:val="single" w:sz="4" w:space="0" w:color="auto"/>
            </w:tcBorders>
            <w:noWrap/>
            <w:vAlign w:val="center"/>
            <w:hideMark/>
          </w:tcPr>
          <w:p w14:paraId="02D51B0A"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100</w:t>
            </w:r>
          </w:p>
        </w:tc>
        <w:tc>
          <w:tcPr>
            <w:tcW w:w="910" w:type="dxa"/>
            <w:tcBorders>
              <w:top w:val="nil"/>
              <w:left w:val="nil"/>
              <w:bottom w:val="single" w:sz="4" w:space="0" w:color="auto"/>
              <w:right w:val="single" w:sz="4" w:space="0" w:color="auto"/>
            </w:tcBorders>
            <w:noWrap/>
            <w:vAlign w:val="center"/>
            <w:hideMark/>
          </w:tcPr>
          <w:p w14:paraId="447AF73E"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596.252</w:t>
            </w:r>
          </w:p>
        </w:tc>
        <w:tc>
          <w:tcPr>
            <w:tcW w:w="937" w:type="dxa"/>
            <w:tcBorders>
              <w:top w:val="nil"/>
              <w:left w:val="nil"/>
              <w:bottom w:val="single" w:sz="4" w:space="0" w:color="auto"/>
              <w:right w:val="single" w:sz="4" w:space="0" w:color="auto"/>
            </w:tcBorders>
            <w:noWrap/>
            <w:vAlign w:val="center"/>
            <w:hideMark/>
          </w:tcPr>
          <w:p w14:paraId="3C6BF099"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100</w:t>
            </w:r>
          </w:p>
        </w:tc>
        <w:tc>
          <w:tcPr>
            <w:tcW w:w="968" w:type="dxa"/>
            <w:tcBorders>
              <w:top w:val="nil"/>
              <w:left w:val="nil"/>
              <w:bottom w:val="single" w:sz="4" w:space="0" w:color="auto"/>
              <w:right w:val="single" w:sz="4" w:space="0" w:color="auto"/>
            </w:tcBorders>
            <w:noWrap/>
            <w:vAlign w:val="center"/>
            <w:hideMark/>
          </w:tcPr>
          <w:p w14:paraId="13F9FDB8"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39.863</w:t>
            </w:r>
          </w:p>
        </w:tc>
        <w:tc>
          <w:tcPr>
            <w:tcW w:w="792" w:type="dxa"/>
            <w:tcBorders>
              <w:top w:val="nil"/>
              <w:left w:val="nil"/>
              <w:bottom w:val="single" w:sz="4" w:space="0" w:color="auto"/>
              <w:right w:val="single" w:sz="4" w:space="0" w:color="auto"/>
            </w:tcBorders>
            <w:noWrap/>
            <w:vAlign w:val="center"/>
            <w:hideMark/>
          </w:tcPr>
          <w:p w14:paraId="7887310A"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8.09</w:t>
            </w:r>
          </w:p>
        </w:tc>
        <w:tc>
          <w:tcPr>
            <w:tcW w:w="968" w:type="dxa"/>
            <w:tcBorders>
              <w:top w:val="nil"/>
              <w:left w:val="nil"/>
              <w:bottom w:val="single" w:sz="4" w:space="0" w:color="auto"/>
              <w:right w:val="single" w:sz="4" w:space="0" w:color="auto"/>
            </w:tcBorders>
            <w:noWrap/>
            <w:vAlign w:val="center"/>
            <w:hideMark/>
          </w:tcPr>
          <w:p w14:paraId="75714B7C"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63.905</w:t>
            </w:r>
          </w:p>
        </w:tc>
        <w:tc>
          <w:tcPr>
            <w:tcW w:w="695" w:type="dxa"/>
            <w:tcBorders>
              <w:top w:val="nil"/>
              <w:left w:val="nil"/>
              <w:bottom w:val="single" w:sz="4" w:space="0" w:color="auto"/>
              <w:right w:val="single" w:sz="4" w:space="0" w:color="auto"/>
            </w:tcBorders>
            <w:noWrap/>
            <w:vAlign w:val="center"/>
            <w:hideMark/>
          </w:tcPr>
          <w:p w14:paraId="1669C1D2" w14:textId="77777777" w:rsidR="0042797D" w:rsidRPr="00D25C29"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D25C29">
              <w:rPr>
                <w:rFonts w:ascii="Times New Roman" w:eastAsia="Times New Roman" w:hAnsi="Times New Roman" w:cs="Times New Roman"/>
                <w:b/>
                <w:bCs/>
                <w:color w:val="000000"/>
                <w:kern w:val="0"/>
                <w:sz w:val="22"/>
                <w:szCs w:val="22"/>
                <w14:ligatures w14:val="none"/>
              </w:rPr>
              <w:t>12.00</w:t>
            </w:r>
          </w:p>
        </w:tc>
      </w:tr>
      <w:tr w:rsidR="0042797D" w:rsidRPr="00223F45" w14:paraId="7483DBB6"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34B891E4" w14:textId="77777777" w:rsidR="0042797D" w:rsidRPr="00223F4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223F45">
              <w:rPr>
                <w:rFonts w:ascii="Times New Roman" w:eastAsia="Times New Roman" w:hAnsi="Times New Roman" w:cs="Times New Roman"/>
                <w:b/>
                <w:bCs/>
                <w:color w:val="000000"/>
                <w:kern w:val="0"/>
                <w:sz w:val="22"/>
                <w:szCs w:val="22"/>
                <w14:ligatures w14:val="none"/>
              </w:rPr>
              <w:t>Tiền gửi tiết kiệm thông thường</w:t>
            </w:r>
          </w:p>
        </w:tc>
        <w:tc>
          <w:tcPr>
            <w:tcW w:w="1045" w:type="dxa"/>
            <w:tcBorders>
              <w:top w:val="nil"/>
              <w:left w:val="nil"/>
              <w:bottom w:val="single" w:sz="4" w:space="0" w:color="auto"/>
              <w:right w:val="single" w:sz="4" w:space="0" w:color="auto"/>
            </w:tcBorders>
            <w:vAlign w:val="center"/>
            <w:hideMark/>
          </w:tcPr>
          <w:p w14:paraId="27C1B8D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182.697</w:t>
            </w:r>
          </w:p>
        </w:tc>
        <w:tc>
          <w:tcPr>
            <w:tcW w:w="758" w:type="dxa"/>
            <w:tcBorders>
              <w:top w:val="nil"/>
              <w:left w:val="nil"/>
              <w:bottom w:val="single" w:sz="4" w:space="0" w:color="auto"/>
              <w:right w:val="single" w:sz="4" w:space="0" w:color="auto"/>
            </w:tcBorders>
            <w:vAlign w:val="center"/>
            <w:hideMark/>
          </w:tcPr>
          <w:p w14:paraId="4DDDB26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37.10</w:t>
            </w:r>
          </w:p>
        </w:tc>
        <w:tc>
          <w:tcPr>
            <w:tcW w:w="924" w:type="dxa"/>
            <w:tcBorders>
              <w:top w:val="nil"/>
              <w:left w:val="nil"/>
              <w:bottom w:val="single" w:sz="4" w:space="0" w:color="auto"/>
              <w:right w:val="single" w:sz="4" w:space="0" w:color="auto"/>
            </w:tcBorders>
            <w:noWrap/>
            <w:vAlign w:val="center"/>
            <w:hideMark/>
          </w:tcPr>
          <w:p w14:paraId="4D1100A4"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224.313</w:t>
            </w:r>
          </w:p>
        </w:tc>
        <w:tc>
          <w:tcPr>
            <w:tcW w:w="880" w:type="dxa"/>
            <w:tcBorders>
              <w:top w:val="nil"/>
              <w:left w:val="nil"/>
              <w:bottom w:val="single" w:sz="4" w:space="0" w:color="auto"/>
              <w:right w:val="single" w:sz="4" w:space="0" w:color="auto"/>
            </w:tcBorders>
            <w:noWrap/>
            <w:vAlign w:val="center"/>
            <w:hideMark/>
          </w:tcPr>
          <w:p w14:paraId="20525F68"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42.14</w:t>
            </w:r>
          </w:p>
        </w:tc>
        <w:tc>
          <w:tcPr>
            <w:tcW w:w="910" w:type="dxa"/>
            <w:tcBorders>
              <w:top w:val="nil"/>
              <w:left w:val="nil"/>
              <w:bottom w:val="single" w:sz="4" w:space="0" w:color="auto"/>
              <w:right w:val="single" w:sz="4" w:space="0" w:color="auto"/>
            </w:tcBorders>
            <w:noWrap/>
            <w:vAlign w:val="center"/>
            <w:hideMark/>
          </w:tcPr>
          <w:p w14:paraId="1322EBBB"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235.861</w:t>
            </w:r>
          </w:p>
        </w:tc>
        <w:tc>
          <w:tcPr>
            <w:tcW w:w="937" w:type="dxa"/>
            <w:tcBorders>
              <w:top w:val="nil"/>
              <w:left w:val="nil"/>
              <w:bottom w:val="single" w:sz="4" w:space="0" w:color="auto"/>
              <w:right w:val="single" w:sz="4" w:space="0" w:color="auto"/>
            </w:tcBorders>
            <w:noWrap/>
            <w:vAlign w:val="center"/>
            <w:hideMark/>
          </w:tcPr>
          <w:p w14:paraId="3DBA1B55"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39.56</w:t>
            </w:r>
          </w:p>
        </w:tc>
        <w:tc>
          <w:tcPr>
            <w:tcW w:w="968" w:type="dxa"/>
            <w:tcBorders>
              <w:top w:val="nil"/>
              <w:left w:val="nil"/>
              <w:bottom w:val="single" w:sz="4" w:space="0" w:color="auto"/>
              <w:right w:val="single" w:sz="4" w:space="0" w:color="auto"/>
            </w:tcBorders>
            <w:noWrap/>
            <w:vAlign w:val="center"/>
            <w:hideMark/>
          </w:tcPr>
          <w:p w14:paraId="27B760C6"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41.616</w:t>
            </w:r>
          </w:p>
        </w:tc>
        <w:tc>
          <w:tcPr>
            <w:tcW w:w="792" w:type="dxa"/>
            <w:tcBorders>
              <w:top w:val="nil"/>
              <w:left w:val="nil"/>
              <w:bottom w:val="single" w:sz="4" w:space="0" w:color="auto"/>
              <w:right w:val="single" w:sz="4" w:space="0" w:color="auto"/>
            </w:tcBorders>
            <w:noWrap/>
            <w:vAlign w:val="center"/>
            <w:hideMark/>
          </w:tcPr>
          <w:p w14:paraId="41085E0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22.78</w:t>
            </w:r>
          </w:p>
        </w:tc>
        <w:tc>
          <w:tcPr>
            <w:tcW w:w="968" w:type="dxa"/>
            <w:tcBorders>
              <w:top w:val="nil"/>
              <w:left w:val="nil"/>
              <w:bottom w:val="single" w:sz="4" w:space="0" w:color="auto"/>
              <w:right w:val="single" w:sz="4" w:space="0" w:color="auto"/>
            </w:tcBorders>
            <w:noWrap/>
            <w:vAlign w:val="center"/>
            <w:hideMark/>
          </w:tcPr>
          <w:p w14:paraId="790CF58E"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11.548</w:t>
            </w:r>
          </w:p>
        </w:tc>
        <w:tc>
          <w:tcPr>
            <w:tcW w:w="695" w:type="dxa"/>
            <w:tcBorders>
              <w:top w:val="nil"/>
              <w:left w:val="nil"/>
              <w:bottom w:val="single" w:sz="4" w:space="0" w:color="auto"/>
              <w:right w:val="single" w:sz="4" w:space="0" w:color="auto"/>
            </w:tcBorders>
            <w:noWrap/>
            <w:vAlign w:val="center"/>
            <w:hideMark/>
          </w:tcPr>
          <w:p w14:paraId="01354AD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5.15</w:t>
            </w:r>
          </w:p>
        </w:tc>
      </w:tr>
      <w:tr w:rsidR="0042797D" w:rsidRPr="00223F45" w14:paraId="11D8476D"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0190C045" w14:textId="77777777" w:rsidR="0042797D" w:rsidRPr="00223F4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223F45">
              <w:rPr>
                <w:rFonts w:ascii="Times New Roman" w:eastAsia="Times New Roman" w:hAnsi="Times New Roman" w:cs="Times New Roman"/>
                <w:b/>
                <w:bCs/>
                <w:color w:val="000000"/>
                <w:kern w:val="0"/>
                <w:sz w:val="22"/>
                <w:szCs w:val="22"/>
                <w14:ligatures w14:val="none"/>
              </w:rPr>
              <w:lastRenderedPageBreak/>
              <w:t>Tiết kiệm lợi ích nhân đôi</w:t>
            </w:r>
          </w:p>
        </w:tc>
        <w:tc>
          <w:tcPr>
            <w:tcW w:w="1045" w:type="dxa"/>
            <w:tcBorders>
              <w:top w:val="nil"/>
              <w:left w:val="nil"/>
              <w:bottom w:val="single" w:sz="4" w:space="0" w:color="auto"/>
              <w:right w:val="single" w:sz="4" w:space="0" w:color="auto"/>
            </w:tcBorders>
            <w:vAlign w:val="center"/>
            <w:hideMark/>
          </w:tcPr>
          <w:p w14:paraId="292CCC58"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54.816</w:t>
            </w:r>
          </w:p>
        </w:tc>
        <w:tc>
          <w:tcPr>
            <w:tcW w:w="758" w:type="dxa"/>
            <w:tcBorders>
              <w:top w:val="nil"/>
              <w:left w:val="nil"/>
              <w:bottom w:val="single" w:sz="4" w:space="0" w:color="auto"/>
              <w:right w:val="single" w:sz="4" w:space="0" w:color="auto"/>
            </w:tcBorders>
            <w:vAlign w:val="center"/>
            <w:hideMark/>
          </w:tcPr>
          <w:p w14:paraId="36A8051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11.13</w:t>
            </w:r>
          </w:p>
        </w:tc>
        <w:tc>
          <w:tcPr>
            <w:tcW w:w="924" w:type="dxa"/>
            <w:tcBorders>
              <w:top w:val="nil"/>
              <w:left w:val="nil"/>
              <w:bottom w:val="single" w:sz="4" w:space="0" w:color="auto"/>
              <w:right w:val="single" w:sz="4" w:space="0" w:color="auto"/>
            </w:tcBorders>
            <w:noWrap/>
            <w:vAlign w:val="center"/>
            <w:hideMark/>
          </w:tcPr>
          <w:p w14:paraId="66D72BE3"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65.302</w:t>
            </w:r>
          </w:p>
        </w:tc>
        <w:tc>
          <w:tcPr>
            <w:tcW w:w="880" w:type="dxa"/>
            <w:tcBorders>
              <w:top w:val="nil"/>
              <w:left w:val="nil"/>
              <w:bottom w:val="single" w:sz="4" w:space="0" w:color="auto"/>
              <w:right w:val="single" w:sz="4" w:space="0" w:color="auto"/>
            </w:tcBorders>
            <w:noWrap/>
            <w:vAlign w:val="center"/>
            <w:hideMark/>
          </w:tcPr>
          <w:p w14:paraId="67BB895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12.27</w:t>
            </w:r>
          </w:p>
        </w:tc>
        <w:tc>
          <w:tcPr>
            <w:tcW w:w="910" w:type="dxa"/>
            <w:tcBorders>
              <w:top w:val="nil"/>
              <w:left w:val="nil"/>
              <w:bottom w:val="single" w:sz="4" w:space="0" w:color="auto"/>
              <w:right w:val="single" w:sz="4" w:space="0" w:color="auto"/>
            </w:tcBorders>
            <w:noWrap/>
            <w:vAlign w:val="center"/>
            <w:hideMark/>
          </w:tcPr>
          <w:p w14:paraId="2091B630"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63.906</w:t>
            </w:r>
          </w:p>
        </w:tc>
        <w:tc>
          <w:tcPr>
            <w:tcW w:w="937" w:type="dxa"/>
            <w:tcBorders>
              <w:top w:val="nil"/>
              <w:left w:val="nil"/>
              <w:bottom w:val="single" w:sz="4" w:space="0" w:color="auto"/>
              <w:right w:val="single" w:sz="4" w:space="0" w:color="auto"/>
            </w:tcBorders>
            <w:noWrap/>
            <w:vAlign w:val="center"/>
            <w:hideMark/>
          </w:tcPr>
          <w:p w14:paraId="11071D84"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10.72</w:t>
            </w:r>
          </w:p>
        </w:tc>
        <w:tc>
          <w:tcPr>
            <w:tcW w:w="968" w:type="dxa"/>
            <w:tcBorders>
              <w:top w:val="nil"/>
              <w:left w:val="nil"/>
              <w:bottom w:val="single" w:sz="4" w:space="0" w:color="auto"/>
              <w:right w:val="single" w:sz="4" w:space="0" w:color="auto"/>
            </w:tcBorders>
            <w:noWrap/>
            <w:vAlign w:val="center"/>
            <w:hideMark/>
          </w:tcPr>
          <w:p w14:paraId="59040EC5"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10.486</w:t>
            </w:r>
          </w:p>
        </w:tc>
        <w:tc>
          <w:tcPr>
            <w:tcW w:w="792" w:type="dxa"/>
            <w:tcBorders>
              <w:top w:val="nil"/>
              <w:left w:val="nil"/>
              <w:bottom w:val="single" w:sz="4" w:space="0" w:color="auto"/>
              <w:right w:val="single" w:sz="4" w:space="0" w:color="auto"/>
            </w:tcBorders>
            <w:noWrap/>
            <w:vAlign w:val="center"/>
            <w:hideMark/>
          </w:tcPr>
          <w:p w14:paraId="0BB76FCA"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19.13</w:t>
            </w:r>
          </w:p>
        </w:tc>
        <w:tc>
          <w:tcPr>
            <w:tcW w:w="968" w:type="dxa"/>
            <w:tcBorders>
              <w:top w:val="nil"/>
              <w:left w:val="nil"/>
              <w:bottom w:val="single" w:sz="4" w:space="0" w:color="auto"/>
              <w:right w:val="single" w:sz="4" w:space="0" w:color="auto"/>
            </w:tcBorders>
            <w:noWrap/>
            <w:vAlign w:val="center"/>
            <w:hideMark/>
          </w:tcPr>
          <w:p w14:paraId="17485228"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-1.396</w:t>
            </w:r>
          </w:p>
        </w:tc>
        <w:tc>
          <w:tcPr>
            <w:tcW w:w="695" w:type="dxa"/>
            <w:tcBorders>
              <w:top w:val="nil"/>
              <w:left w:val="nil"/>
              <w:bottom w:val="single" w:sz="4" w:space="0" w:color="auto"/>
              <w:right w:val="single" w:sz="4" w:space="0" w:color="auto"/>
            </w:tcBorders>
            <w:noWrap/>
            <w:vAlign w:val="center"/>
            <w:hideMark/>
          </w:tcPr>
          <w:p w14:paraId="4C847DBB"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-2.14</w:t>
            </w:r>
          </w:p>
        </w:tc>
      </w:tr>
      <w:tr w:rsidR="0042797D" w:rsidRPr="00223F45" w14:paraId="2078EBC5"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3138E7EE" w14:textId="77777777" w:rsidR="0042797D" w:rsidRPr="00223F4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223F45">
              <w:rPr>
                <w:rFonts w:ascii="Times New Roman" w:eastAsia="Times New Roman" w:hAnsi="Times New Roman" w:cs="Times New Roman"/>
                <w:b/>
                <w:bCs/>
                <w:color w:val="000000"/>
                <w:kern w:val="0"/>
                <w:sz w:val="22"/>
                <w:szCs w:val="22"/>
                <w14:ligatures w14:val="none"/>
              </w:rPr>
              <w:t>Happy future</w:t>
            </w:r>
          </w:p>
        </w:tc>
        <w:tc>
          <w:tcPr>
            <w:tcW w:w="1045" w:type="dxa"/>
            <w:tcBorders>
              <w:top w:val="nil"/>
              <w:left w:val="nil"/>
              <w:bottom w:val="single" w:sz="4" w:space="0" w:color="auto"/>
              <w:right w:val="single" w:sz="4" w:space="0" w:color="auto"/>
            </w:tcBorders>
            <w:vAlign w:val="center"/>
            <w:hideMark/>
          </w:tcPr>
          <w:p w14:paraId="6F266C4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23.147</w:t>
            </w:r>
          </w:p>
        </w:tc>
        <w:tc>
          <w:tcPr>
            <w:tcW w:w="758" w:type="dxa"/>
            <w:tcBorders>
              <w:top w:val="nil"/>
              <w:left w:val="nil"/>
              <w:bottom w:val="single" w:sz="4" w:space="0" w:color="auto"/>
              <w:right w:val="single" w:sz="4" w:space="0" w:color="auto"/>
            </w:tcBorders>
            <w:vAlign w:val="center"/>
            <w:hideMark/>
          </w:tcPr>
          <w:p w14:paraId="3015B3D2"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4.70</w:t>
            </w:r>
          </w:p>
        </w:tc>
        <w:tc>
          <w:tcPr>
            <w:tcW w:w="924" w:type="dxa"/>
            <w:tcBorders>
              <w:top w:val="nil"/>
              <w:left w:val="nil"/>
              <w:bottom w:val="single" w:sz="4" w:space="0" w:color="auto"/>
              <w:right w:val="single" w:sz="4" w:space="0" w:color="auto"/>
            </w:tcBorders>
            <w:noWrap/>
            <w:vAlign w:val="center"/>
            <w:hideMark/>
          </w:tcPr>
          <w:p w14:paraId="4BA03DDB"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31.441</w:t>
            </w:r>
          </w:p>
        </w:tc>
        <w:tc>
          <w:tcPr>
            <w:tcW w:w="880" w:type="dxa"/>
            <w:tcBorders>
              <w:top w:val="nil"/>
              <w:left w:val="nil"/>
              <w:bottom w:val="single" w:sz="4" w:space="0" w:color="auto"/>
              <w:right w:val="single" w:sz="4" w:space="0" w:color="auto"/>
            </w:tcBorders>
            <w:noWrap/>
            <w:vAlign w:val="center"/>
            <w:hideMark/>
          </w:tcPr>
          <w:p w14:paraId="5D71C7BC"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5.91</w:t>
            </w:r>
          </w:p>
        </w:tc>
        <w:tc>
          <w:tcPr>
            <w:tcW w:w="910" w:type="dxa"/>
            <w:tcBorders>
              <w:top w:val="nil"/>
              <w:left w:val="nil"/>
              <w:bottom w:val="single" w:sz="4" w:space="0" w:color="auto"/>
              <w:right w:val="single" w:sz="4" w:space="0" w:color="auto"/>
            </w:tcBorders>
            <w:noWrap/>
            <w:vAlign w:val="center"/>
            <w:hideMark/>
          </w:tcPr>
          <w:p w14:paraId="71085494"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33.552</w:t>
            </w:r>
          </w:p>
        </w:tc>
        <w:tc>
          <w:tcPr>
            <w:tcW w:w="937" w:type="dxa"/>
            <w:tcBorders>
              <w:top w:val="nil"/>
              <w:left w:val="nil"/>
              <w:bottom w:val="single" w:sz="4" w:space="0" w:color="auto"/>
              <w:right w:val="single" w:sz="4" w:space="0" w:color="auto"/>
            </w:tcBorders>
            <w:noWrap/>
            <w:vAlign w:val="center"/>
            <w:hideMark/>
          </w:tcPr>
          <w:p w14:paraId="67A1B770"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5.63</w:t>
            </w:r>
          </w:p>
        </w:tc>
        <w:tc>
          <w:tcPr>
            <w:tcW w:w="968" w:type="dxa"/>
            <w:tcBorders>
              <w:top w:val="nil"/>
              <w:left w:val="nil"/>
              <w:bottom w:val="single" w:sz="4" w:space="0" w:color="auto"/>
              <w:right w:val="single" w:sz="4" w:space="0" w:color="auto"/>
            </w:tcBorders>
            <w:noWrap/>
            <w:vAlign w:val="center"/>
            <w:hideMark/>
          </w:tcPr>
          <w:p w14:paraId="42071F53"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8.294</w:t>
            </w:r>
          </w:p>
        </w:tc>
        <w:tc>
          <w:tcPr>
            <w:tcW w:w="792" w:type="dxa"/>
            <w:tcBorders>
              <w:top w:val="nil"/>
              <w:left w:val="nil"/>
              <w:bottom w:val="single" w:sz="4" w:space="0" w:color="auto"/>
              <w:right w:val="single" w:sz="4" w:space="0" w:color="auto"/>
            </w:tcBorders>
            <w:noWrap/>
            <w:vAlign w:val="center"/>
            <w:hideMark/>
          </w:tcPr>
          <w:p w14:paraId="2649929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35.83</w:t>
            </w:r>
          </w:p>
        </w:tc>
        <w:tc>
          <w:tcPr>
            <w:tcW w:w="968" w:type="dxa"/>
            <w:tcBorders>
              <w:top w:val="nil"/>
              <w:left w:val="nil"/>
              <w:bottom w:val="single" w:sz="4" w:space="0" w:color="auto"/>
              <w:right w:val="single" w:sz="4" w:space="0" w:color="auto"/>
            </w:tcBorders>
            <w:noWrap/>
            <w:vAlign w:val="center"/>
            <w:hideMark/>
          </w:tcPr>
          <w:p w14:paraId="6F8A543E"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2.111</w:t>
            </w:r>
          </w:p>
        </w:tc>
        <w:tc>
          <w:tcPr>
            <w:tcW w:w="695" w:type="dxa"/>
            <w:tcBorders>
              <w:top w:val="nil"/>
              <w:left w:val="nil"/>
              <w:bottom w:val="single" w:sz="4" w:space="0" w:color="auto"/>
              <w:right w:val="single" w:sz="4" w:space="0" w:color="auto"/>
            </w:tcBorders>
            <w:noWrap/>
            <w:vAlign w:val="center"/>
            <w:hideMark/>
          </w:tcPr>
          <w:p w14:paraId="28CECC1B"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6.71</w:t>
            </w:r>
          </w:p>
        </w:tc>
      </w:tr>
      <w:tr w:rsidR="0042797D" w:rsidRPr="00223F45" w14:paraId="3EDE9970"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59F9B4BD" w14:textId="77777777" w:rsidR="0042797D" w:rsidRPr="00223F4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223F45">
              <w:rPr>
                <w:rFonts w:ascii="Times New Roman" w:eastAsia="Times New Roman" w:hAnsi="Times New Roman" w:cs="Times New Roman"/>
                <w:b/>
                <w:bCs/>
                <w:color w:val="000000"/>
                <w:kern w:val="0"/>
                <w:sz w:val="22"/>
                <w:szCs w:val="22"/>
                <w14:ligatures w14:val="none"/>
              </w:rPr>
              <w:t>Tài khoản thanh toán</w:t>
            </w:r>
          </w:p>
        </w:tc>
        <w:tc>
          <w:tcPr>
            <w:tcW w:w="1045" w:type="dxa"/>
            <w:tcBorders>
              <w:top w:val="nil"/>
              <w:left w:val="nil"/>
              <w:bottom w:val="single" w:sz="4" w:space="0" w:color="auto"/>
              <w:right w:val="single" w:sz="4" w:space="0" w:color="auto"/>
            </w:tcBorders>
            <w:vAlign w:val="center"/>
            <w:hideMark/>
          </w:tcPr>
          <w:p w14:paraId="5B979E23"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164.968</w:t>
            </w:r>
          </w:p>
        </w:tc>
        <w:tc>
          <w:tcPr>
            <w:tcW w:w="758" w:type="dxa"/>
            <w:tcBorders>
              <w:top w:val="nil"/>
              <w:left w:val="nil"/>
              <w:bottom w:val="single" w:sz="4" w:space="0" w:color="auto"/>
              <w:right w:val="single" w:sz="4" w:space="0" w:color="auto"/>
            </w:tcBorders>
            <w:vAlign w:val="center"/>
            <w:hideMark/>
          </w:tcPr>
          <w:p w14:paraId="629A78A2"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33.50</w:t>
            </w:r>
          </w:p>
        </w:tc>
        <w:tc>
          <w:tcPr>
            <w:tcW w:w="924" w:type="dxa"/>
            <w:tcBorders>
              <w:top w:val="nil"/>
              <w:left w:val="nil"/>
              <w:bottom w:val="single" w:sz="4" w:space="0" w:color="auto"/>
              <w:right w:val="single" w:sz="4" w:space="0" w:color="auto"/>
            </w:tcBorders>
            <w:noWrap/>
            <w:vAlign w:val="center"/>
            <w:hideMark/>
          </w:tcPr>
          <w:p w14:paraId="5B12C979"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157.233</w:t>
            </w:r>
          </w:p>
        </w:tc>
        <w:tc>
          <w:tcPr>
            <w:tcW w:w="880" w:type="dxa"/>
            <w:tcBorders>
              <w:top w:val="nil"/>
              <w:left w:val="nil"/>
              <w:bottom w:val="single" w:sz="4" w:space="0" w:color="auto"/>
              <w:right w:val="single" w:sz="4" w:space="0" w:color="auto"/>
            </w:tcBorders>
            <w:noWrap/>
            <w:vAlign w:val="center"/>
            <w:hideMark/>
          </w:tcPr>
          <w:p w14:paraId="7AC81300"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29.54</w:t>
            </w:r>
          </w:p>
        </w:tc>
        <w:tc>
          <w:tcPr>
            <w:tcW w:w="910" w:type="dxa"/>
            <w:tcBorders>
              <w:top w:val="nil"/>
              <w:left w:val="nil"/>
              <w:bottom w:val="single" w:sz="4" w:space="0" w:color="auto"/>
              <w:right w:val="single" w:sz="4" w:space="0" w:color="auto"/>
            </w:tcBorders>
            <w:noWrap/>
            <w:vAlign w:val="center"/>
            <w:hideMark/>
          </w:tcPr>
          <w:p w14:paraId="688DE45A"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174.211</w:t>
            </w:r>
          </w:p>
        </w:tc>
        <w:tc>
          <w:tcPr>
            <w:tcW w:w="937" w:type="dxa"/>
            <w:tcBorders>
              <w:top w:val="nil"/>
              <w:left w:val="nil"/>
              <w:bottom w:val="single" w:sz="4" w:space="0" w:color="auto"/>
              <w:right w:val="single" w:sz="4" w:space="0" w:color="auto"/>
            </w:tcBorders>
            <w:noWrap/>
            <w:vAlign w:val="center"/>
            <w:hideMark/>
          </w:tcPr>
          <w:p w14:paraId="267E4C8E"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29.22</w:t>
            </w:r>
          </w:p>
        </w:tc>
        <w:tc>
          <w:tcPr>
            <w:tcW w:w="968" w:type="dxa"/>
            <w:tcBorders>
              <w:top w:val="nil"/>
              <w:left w:val="nil"/>
              <w:bottom w:val="single" w:sz="4" w:space="0" w:color="auto"/>
              <w:right w:val="single" w:sz="4" w:space="0" w:color="auto"/>
            </w:tcBorders>
            <w:noWrap/>
            <w:vAlign w:val="center"/>
            <w:hideMark/>
          </w:tcPr>
          <w:p w14:paraId="564BA0BA"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-7.735</w:t>
            </w:r>
          </w:p>
        </w:tc>
        <w:tc>
          <w:tcPr>
            <w:tcW w:w="792" w:type="dxa"/>
            <w:tcBorders>
              <w:top w:val="nil"/>
              <w:left w:val="nil"/>
              <w:bottom w:val="single" w:sz="4" w:space="0" w:color="auto"/>
              <w:right w:val="single" w:sz="4" w:space="0" w:color="auto"/>
            </w:tcBorders>
            <w:noWrap/>
            <w:vAlign w:val="center"/>
            <w:hideMark/>
          </w:tcPr>
          <w:p w14:paraId="2E61E1C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-4.69</w:t>
            </w:r>
          </w:p>
        </w:tc>
        <w:tc>
          <w:tcPr>
            <w:tcW w:w="968" w:type="dxa"/>
            <w:tcBorders>
              <w:top w:val="nil"/>
              <w:left w:val="nil"/>
              <w:bottom w:val="single" w:sz="4" w:space="0" w:color="auto"/>
              <w:right w:val="single" w:sz="4" w:space="0" w:color="auto"/>
            </w:tcBorders>
            <w:noWrap/>
            <w:vAlign w:val="center"/>
            <w:hideMark/>
          </w:tcPr>
          <w:p w14:paraId="7C205454"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16.978</w:t>
            </w:r>
          </w:p>
        </w:tc>
        <w:tc>
          <w:tcPr>
            <w:tcW w:w="695" w:type="dxa"/>
            <w:tcBorders>
              <w:top w:val="nil"/>
              <w:left w:val="nil"/>
              <w:bottom w:val="single" w:sz="4" w:space="0" w:color="auto"/>
              <w:right w:val="single" w:sz="4" w:space="0" w:color="auto"/>
            </w:tcBorders>
            <w:noWrap/>
            <w:vAlign w:val="center"/>
            <w:hideMark/>
          </w:tcPr>
          <w:p w14:paraId="7F50191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10.80</w:t>
            </w:r>
          </w:p>
        </w:tc>
      </w:tr>
      <w:tr w:rsidR="0042797D" w:rsidRPr="00223F45" w14:paraId="289F555B"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7CB125B1" w14:textId="77777777" w:rsidR="0042797D" w:rsidRPr="00223F4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223F45">
              <w:rPr>
                <w:rFonts w:ascii="Times New Roman" w:eastAsia="Times New Roman" w:hAnsi="Times New Roman" w:cs="Times New Roman"/>
                <w:b/>
                <w:bCs/>
                <w:color w:val="000000"/>
                <w:kern w:val="0"/>
                <w:sz w:val="22"/>
                <w:szCs w:val="22"/>
                <w14:ligatures w14:val="none"/>
              </w:rPr>
              <w:t>Happy combo</w:t>
            </w:r>
          </w:p>
        </w:tc>
        <w:tc>
          <w:tcPr>
            <w:tcW w:w="1045" w:type="dxa"/>
            <w:tcBorders>
              <w:top w:val="nil"/>
              <w:left w:val="nil"/>
              <w:bottom w:val="single" w:sz="4" w:space="0" w:color="auto"/>
              <w:right w:val="single" w:sz="4" w:space="0" w:color="auto"/>
            </w:tcBorders>
            <w:vAlign w:val="center"/>
            <w:hideMark/>
          </w:tcPr>
          <w:p w14:paraId="32FFE67F"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31.385</w:t>
            </w:r>
          </w:p>
        </w:tc>
        <w:tc>
          <w:tcPr>
            <w:tcW w:w="758" w:type="dxa"/>
            <w:tcBorders>
              <w:top w:val="nil"/>
              <w:left w:val="nil"/>
              <w:bottom w:val="single" w:sz="4" w:space="0" w:color="auto"/>
              <w:right w:val="single" w:sz="4" w:space="0" w:color="auto"/>
            </w:tcBorders>
            <w:vAlign w:val="center"/>
            <w:hideMark/>
          </w:tcPr>
          <w:p w14:paraId="1E3A5EE5"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6.37</w:t>
            </w:r>
          </w:p>
        </w:tc>
        <w:tc>
          <w:tcPr>
            <w:tcW w:w="924" w:type="dxa"/>
            <w:tcBorders>
              <w:top w:val="nil"/>
              <w:left w:val="nil"/>
              <w:bottom w:val="single" w:sz="4" w:space="0" w:color="auto"/>
              <w:right w:val="single" w:sz="4" w:space="0" w:color="auto"/>
            </w:tcBorders>
            <w:noWrap/>
            <w:vAlign w:val="center"/>
            <w:hideMark/>
          </w:tcPr>
          <w:p w14:paraId="405738FB"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26.372</w:t>
            </w:r>
          </w:p>
        </w:tc>
        <w:tc>
          <w:tcPr>
            <w:tcW w:w="880" w:type="dxa"/>
            <w:tcBorders>
              <w:top w:val="nil"/>
              <w:left w:val="nil"/>
              <w:bottom w:val="single" w:sz="4" w:space="0" w:color="auto"/>
              <w:right w:val="single" w:sz="4" w:space="0" w:color="auto"/>
            </w:tcBorders>
            <w:noWrap/>
            <w:vAlign w:val="center"/>
            <w:hideMark/>
          </w:tcPr>
          <w:p w14:paraId="6D31BB17"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4.95</w:t>
            </w:r>
          </w:p>
        </w:tc>
        <w:tc>
          <w:tcPr>
            <w:tcW w:w="910" w:type="dxa"/>
            <w:tcBorders>
              <w:top w:val="nil"/>
              <w:left w:val="nil"/>
              <w:bottom w:val="single" w:sz="4" w:space="0" w:color="auto"/>
              <w:right w:val="single" w:sz="4" w:space="0" w:color="auto"/>
            </w:tcBorders>
            <w:noWrap/>
            <w:vAlign w:val="center"/>
            <w:hideMark/>
          </w:tcPr>
          <w:p w14:paraId="27E34D4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42.153</w:t>
            </w:r>
          </w:p>
        </w:tc>
        <w:tc>
          <w:tcPr>
            <w:tcW w:w="937" w:type="dxa"/>
            <w:tcBorders>
              <w:top w:val="nil"/>
              <w:left w:val="nil"/>
              <w:bottom w:val="single" w:sz="4" w:space="0" w:color="auto"/>
              <w:right w:val="single" w:sz="4" w:space="0" w:color="auto"/>
            </w:tcBorders>
            <w:noWrap/>
            <w:vAlign w:val="center"/>
            <w:hideMark/>
          </w:tcPr>
          <w:p w14:paraId="56177FAB"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7.07</w:t>
            </w:r>
          </w:p>
        </w:tc>
        <w:tc>
          <w:tcPr>
            <w:tcW w:w="968" w:type="dxa"/>
            <w:tcBorders>
              <w:top w:val="nil"/>
              <w:left w:val="nil"/>
              <w:bottom w:val="single" w:sz="4" w:space="0" w:color="auto"/>
              <w:right w:val="single" w:sz="4" w:space="0" w:color="auto"/>
            </w:tcBorders>
            <w:noWrap/>
            <w:vAlign w:val="center"/>
            <w:hideMark/>
          </w:tcPr>
          <w:p w14:paraId="5E89A0C8"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-5.013</w:t>
            </w:r>
          </w:p>
        </w:tc>
        <w:tc>
          <w:tcPr>
            <w:tcW w:w="792" w:type="dxa"/>
            <w:tcBorders>
              <w:top w:val="nil"/>
              <w:left w:val="nil"/>
              <w:bottom w:val="single" w:sz="4" w:space="0" w:color="auto"/>
              <w:right w:val="single" w:sz="4" w:space="0" w:color="auto"/>
            </w:tcBorders>
            <w:noWrap/>
            <w:vAlign w:val="center"/>
            <w:hideMark/>
          </w:tcPr>
          <w:p w14:paraId="60E9F47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-15.97</w:t>
            </w:r>
          </w:p>
        </w:tc>
        <w:tc>
          <w:tcPr>
            <w:tcW w:w="968" w:type="dxa"/>
            <w:tcBorders>
              <w:top w:val="nil"/>
              <w:left w:val="nil"/>
              <w:bottom w:val="single" w:sz="4" w:space="0" w:color="auto"/>
              <w:right w:val="single" w:sz="4" w:space="0" w:color="auto"/>
            </w:tcBorders>
            <w:noWrap/>
            <w:vAlign w:val="center"/>
            <w:hideMark/>
          </w:tcPr>
          <w:p w14:paraId="0A538073"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15.781</w:t>
            </w:r>
          </w:p>
        </w:tc>
        <w:tc>
          <w:tcPr>
            <w:tcW w:w="695" w:type="dxa"/>
            <w:tcBorders>
              <w:top w:val="nil"/>
              <w:left w:val="nil"/>
              <w:bottom w:val="single" w:sz="4" w:space="0" w:color="auto"/>
              <w:right w:val="single" w:sz="4" w:space="0" w:color="auto"/>
            </w:tcBorders>
            <w:noWrap/>
            <w:vAlign w:val="center"/>
            <w:hideMark/>
          </w:tcPr>
          <w:p w14:paraId="407376BF"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59.84</w:t>
            </w:r>
          </w:p>
        </w:tc>
      </w:tr>
      <w:tr w:rsidR="0042797D" w:rsidRPr="00223F45" w14:paraId="42539B88"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039A40FB" w14:textId="77777777" w:rsidR="0042797D" w:rsidRPr="00223F4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223F45">
              <w:rPr>
                <w:rFonts w:ascii="Times New Roman" w:eastAsia="Times New Roman" w:hAnsi="Times New Roman" w:cs="Times New Roman"/>
                <w:b/>
                <w:bCs/>
                <w:color w:val="000000"/>
                <w:kern w:val="0"/>
                <w:sz w:val="22"/>
                <w:szCs w:val="22"/>
                <w14:ligatures w14:val="none"/>
              </w:rPr>
              <w:t>Happy lady</w:t>
            </w:r>
          </w:p>
        </w:tc>
        <w:tc>
          <w:tcPr>
            <w:tcW w:w="1045" w:type="dxa"/>
            <w:tcBorders>
              <w:top w:val="nil"/>
              <w:left w:val="nil"/>
              <w:bottom w:val="single" w:sz="4" w:space="0" w:color="auto"/>
              <w:right w:val="single" w:sz="4" w:space="0" w:color="auto"/>
            </w:tcBorders>
            <w:vAlign w:val="center"/>
            <w:hideMark/>
          </w:tcPr>
          <w:p w14:paraId="4FBB8425"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35.471</w:t>
            </w:r>
          </w:p>
        </w:tc>
        <w:tc>
          <w:tcPr>
            <w:tcW w:w="758" w:type="dxa"/>
            <w:tcBorders>
              <w:top w:val="nil"/>
              <w:left w:val="nil"/>
              <w:bottom w:val="single" w:sz="4" w:space="0" w:color="auto"/>
              <w:right w:val="single" w:sz="4" w:space="0" w:color="auto"/>
            </w:tcBorders>
            <w:vAlign w:val="center"/>
            <w:hideMark/>
          </w:tcPr>
          <w:p w14:paraId="67C96AA9"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7.20</w:t>
            </w:r>
          </w:p>
        </w:tc>
        <w:tc>
          <w:tcPr>
            <w:tcW w:w="924" w:type="dxa"/>
            <w:tcBorders>
              <w:top w:val="nil"/>
              <w:left w:val="nil"/>
              <w:bottom w:val="single" w:sz="4" w:space="0" w:color="auto"/>
              <w:right w:val="single" w:sz="4" w:space="0" w:color="auto"/>
            </w:tcBorders>
            <w:noWrap/>
            <w:vAlign w:val="center"/>
            <w:hideMark/>
          </w:tcPr>
          <w:p w14:paraId="350DD2D3"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27.686</w:t>
            </w:r>
          </w:p>
        </w:tc>
        <w:tc>
          <w:tcPr>
            <w:tcW w:w="880" w:type="dxa"/>
            <w:tcBorders>
              <w:top w:val="nil"/>
              <w:left w:val="nil"/>
              <w:bottom w:val="single" w:sz="4" w:space="0" w:color="auto"/>
              <w:right w:val="single" w:sz="4" w:space="0" w:color="auto"/>
            </w:tcBorders>
            <w:noWrap/>
            <w:vAlign w:val="center"/>
            <w:hideMark/>
          </w:tcPr>
          <w:p w14:paraId="6E5DC509"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5.20</w:t>
            </w:r>
          </w:p>
        </w:tc>
        <w:tc>
          <w:tcPr>
            <w:tcW w:w="910" w:type="dxa"/>
            <w:tcBorders>
              <w:top w:val="nil"/>
              <w:left w:val="nil"/>
              <w:bottom w:val="single" w:sz="4" w:space="0" w:color="auto"/>
              <w:right w:val="single" w:sz="4" w:space="0" w:color="auto"/>
            </w:tcBorders>
            <w:noWrap/>
            <w:vAlign w:val="center"/>
            <w:hideMark/>
          </w:tcPr>
          <w:p w14:paraId="1E5CE90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46.569</w:t>
            </w:r>
          </w:p>
        </w:tc>
        <w:tc>
          <w:tcPr>
            <w:tcW w:w="937" w:type="dxa"/>
            <w:tcBorders>
              <w:top w:val="nil"/>
              <w:left w:val="nil"/>
              <w:bottom w:val="single" w:sz="4" w:space="0" w:color="auto"/>
              <w:right w:val="single" w:sz="4" w:space="0" w:color="auto"/>
            </w:tcBorders>
            <w:noWrap/>
            <w:vAlign w:val="center"/>
            <w:hideMark/>
          </w:tcPr>
          <w:p w14:paraId="6D655815"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7.81</w:t>
            </w:r>
          </w:p>
        </w:tc>
        <w:tc>
          <w:tcPr>
            <w:tcW w:w="968" w:type="dxa"/>
            <w:tcBorders>
              <w:top w:val="nil"/>
              <w:left w:val="nil"/>
              <w:bottom w:val="single" w:sz="4" w:space="0" w:color="auto"/>
              <w:right w:val="single" w:sz="4" w:space="0" w:color="auto"/>
            </w:tcBorders>
            <w:noWrap/>
            <w:vAlign w:val="center"/>
            <w:hideMark/>
          </w:tcPr>
          <w:p w14:paraId="63F11EF4"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-7.785</w:t>
            </w:r>
          </w:p>
        </w:tc>
        <w:tc>
          <w:tcPr>
            <w:tcW w:w="792" w:type="dxa"/>
            <w:tcBorders>
              <w:top w:val="nil"/>
              <w:left w:val="nil"/>
              <w:bottom w:val="single" w:sz="4" w:space="0" w:color="auto"/>
              <w:right w:val="single" w:sz="4" w:space="0" w:color="auto"/>
            </w:tcBorders>
            <w:noWrap/>
            <w:vAlign w:val="center"/>
            <w:hideMark/>
          </w:tcPr>
          <w:p w14:paraId="343D6443"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-21.95</w:t>
            </w:r>
          </w:p>
        </w:tc>
        <w:tc>
          <w:tcPr>
            <w:tcW w:w="968" w:type="dxa"/>
            <w:tcBorders>
              <w:top w:val="nil"/>
              <w:left w:val="nil"/>
              <w:bottom w:val="single" w:sz="4" w:space="0" w:color="auto"/>
              <w:right w:val="single" w:sz="4" w:space="0" w:color="auto"/>
            </w:tcBorders>
            <w:noWrap/>
            <w:vAlign w:val="center"/>
            <w:hideMark/>
          </w:tcPr>
          <w:p w14:paraId="323C2E37"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18.883</w:t>
            </w:r>
          </w:p>
        </w:tc>
        <w:tc>
          <w:tcPr>
            <w:tcW w:w="695" w:type="dxa"/>
            <w:tcBorders>
              <w:top w:val="nil"/>
              <w:left w:val="nil"/>
              <w:bottom w:val="single" w:sz="4" w:space="0" w:color="auto"/>
              <w:right w:val="single" w:sz="4" w:space="0" w:color="auto"/>
            </w:tcBorders>
            <w:noWrap/>
            <w:vAlign w:val="center"/>
            <w:hideMark/>
          </w:tcPr>
          <w:p w14:paraId="49C5BF95"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68.20</w:t>
            </w:r>
          </w:p>
        </w:tc>
      </w:tr>
      <w:tr w:rsidR="0042797D" w:rsidRPr="00223F45" w14:paraId="627D3F59" w14:textId="77777777" w:rsidTr="002F73B2">
        <w:trPr>
          <w:trHeight w:val="694"/>
        </w:trPr>
        <w:tc>
          <w:tcPr>
            <w:tcW w:w="1491" w:type="dxa"/>
            <w:tcBorders>
              <w:top w:val="nil"/>
              <w:left w:val="single" w:sz="4" w:space="0" w:color="auto"/>
              <w:bottom w:val="single" w:sz="4" w:space="0" w:color="auto"/>
              <w:right w:val="single" w:sz="4" w:space="0" w:color="auto"/>
            </w:tcBorders>
            <w:vAlign w:val="center"/>
            <w:hideMark/>
          </w:tcPr>
          <w:p w14:paraId="1C829988" w14:textId="77777777" w:rsidR="0042797D" w:rsidRPr="00223F45"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223F45">
              <w:rPr>
                <w:rFonts w:ascii="Times New Roman" w:eastAsia="Times New Roman" w:hAnsi="Times New Roman" w:cs="Times New Roman"/>
                <w:b/>
                <w:bCs/>
                <w:color w:val="000000"/>
                <w:kern w:val="0"/>
                <w:sz w:val="22"/>
                <w:szCs w:val="22"/>
                <w14:ligatures w14:val="none"/>
              </w:rPr>
              <w:t>Chứng chỉ tiền gửi</w:t>
            </w:r>
          </w:p>
        </w:tc>
        <w:tc>
          <w:tcPr>
            <w:tcW w:w="1045" w:type="dxa"/>
            <w:tcBorders>
              <w:top w:val="nil"/>
              <w:left w:val="nil"/>
              <w:bottom w:val="single" w:sz="4" w:space="0" w:color="auto"/>
              <w:right w:val="single" w:sz="4" w:space="0" w:color="auto"/>
            </w:tcBorders>
            <w:vAlign w:val="center"/>
            <w:hideMark/>
          </w:tcPr>
          <w:p w14:paraId="5948CA2D"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0</w:t>
            </w:r>
          </w:p>
        </w:tc>
        <w:tc>
          <w:tcPr>
            <w:tcW w:w="758" w:type="dxa"/>
            <w:tcBorders>
              <w:top w:val="nil"/>
              <w:left w:val="nil"/>
              <w:bottom w:val="single" w:sz="4" w:space="0" w:color="auto"/>
              <w:right w:val="single" w:sz="4" w:space="0" w:color="auto"/>
            </w:tcBorders>
            <w:vAlign w:val="center"/>
            <w:hideMark/>
          </w:tcPr>
          <w:p w14:paraId="5880FD08"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c>
          <w:tcPr>
            <w:tcW w:w="924" w:type="dxa"/>
            <w:tcBorders>
              <w:top w:val="nil"/>
              <w:left w:val="nil"/>
              <w:bottom w:val="single" w:sz="4" w:space="0" w:color="auto"/>
              <w:right w:val="single" w:sz="4" w:space="0" w:color="auto"/>
            </w:tcBorders>
            <w:noWrap/>
            <w:vAlign w:val="center"/>
            <w:hideMark/>
          </w:tcPr>
          <w:p w14:paraId="6778103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c>
          <w:tcPr>
            <w:tcW w:w="880" w:type="dxa"/>
            <w:tcBorders>
              <w:top w:val="nil"/>
              <w:left w:val="nil"/>
              <w:bottom w:val="single" w:sz="4" w:space="0" w:color="auto"/>
              <w:right w:val="single" w:sz="4" w:space="0" w:color="auto"/>
            </w:tcBorders>
            <w:noWrap/>
            <w:vAlign w:val="center"/>
            <w:hideMark/>
          </w:tcPr>
          <w:p w14:paraId="04122469"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c>
          <w:tcPr>
            <w:tcW w:w="910" w:type="dxa"/>
            <w:tcBorders>
              <w:top w:val="nil"/>
              <w:left w:val="nil"/>
              <w:bottom w:val="single" w:sz="4" w:space="0" w:color="auto"/>
              <w:right w:val="single" w:sz="4" w:space="0" w:color="auto"/>
            </w:tcBorders>
            <w:noWrap/>
            <w:vAlign w:val="center"/>
            <w:hideMark/>
          </w:tcPr>
          <w:p w14:paraId="470B863E"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c>
          <w:tcPr>
            <w:tcW w:w="937" w:type="dxa"/>
            <w:tcBorders>
              <w:top w:val="nil"/>
              <w:left w:val="nil"/>
              <w:bottom w:val="single" w:sz="4" w:space="0" w:color="auto"/>
              <w:right w:val="single" w:sz="4" w:space="0" w:color="auto"/>
            </w:tcBorders>
            <w:noWrap/>
            <w:vAlign w:val="center"/>
            <w:hideMark/>
          </w:tcPr>
          <w:p w14:paraId="2029D7E9"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c>
          <w:tcPr>
            <w:tcW w:w="968" w:type="dxa"/>
            <w:tcBorders>
              <w:top w:val="nil"/>
              <w:left w:val="nil"/>
              <w:bottom w:val="single" w:sz="4" w:space="0" w:color="auto"/>
              <w:right w:val="single" w:sz="4" w:space="0" w:color="auto"/>
            </w:tcBorders>
            <w:noWrap/>
            <w:vAlign w:val="center"/>
            <w:hideMark/>
          </w:tcPr>
          <w:p w14:paraId="004CC1E4"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0</w:t>
            </w:r>
          </w:p>
        </w:tc>
        <w:tc>
          <w:tcPr>
            <w:tcW w:w="792" w:type="dxa"/>
            <w:tcBorders>
              <w:top w:val="nil"/>
              <w:left w:val="nil"/>
              <w:bottom w:val="single" w:sz="4" w:space="0" w:color="auto"/>
              <w:right w:val="single" w:sz="4" w:space="0" w:color="auto"/>
            </w:tcBorders>
            <w:noWrap/>
            <w:vAlign w:val="center"/>
            <w:hideMark/>
          </w:tcPr>
          <w:p w14:paraId="1BB6FCCE"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c>
          <w:tcPr>
            <w:tcW w:w="968" w:type="dxa"/>
            <w:tcBorders>
              <w:top w:val="nil"/>
              <w:left w:val="nil"/>
              <w:bottom w:val="single" w:sz="4" w:space="0" w:color="auto"/>
              <w:right w:val="single" w:sz="4" w:space="0" w:color="auto"/>
            </w:tcBorders>
            <w:noWrap/>
            <w:vAlign w:val="center"/>
            <w:hideMark/>
          </w:tcPr>
          <w:p w14:paraId="560D2E6C"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c>
          <w:tcPr>
            <w:tcW w:w="695" w:type="dxa"/>
            <w:tcBorders>
              <w:top w:val="nil"/>
              <w:left w:val="nil"/>
              <w:bottom w:val="single" w:sz="4" w:space="0" w:color="auto"/>
              <w:right w:val="single" w:sz="4" w:space="0" w:color="auto"/>
            </w:tcBorders>
            <w:noWrap/>
            <w:vAlign w:val="center"/>
            <w:hideMark/>
          </w:tcPr>
          <w:p w14:paraId="52BAC751" w14:textId="77777777" w:rsidR="0042797D" w:rsidRPr="00223F45"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223F45">
              <w:rPr>
                <w:rFonts w:ascii="Times New Roman" w:eastAsia="Times New Roman" w:hAnsi="Times New Roman" w:cs="Times New Roman"/>
                <w:color w:val="000000"/>
                <w:kern w:val="0"/>
                <w:sz w:val="22"/>
                <w:szCs w:val="22"/>
                <w14:ligatures w14:val="none"/>
              </w:rPr>
              <w:t> </w:t>
            </w:r>
          </w:p>
        </w:tc>
      </w:tr>
    </w:tbl>
    <w:p w14:paraId="79F419C3" w14:textId="77777777" w:rsidR="0042797D" w:rsidRPr="004E6F30" w:rsidRDefault="0042797D" w:rsidP="0042797D">
      <w:pPr>
        <w:spacing w:line="360" w:lineRule="auto"/>
        <w:jc w:val="right"/>
        <w:rPr>
          <w:rFonts w:ascii="Times New Roman" w:hAnsi="Times New Roman" w:cs="Times New Roman"/>
          <w:i/>
          <w:iCs/>
          <w:sz w:val="26"/>
          <w:szCs w:val="26"/>
        </w:rPr>
      </w:pPr>
      <w:r w:rsidRPr="004E6F30">
        <w:rPr>
          <w:rFonts w:ascii="Times New Roman" w:hAnsi="Times New Roman" w:cs="Times New Roman"/>
          <w:i/>
          <w:iCs/>
          <w:sz w:val="26"/>
          <w:szCs w:val="26"/>
        </w:rPr>
        <w:t>(Nguồn: BCTC Ngân hàng TMCP Nam Á – Chi nhánh Đà Nẵng – PGD Cẩm Lệ)</w:t>
      </w:r>
    </w:p>
    <w:p w14:paraId="248D4547" w14:textId="77777777" w:rsidR="0042797D" w:rsidRPr="009964D7" w:rsidRDefault="0042797D" w:rsidP="0042797D">
      <w:pPr>
        <w:spacing w:line="360" w:lineRule="auto"/>
        <w:jc w:val="both"/>
        <w:rPr>
          <w:rFonts w:ascii="Times New Roman" w:hAnsi="Times New Roman"/>
          <w:sz w:val="26"/>
          <w:szCs w:val="26"/>
        </w:rPr>
      </w:pPr>
      <w:r>
        <w:rPr>
          <w:rFonts w:ascii="Times New Roman" w:hAnsi="Times New Roman"/>
          <w:sz w:val="26"/>
          <w:szCs w:val="26"/>
        </w:rPr>
        <w:t xml:space="preserve">   </w:t>
      </w:r>
      <w:r w:rsidRPr="00B35998">
        <w:rPr>
          <w:rFonts w:ascii="Times New Roman" w:hAnsi="Times New Roman"/>
          <w:sz w:val="26"/>
          <w:szCs w:val="26"/>
        </w:rPr>
        <w:t>Căn cứ vào Bảng 2.8, có thể thấy cơ cấu huy động vốn đối với khách hàng cá nhân tại Ngân hàng TMCP Nam Á – Chi nhánh Đà Nẵng – PGD Cẩm Lệ được phân bổ tương đối đa dạng theo từng sản phẩm, tuy nhiên mức độ đóng góp giữa các sản phẩm không đồng đều và có sự dịch chuyển nhất định qua từng năm. Trong giai đoạn 2023–2025, hai nhóm sản phẩm giữ vai trò chủ đạo là tiền gửi tiết kiệm thông thường và tài khoản thanh toán, trong khi các sản phẩm như tiết kiệm lợi ích nhân đôi, Happy Future, Happy Combo và Happy Lady chiếm tỷ trọng nhỏ hơn nhưng cũng có những biến động đáng chú ý. Nhìn chung, cơ cấu huy động vốn của PGD cho thấy xu hướng vừa duy trì các sản phẩm truyền thống, vừa từng bước đa dạng hóa danh mục sản phẩm nhằm đáp ứng tốt hơn nhu cầu gửi tiền và sử dụng dịch vụ tài chính của khách hàng cá nhân.</w:t>
      </w:r>
      <w:r>
        <w:rPr>
          <w:rFonts w:ascii="Times New Roman" w:hAnsi="Times New Roman"/>
          <w:sz w:val="26"/>
          <w:szCs w:val="26"/>
        </w:rPr>
        <w:t xml:space="preserve"> </w:t>
      </w:r>
      <w:r w:rsidRPr="009964D7">
        <w:rPr>
          <w:rFonts w:ascii="Times New Roman" w:hAnsi="Times New Roman"/>
          <w:sz w:val="26"/>
          <w:szCs w:val="26"/>
        </w:rPr>
        <w:t>Từ số liệu trên, có thể khái quát xu hướng biến động qua biểu đồ sau.</w:t>
      </w:r>
    </w:p>
    <w:p w14:paraId="5AA77CF3" w14:textId="77777777" w:rsidR="0042797D" w:rsidRDefault="0042797D" w:rsidP="0042797D">
      <w:pPr>
        <w:spacing w:line="360" w:lineRule="auto"/>
        <w:jc w:val="both"/>
        <w:rPr>
          <w:rFonts w:ascii="Times New Roman" w:hAnsi="Times New Roman"/>
          <w:sz w:val="26"/>
          <w:szCs w:val="26"/>
        </w:rPr>
      </w:pPr>
      <w:r>
        <w:rPr>
          <w:rFonts w:ascii="Times New Roman" w:hAnsi="Times New Roman"/>
          <w:noProof/>
          <w:sz w:val="26"/>
          <w:szCs w:val="26"/>
        </w:rPr>
        <w:lastRenderedPageBreak/>
        <w:drawing>
          <wp:inline distT="0" distB="0" distL="0" distR="0" wp14:anchorId="58AA4D68" wp14:editId="18686EC4">
            <wp:extent cx="1866900" cy="1619250"/>
            <wp:effectExtent l="0" t="0" r="0" b="0"/>
            <wp:docPr id="189552496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Pr>
          <w:rFonts w:ascii="Times New Roman" w:hAnsi="Times New Roman"/>
          <w:noProof/>
          <w:sz w:val="26"/>
          <w:szCs w:val="26"/>
        </w:rPr>
        <w:drawing>
          <wp:inline distT="0" distB="0" distL="0" distR="0" wp14:anchorId="796E22D3" wp14:editId="113AFFC0">
            <wp:extent cx="1898650" cy="1619250"/>
            <wp:effectExtent l="0" t="0" r="6350" b="0"/>
            <wp:docPr id="174890761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ascii="Times New Roman" w:hAnsi="Times New Roman"/>
          <w:noProof/>
          <w:sz w:val="26"/>
          <w:szCs w:val="26"/>
        </w:rPr>
        <w:drawing>
          <wp:inline distT="0" distB="0" distL="0" distR="0" wp14:anchorId="1F722F69" wp14:editId="7A918DA2">
            <wp:extent cx="4095750" cy="2393950"/>
            <wp:effectExtent l="0" t="0" r="0" b="6350"/>
            <wp:docPr id="16376293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6714D0B" w14:textId="77777777" w:rsidR="0042797D" w:rsidRPr="00C900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Hình </w:t>
      </w:r>
      <w:r w:rsidRPr="00E91F56">
        <w:rPr>
          <w:rFonts w:ascii="Times New Roman" w:hAnsi="Times New Roman" w:cs="Times New Roman"/>
          <w:b/>
          <w:bCs/>
          <w:sz w:val="26"/>
          <w:szCs w:val="26"/>
        </w:rPr>
        <w:t>2.</w:t>
      </w:r>
      <w:r>
        <w:rPr>
          <w:rFonts w:ascii="Times New Roman" w:hAnsi="Times New Roman" w:cs="Times New Roman"/>
          <w:b/>
          <w:bCs/>
          <w:sz w:val="26"/>
          <w:szCs w:val="26"/>
        </w:rPr>
        <w:t>2</w:t>
      </w:r>
      <w:r>
        <w:rPr>
          <w:rFonts w:ascii="Times New Roman" w:hAnsi="Times New Roman" w:cs="Times New Roman"/>
          <w:sz w:val="26"/>
          <w:szCs w:val="26"/>
        </w:rPr>
        <w:t xml:space="preserve"> </w:t>
      </w:r>
      <w:r>
        <w:rPr>
          <w:rFonts w:ascii="Times New Roman" w:hAnsi="Times New Roman" w:cs="Times New Roman"/>
          <w:b/>
          <w:bCs/>
          <w:sz w:val="26"/>
          <w:szCs w:val="26"/>
        </w:rPr>
        <w:t xml:space="preserve">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 xml:space="preserve">đối với khách hàng cá nhân theo sản phẩm </w:t>
      </w:r>
      <w:r w:rsidRPr="00CB2764">
        <w:rPr>
          <w:rFonts w:ascii="Times New Roman" w:hAnsi="Times New Roman" w:cs="Times New Roman"/>
          <w:b/>
          <w:bCs/>
          <w:sz w:val="26"/>
          <w:szCs w:val="26"/>
        </w:rPr>
        <w:t>của Ngân hàng TMCP Nam Á – Chi nhánh Đà Nẵng – Phòng giao dịch Cẩm Lệ</w:t>
      </w:r>
      <w:r>
        <w:rPr>
          <w:rFonts w:ascii="Times New Roman" w:hAnsi="Times New Roman" w:cs="Times New Roman"/>
          <w:b/>
          <w:bCs/>
          <w:sz w:val="26"/>
          <w:szCs w:val="26"/>
        </w:rPr>
        <w:t xml:space="preserve"> </w:t>
      </w:r>
    </w:p>
    <w:p w14:paraId="23A585E0" w14:textId="77777777" w:rsidR="0042797D" w:rsidRPr="00B35998" w:rsidRDefault="0042797D" w:rsidP="0042797D">
      <w:pPr>
        <w:spacing w:line="360" w:lineRule="auto"/>
        <w:jc w:val="both"/>
        <w:rPr>
          <w:rFonts w:ascii="Times New Roman" w:hAnsi="Times New Roman"/>
          <w:sz w:val="26"/>
          <w:szCs w:val="26"/>
        </w:rPr>
      </w:pPr>
    </w:p>
    <w:p w14:paraId="200DA4EA"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T</w:t>
      </w:r>
      <w:r>
        <w:rPr>
          <w:rFonts w:ascii="Times New Roman" w:hAnsi="Times New Roman"/>
          <w:sz w:val="26"/>
          <w:szCs w:val="26"/>
        </w:rPr>
        <w:t>ừ biểu đồ trên ta thấy được</w:t>
      </w:r>
      <w:r w:rsidRPr="00B35998">
        <w:rPr>
          <w:rFonts w:ascii="Times New Roman" w:hAnsi="Times New Roman"/>
          <w:sz w:val="26"/>
          <w:szCs w:val="26"/>
        </w:rPr>
        <w:t xml:space="preserve">, tiền gửi tiết kiệm thông thường là sản phẩm chiếm tỷ trọng lớn nhất trong cơ cấu huy động vốn khách hàng cá nhân của PGD trong cả ba năm. Năm 2023, sản phẩm này đạt 182.697 triệu đồng, chiếm 37,10% tổng vốn huy động KHCN. Sang năm 2024, số dư tăng lên 224.313 triệu đồng, tăng 41.616 triệu đồng, tương ứng tăng 22,78%, đồng thời tỷ trọng tăng lên 42,14%. Đến năm 2025, tiền gửi tiết kiệm thông thường tiếp tục tăng lên 235.861 triệu đồng, tăng thêm 11.548 triệu đồng, tương ứng tăng 5,15% so với năm 2024, tuy nhiên tỷ trọng giảm nhẹ còn 39,56%. Diễn biến này cho thấy đây vẫn là sản phẩm huy động chủ lực và có vai trò nền tảng trong cơ cấu nguồn vốn khách hàng cá nhân của PGD. Việc sản phẩm tăng mạnh trong năm 2024 phản ánh xu hướng khách hàng ưu tiên các khoản tiền gửi an toàn, ổn định và quen thuộc. Sang năm 2025, dù quy </w:t>
      </w:r>
      <w:r w:rsidRPr="00B35998">
        <w:rPr>
          <w:rFonts w:ascii="Times New Roman" w:hAnsi="Times New Roman"/>
          <w:sz w:val="26"/>
          <w:szCs w:val="26"/>
        </w:rPr>
        <w:lastRenderedPageBreak/>
        <w:t>mô tiếp tục tăng, tỷ trọng giảm nhẹ cho thấy một phần dòng tiền đã được phân bổ sang các sản phẩm khác.</w:t>
      </w:r>
    </w:p>
    <w:p w14:paraId="467C63DF"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Đối với tài khoản thanh toán, đây là sản phẩm có quy mô lớn thứ hai trong cơ cấu huy động vốn khách hàng cá nhân và có sự biến động khá rõ qua từng năm. Năm 2023, số dư tài khoản thanh toán đạt 164.968 triệu đồng, chiếm 33,50% tổng vốn huy động KHCN. Sang năm 2024, sản phẩm này giảm xuống còn 157.233 triệu đồng, giảm 7.735 triệu đồng, tương ứng giảm 4,69%, kéo tỷ trọng xuống còn 29,54%. Tuy nhiên, đến năm 2025, số dư tài khoản thanh toán tăng trở lại lên 174.211 triệu đồng, tăng 16.978 triệu đồng, tương ứng tăng 10,80%, song tỷ trọng vẫn chỉ đạt 29,22%. Điều này cho thấy tài khoản thanh toán vẫn là một sản phẩm rất quan trọng trong hoạt động huy động vốn của PGD, gắn với nhu cầu giao dịch, thanh toán và sử dụng các tiện ích ngân hàng số của khách hàng cá nhân. Việc giảm trong năm 2024 có thể phản ánh xu hướng khách hàng chuyển một phần dòng tiền sang các sản phẩm tiết kiệm để tối ưu lợi tức, trong khi mức phục hồi năm 2025 cho thấy nhu cầu duy trì số dư thanh toán tiếp tục tăng trở lại cùng với sự mở rộng các giao dịch tài chính cá nhân.</w:t>
      </w:r>
    </w:p>
    <w:p w14:paraId="2D104B10"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Với sản phẩm tiết kiệm lợi ích nhân đôi, quy mô huy động tăng trong năm 2024 nhưng giảm nhẹ vào năm 2025. Cụ thể, năm 2023 sản phẩm này đạt 54.816 triệu đồng, chiếm 11,13% tổng vốn huy động KHCN. Năm 2024 tăng lên 65.302 triệu đồng, tăng 10.486 triệu đồng, tương ứng tăng 19,13%, đồng thời tỷ trọng tăng lên 12,27%. Tuy nhiên, đến năm 2025, số dư giảm xuống còn 63.906 triệu đồng, giảm 1.396 triệu đồng, tương ứng giảm 2,14%, làm tỷ trọng giảm còn 10,72%. Diễn biến này cho thấy sản phẩm có sức hút nhất định trong năm 2024, có thể nhờ đặc điểm vừa mang tính tiết kiệm vừa đi kèm lợi ích bổ sung, nhưng sang năm 2025 lại chưa duy trì được đà tăng trưởng. Điều đó phản ánh khả năng cạnh tranh của sản phẩm này chưa thật sự bền vững trước sự thay đổi trong nhu cầu lựa chọn sản phẩm của khách hàng.</w:t>
      </w:r>
    </w:p>
    <w:p w14:paraId="651C719D"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 xml:space="preserve">Sản phẩm Happy Future có quy mô nhỏ hơn nhưng duy trì xu hướng tăng liên tục trong cả giai đoạn nghiên cứu. Năm 2023, Happy Future đạt 23.147 triệu đồng, chiếm 4,70%. Năm 2024 tăng lên 31.441 triệu đồng, tăng 8.294 triệu đồng, tương ứng tăng 35,83%, đưa tỷ </w:t>
      </w:r>
      <w:r w:rsidRPr="00B35998">
        <w:rPr>
          <w:rFonts w:ascii="Times New Roman" w:hAnsi="Times New Roman"/>
          <w:sz w:val="26"/>
          <w:szCs w:val="26"/>
        </w:rPr>
        <w:lastRenderedPageBreak/>
        <w:t>trọng lên 5,91%. Đến năm 2025, sản phẩm tiếp tục tăng lên 33.552 triệu đồng, tăng thêm 2.111 triệu đồng, tương ứng tăng 6,71%, tuy nhiên tỷ trọng giảm nhẹ còn 5,63%. Có thể thấy Happy Future là sản phẩm có xu hướng mở rộng khá tích cực, đặc biệt trong năm 2024. Mặc dù tốc độ tăng trưởng chậm lại ở năm 2025, sản phẩm này vẫn cho thấy khả năng duy trì vị thế nhất định trong cơ cấu huy động, phù hợp với nhóm khách hàng có nhu cầu tích lũy cho mục tiêu tài chính trung và dài hạn.</w:t>
      </w:r>
    </w:p>
    <w:p w14:paraId="0F3F74D9"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Đối với Happy Combo, sản phẩm này có biến động khá mạnh giữa hai giai đoạn. Năm 2023, Happy Combo đạt 31.385 triệu đồng, chiếm 6,37% tổng vốn huy động KHCN. Sang năm 2024, sản phẩm giảm xuống còn 26.372 triệu đồng, giảm 5.013 triệu đồng, tương ứng giảm 15,97%, làm tỷ trọng giảm còn 4,95%. Tuy nhiên, đến năm 2025, Happy Combo tăng mạnh lên 42.153 triệu đồng, tăng 15.781 triệu đồng, tương ứng tăng 59,84%, đồng thời tỷ trọng tăng lên 7,07%. Đây là mức tăng rất cao trong năm 2025, cho thấy sau giai đoạn giảm sút, sản phẩm đã có sự phục hồi rõ rệt. Diễn biến này có thể gắn với việc ngân hàng đẩy mạnh bán chéo sản phẩm, gia tăng tiện ích tích hợp và nâng cao khả năng tiếp cận khách hàng đối với các gói dịch vụ trọn bộ.</w:t>
      </w:r>
    </w:p>
    <w:p w14:paraId="10725006"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Tương tự, Happy Lady cũng là sản phẩm có sự biến động mạnh. Năm 2023, số dư huy động đạt 35.471 triệu đồng, chiếm 7,20%. Sang năm 2024, sản phẩm giảm xuống còn 27.686 triệu đồng, giảm 7.785 triệu đồng, tương ứng giảm 21,95%, khiến tỷ trọng giảm còn 5,20%. Tuy nhiên, đến năm 2025, Happy Lady tăng vọt lên 46.569 triệu đồng, tăng 18.883 triệu đồng, tương ứng tăng 68,20%, đồng thời tỷ trọng tăng lên 7,81%. Đây là mức tăng cao nhất xét theo tỷ lệ phần trăm trong các sản phẩm của năm 2025. Điều này cho thấy sản phẩm đã có sự phục hồi rất mạnh và dần trở thành một điểm sáng trong cơ cấu huy động vốn khách hàng cá nhân. Kết quả này có thể phản ánh việc sản phẩm được điều chỉnh phù hợp hơn với nhu cầu khách hàng mục tiêu, đồng thời được hỗ trợ tốt hơn bởi các chính sách ưu đãi và hoạt động tiếp thị của ngân hàng.</w:t>
      </w:r>
    </w:p>
    <w:p w14:paraId="0C74A995"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 xml:space="preserve">Riêng chứng chỉ tiền gửi không phát sinh số dư trong giai đoạn được phản ánh tại bảng. Điều đó cho thấy tại PGD Cẩm Lệ, sản phẩm này chưa đóng góp vào cơ cấu huy động vốn khách hàng cá nhân trong thời kỳ nghiên cứu, hoặc chưa được triển khai mạnh đối với </w:t>
      </w:r>
      <w:r w:rsidRPr="00B35998">
        <w:rPr>
          <w:rFonts w:ascii="Times New Roman" w:hAnsi="Times New Roman"/>
          <w:sz w:val="26"/>
          <w:szCs w:val="26"/>
        </w:rPr>
        <w:lastRenderedPageBreak/>
        <w:t>nhóm khách hàng cá nhân. Vì vậy, vai trò của sản phẩm này trong cơ cấu huy động vốn hiện chưa đáng kể.</w:t>
      </w:r>
    </w:p>
    <w:p w14:paraId="729A83D4"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Xét tổng thể cơ cấu theo sản phẩm, năm 2023 tiền gửi tiết kiệm thông thường chiếm tỷ trọng lớn nhất với 37,10%, tiếp đến là tài khoản thanh toán với 33,50%; các sản phẩm còn lại chiếm tỷ trọng thấp hơn đáng kể. Sang năm 2024, tiền gửi tiết kiệm thông thường tiếp tục mở rộng vị thế và tăng lên 42,14%, trong khi tài khoản thanh toán giảm xuống còn 29,54%, tiết kiệm lợi ích nhân đôi đạt 12,27%, Happy Future đạt 5,91%, Happy Lady đạt 5,20% và Happy Combo đạt 4,95%. Đến năm 2025, tiền gửi tiết kiệm thông thường vẫn giữ vai trò dẫn đầu với 39,56%, tài khoản thanh toán đứng thứ hai với 29,22%, tiếp theo là tiết kiệm lợi ích nhân đôi 10,72%, Happy Lady 7,81%, Happy Combo 7,07% và Happy Future 5,63%. Như vậy, xu hướng nổi bật trong giai đoạn này là cơ cấu huy động vốn vẫn tập trung chủ yếu vào hai sản phẩm lớn là tiền gửi tiết kiệm thông thường và tài khoản thanh toán, song các sản phẩm tích hợp như Happy Combo và Happy Lady đang có dấu hiệu tăng lên rõ rệt trong năm cuối kỳ.</w:t>
      </w:r>
    </w:p>
    <w:p w14:paraId="2CC05FE4" w14:textId="77777777" w:rsidR="0042797D" w:rsidRPr="00B35998" w:rsidRDefault="0042797D" w:rsidP="0042797D">
      <w:pPr>
        <w:spacing w:line="360" w:lineRule="auto"/>
        <w:jc w:val="both"/>
        <w:rPr>
          <w:rFonts w:ascii="Times New Roman" w:hAnsi="Times New Roman"/>
          <w:sz w:val="26"/>
          <w:szCs w:val="26"/>
        </w:rPr>
      </w:pPr>
      <w:r w:rsidRPr="00B35998">
        <w:rPr>
          <w:rFonts w:ascii="Times New Roman" w:hAnsi="Times New Roman"/>
          <w:sz w:val="26"/>
          <w:szCs w:val="26"/>
        </w:rPr>
        <w:t>Tóm lại, giai đoạn 2023–2025 cho thấy cơ cấu huy động vốn theo sản phẩm của khách hàng cá nhân tại PGD Cẩm Lệ có sự vận động tương đối rõ. Tiền gửi tiết kiệm thông thường vẫn là sản phẩm chủ lực và giữ vai trò quan trọng nhất trong cơ cấu nguồn vốn. Tài khoản thanh toán duy trì vị trí lớn thứ hai nhưng có biến động qua từng năm. Trong khi đó, các sản phẩm như tiết kiệm lợi ích nhân đôi, Happy Future, Happy Combo và Happy Lady tuy chiếm tỷ trọng nhỏ hơn nhưng phản ánh xu hướng đa dạng hóa ngày càng rõ hơn trong danh mục huy động vốn của ngân hàng. Đây là tín hiệu tích cực cho thấy PGD không chỉ dựa vào các sản phẩm truyền thống mà đang từng bước mở rộng cơ cấu huy động theo hướng linh hoạt, phù hợp hơn với nhu cầu ngày càng đa dạng của khách hàng cá nhân.</w:t>
      </w:r>
    </w:p>
    <w:p w14:paraId="6B2B7BAD" w14:textId="77777777" w:rsidR="0042797D" w:rsidRDefault="0042797D" w:rsidP="0042797D">
      <w:pPr>
        <w:spacing w:line="360" w:lineRule="auto"/>
        <w:jc w:val="both"/>
        <w:rPr>
          <w:rFonts w:ascii="Times New Roman" w:hAnsi="Times New Roman" w:cs="Times New Roman"/>
          <w:b/>
          <w:bCs/>
          <w:sz w:val="26"/>
          <w:szCs w:val="26"/>
        </w:rPr>
      </w:pPr>
      <w:r w:rsidRPr="00CB2764">
        <w:rPr>
          <w:rFonts w:ascii="Times New Roman" w:hAnsi="Times New Roman" w:cs="Times New Roman"/>
          <w:b/>
          <w:bCs/>
          <w:sz w:val="26"/>
          <w:szCs w:val="26"/>
        </w:rPr>
        <w:t>2.3.</w:t>
      </w:r>
      <w:r>
        <w:rPr>
          <w:rFonts w:ascii="Times New Roman" w:hAnsi="Times New Roman" w:cs="Times New Roman"/>
          <w:b/>
          <w:bCs/>
          <w:sz w:val="26"/>
          <w:szCs w:val="26"/>
        </w:rPr>
        <w:t>4</w:t>
      </w:r>
      <w:r w:rsidRPr="00CB2764">
        <w:rPr>
          <w:rFonts w:ascii="Times New Roman" w:hAnsi="Times New Roman" w:cs="Times New Roman"/>
          <w:b/>
          <w:bCs/>
          <w:sz w:val="26"/>
          <w:szCs w:val="26"/>
        </w:rPr>
        <w:t xml:space="preserve"> </w:t>
      </w:r>
      <w:r>
        <w:rPr>
          <w:rFonts w:ascii="Times New Roman" w:hAnsi="Times New Roman" w:cs="Times New Roman"/>
          <w:b/>
          <w:bCs/>
          <w:sz w:val="26"/>
          <w:szCs w:val="26"/>
        </w:rPr>
        <w:t xml:space="preserve">Phân tích 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đối với khách hàng cá nhân theo loại tiền tại</w:t>
      </w:r>
      <w:r w:rsidRPr="00CB2764">
        <w:rPr>
          <w:rFonts w:ascii="Times New Roman" w:hAnsi="Times New Roman" w:cs="Times New Roman"/>
          <w:b/>
          <w:bCs/>
          <w:sz w:val="26"/>
          <w:szCs w:val="26"/>
        </w:rPr>
        <w:t xml:space="preserve"> Ngân hàng TMCP Nam Á – Chi nhánh Đà Nẵng – Phòng giao dịch Cẩm Lệ</w:t>
      </w:r>
    </w:p>
    <w:p w14:paraId="7E34917B" w14:textId="77777777" w:rsidR="0042797D" w:rsidRDefault="0042797D" w:rsidP="0042797D">
      <w:pPr>
        <w:spacing w:line="360" w:lineRule="auto"/>
        <w:jc w:val="both"/>
      </w:pPr>
      <w:r>
        <w:rPr>
          <w:rFonts w:ascii="Times New Roman" w:hAnsi="Times New Roman"/>
          <w:sz w:val="26"/>
          <w:szCs w:val="26"/>
        </w:rPr>
        <w:t xml:space="preserve">   Hoạt động huy động vốn đối với khách hàng cá nhân tại Ngân hàng TMCP Nam Á – Chi nhánh Đà Nẵng – PGD Cẩm Lệ không chỉ được triển khai đa dạng theo kỳ hạn và sản </w:t>
      </w:r>
      <w:r>
        <w:rPr>
          <w:rFonts w:ascii="Times New Roman" w:hAnsi="Times New Roman"/>
          <w:sz w:val="26"/>
          <w:szCs w:val="26"/>
        </w:rPr>
        <w:lastRenderedPageBreak/>
        <w:t>phẩm, mà còn được thực hiện theo nhiều loại tiền khác nhau nhằm đáp ứng nhu cầu gửi tiền phong phú của khách hàng. Trong đó, ngân hàng chủ yếu huy động bằng nội tệ và ngoại tệ, phù hợp với các mục đích tài chính khác nhau như gửi tiết kiệm an toàn, tích lũy giá trị tài sản, thanh toán, dự phòng chi tiêu hay phục vụ các nhu cầu học tập, du lịch và giao dịch quốc tế. Việc cung cấp các loại tiền gửi đa dạng giúp ngân hàng đáp ứng tốt hơn đặc điểm thu nhập, thói quen nắm giữ tiền và xu hướng lựa chọn tài sản của từng nhóm khách hàng cá nhân, đồng thời góp phần mở rộng quy mô huy động vốn và đa dạng hóa cơ cấu nguồn vốn. Vì vậy, phân tích cơ cấu huy động vốn theo loại tiền sẽ giúp làm rõ xu hướng lựa chọn đồng tiền gửi của khách hàng cá nhân tại PGD Cẩm Lệ trong giai đoạn 2023–2025.</w:t>
      </w:r>
    </w:p>
    <w:p w14:paraId="41BE22C8" w14:textId="77777777" w:rsidR="0042797D" w:rsidRPr="00AC65CF" w:rsidRDefault="0042797D" w:rsidP="0042797D">
      <w:pPr>
        <w:spacing w:line="360" w:lineRule="auto"/>
        <w:jc w:val="both"/>
      </w:pPr>
      <w:r w:rsidRPr="00E91F56">
        <w:rPr>
          <w:rFonts w:ascii="Times New Roman" w:hAnsi="Times New Roman" w:cs="Times New Roman"/>
          <w:b/>
          <w:bCs/>
          <w:sz w:val="26"/>
          <w:szCs w:val="26"/>
        </w:rPr>
        <w:t>Bảng 2.</w:t>
      </w:r>
      <w:r>
        <w:rPr>
          <w:rFonts w:ascii="Times New Roman" w:hAnsi="Times New Roman" w:cs="Times New Roman"/>
          <w:b/>
          <w:bCs/>
          <w:sz w:val="26"/>
          <w:szCs w:val="26"/>
        </w:rPr>
        <w:t>9</w:t>
      </w:r>
      <w:r>
        <w:rPr>
          <w:rFonts w:ascii="Times New Roman" w:hAnsi="Times New Roman" w:cs="Times New Roman"/>
          <w:sz w:val="26"/>
          <w:szCs w:val="26"/>
        </w:rPr>
        <w:t xml:space="preserve"> </w:t>
      </w:r>
      <w:r>
        <w:rPr>
          <w:rFonts w:ascii="Times New Roman" w:hAnsi="Times New Roman" w:cs="Times New Roman"/>
          <w:b/>
          <w:bCs/>
          <w:sz w:val="26"/>
          <w:szCs w:val="26"/>
        </w:rPr>
        <w:t xml:space="preserve">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 xml:space="preserve">đối với khách hàng cá nhân theo loại tiền </w:t>
      </w:r>
      <w:r w:rsidRPr="00CB2764">
        <w:rPr>
          <w:rFonts w:ascii="Times New Roman" w:hAnsi="Times New Roman" w:cs="Times New Roman"/>
          <w:b/>
          <w:bCs/>
          <w:sz w:val="26"/>
          <w:szCs w:val="26"/>
        </w:rPr>
        <w:t>của Ngân hàng TMCP Nam Á – Chi nhánh Đà Nẵng – Phòng giao dịch Cẩm Lệ</w:t>
      </w:r>
      <w:r>
        <w:rPr>
          <w:rFonts w:ascii="Times New Roman" w:hAnsi="Times New Roman" w:cs="Times New Roman"/>
          <w:b/>
          <w:bCs/>
          <w:sz w:val="26"/>
          <w:szCs w:val="26"/>
        </w:rPr>
        <w:t xml:space="preserve"> </w:t>
      </w:r>
    </w:p>
    <w:p w14:paraId="36491951" w14:textId="77777777" w:rsidR="0042797D" w:rsidRPr="000A6D1F" w:rsidRDefault="0042797D" w:rsidP="0042797D">
      <w:pPr>
        <w:spacing w:before="240" w:after="0" w:line="360" w:lineRule="auto"/>
        <w:jc w:val="right"/>
        <w:rPr>
          <w:rFonts w:ascii="Times New Roman" w:hAnsi="Times New Roman" w:cs="Times New Roman"/>
          <w:i/>
          <w:iCs/>
          <w:sz w:val="26"/>
          <w:szCs w:val="26"/>
        </w:rPr>
      </w:pPr>
      <w:r w:rsidRPr="000A6D1F">
        <w:rPr>
          <w:rFonts w:ascii="Times New Roman" w:hAnsi="Times New Roman" w:cs="Times New Roman"/>
          <w:i/>
          <w:iCs/>
          <w:sz w:val="26"/>
          <w:szCs w:val="26"/>
        </w:rPr>
        <w:t>Đvt: triệu đồng</w:t>
      </w:r>
    </w:p>
    <w:tbl>
      <w:tblPr>
        <w:tblW w:w="10594" w:type="dxa"/>
        <w:tblLayout w:type="fixed"/>
        <w:tblLook w:val="04A0" w:firstRow="1" w:lastRow="0" w:firstColumn="1" w:lastColumn="0" w:noHBand="0" w:noVBand="1"/>
      </w:tblPr>
      <w:tblGrid>
        <w:gridCol w:w="1317"/>
        <w:gridCol w:w="985"/>
        <w:gridCol w:w="905"/>
        <w:gridCol w:w="1039"/>
        <w:gridCol w:w="811"/>
        <w:gridCol w:w="247"/>
        <w:gridCol w:w="1115"/>
        <w:gridCol w:w="850"/>
        <w:gridCol w:w="842"/>
        <w:gridCol w:w="770"/>
        <w:gridCol w:w="946"/>
        <w:gridCol w:w="767"/>
      </w:tblGrid>
      <w:tr w:rsidR="0042797D" w:rsidRPr="00C95252" w14:paraId="286BCFB4" w14:textId="77777777" w:rsidTr="002F73B2">
        <w:trPr>
          <w:trHeight w:val="189"/>
        </w:trPr>
        <w:tc>
          <w:tcPr>
            <w:tcW w:w="1317" w:type="dxa"/>
            <w:vMerge w:val="restart"/>
            <w:tcBorders>
              <w:top w:val="single" w:sz="4" w:space="0" w:color="auto"/>
              <w:left w:val="single" w:sz="4" w:space="0" w:color="auto"/>
              <w:bottom w:val="single" w:sz="4" w:space="0" w:color="000000"/>
              <w:right w:val="single" w:sz="4" w:space="0" w:color="auto"/>
            </w:tcBorders>
            <w:noWrap/>
            <w:vAlign w:val="center"/>
            <w:hideMark/>
          </w:tcPr>
          <w:p w14:paraId="2D5CF6EB"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Chỉ tiêu</w:t>
            </w:r>
          </w:p>
        </w:tc>
        <w:tc>
          <w:tcPr>
            <w:tcW w:w="1890" w:type="dxa"/>
            <w:gridSpan w:val="2"/>
            <w:tcBorders>
              <w:top w:val="single" w:sz="4" w:space="0" w:color="auto"/>
              <w:left w:val="nil"/>
              <w:bottom w:val="single" w:sz="4" w:space="0" w:color="auto"/>
              <w:right w:val="single" w:sz="4" w:space="0" w:color="000000"/>
            </w:tcBorders>
            <w:noWrap/>
            <w:vAlign w:val="bottom"/>
            <w:hideMark/>
          </w:tcPr>
          <w:p w14:paraId="62795B94"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2023</w:t>
            </w:r>
          </w:p>
        </w:tc>
        <w:tc>
          <w:tcPr>
            <w:tcW w:w="1850" w:type="dxa"/>
            <w:gridSpan w:val="2"/>
            <w:tcBorders>
              <w:top w:val="single" w:sz="4" w:space="0" w:color="auto"/>
              <w:left w:val="nil"/>
              <w:bottom w:val="single" w:sz="4" w:space="0" w:color="auto"/>
              <w:right w:val="single" w:sz="4" w:space="0" w:color="000000"/>
            </w:tcBorders>
            <w:noWrap/>
            <w:vAlign w:val="bottom"/>
            <w:hideMark/>
          </w:tcPr>
          <w:p w14:paraId="64BB1E2C"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2024</w:t>
            </w:r>
          </w:p>
        </w:tc>
        <w:tc>
          <w:tcPr>
            <w:tcW w:w="247" w:type="dxa"/>
            <w:tcBorders>
              <w:top w:val="single" w:sz="4" w:space="0" w:color="auto"/>
              <w:left w:val="nil"/>
              <w:bottom w:val="single" w:sz="4" w:space="0" w:color="auto"/>
              <w:right w:val="nil"/>
            </w:tcBorders>
          </w:tcPr>
          <w:p w14:paraId="79815CEA"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p>
        </w:tc>
        <w:tc>
          <w:tcPr>
            <w:tcW w:w="1965" w:type="dxa"/>
            <w:gridSpan w:val="2"/>
            <w:tcBorders>
              <w:top w:val="single" w:sz="4" w:space="0" w:color="auto"/>
              <w:left w:val="nil"/>
              <w:bottom w:val="single" w:sz="4" w:space="0" w:color="auto"/>
              <w:right w:val="single" w:sz="4" w:space="0" w:color="000000"/>
            </w:tcBorders>
            <w:noWrap/>
            <w:vAlign w:val="bottom"/>
            <w:hideMark/>
          </w:tcPr>
          <w:p w14:paraId="72D68287"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2025</w:t>
            </w:r>
          </w:p>
        </w:tc>
        <w:tc>
          <w:tcPr>
            <w:tcW w:w="1612" w:type="dxa"/>
            <w:gridSpan w:val="2"/>
            <w:tcBorders>
              <w:top w:val="single" w:sz="4" w:space="0" w:color="auto"/>
              <w:left w:val="nil"/>
              <w:bottom w:val="single" w:sz="4" w:space="0" w:color="auto"/>
              <w:right w:val="single" w:sz="4" w:space="0" w:color="000000"/>
            </w:tcBorders>
            <w:noWrap/>
            <w:vAlign w:val="bottom"/>
            <w:hideMark/>
          </w:tcPr>
          <w:p w14:paraId="2A5A6942"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Chênh lệch 2024/2023</w:t>
            </w:r>
          </w:p>
        </w:tc>
        <w:tc>
          <w:tcPr>
            <w:tcW w:w="1713" w:type="dxa"/>
            <w:gridSpan w:val="2"/>
            <w:tcBorders>
              <w:top w:val="single" w:sz="4" w:space="0" w:color="auto"/>
              <w:left w:val="nil"/>
              <w:bottom w:val="single" w:sz="4" w:space="0" w:color="auto"/>
              <w:right w:val="single" w:sz="4" w:space="0" w:color="000000"/>
            </w:tcBorders>
            <w:noWrap/>
            <w:vAlign w:val="bottom"/>
            <w:hideMark/>
          </w:tcPr>
          <w:p w14:paraId="6984D853"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Chênh lệch 2025/2024</w:t>
            </w:r>
          </w:p>
        </w:tc>
      </w:tr>
      <w:tr w:rsidR="0042797D" w:rsidRPr="00C95252" w14:paraId="1D4586C3" w14:textId="77777777" w:rsidTr="002F73B2">
        <w:trPr>
          <w:trHeight w:val="738"/>
        </w:trPr>
        <w:tc>
          <w:tcPr>
            <w:tcW w:w="1317" w:type="dxa"/>
            <w:vMerge/>
            <w:tcBorders>
              <w:top w:val="single" w:sz="4" w:space="0" w:color="auto"/>
              <w:left w:val="single" w:sz="4" w:space="0" w:color="auto"/>
              <w:bottom w:val="single" w:sz="4" w:space="0" w:color="000000"/>
              <w:right w:val="single" w:sz="4" w:space="0" w:color="auto"/>
            </w:tcBorders>
            <w:vAlign w:val="center"/>
            <w:hideMark/>
          </w:tcPr>
          <w:p w14:paraId="4B0C0747" w14:textId="77777777" w:rsidR="0042797D" w:rsidRPr="00C95252" w:rsidRDefault="0042797D" w:rsidP="002F73B2">
            <w:pPr>
              <w:spacing w:after="0" w:line="240" w:lineRule="auto"/>
              <w:rPr>
                <w:rFonts w:ascii="Times New Roman" w:eastAsia="Times New Roman" w:hAnsi="Times New Roman" w:cs="Times New Roman"/>
                <w:b/>
                <w:bCs/>
                <w:color w:val="000000"/>
                <w:kern w:val="0"/>
                <w14:ligatures w14:val="none"/>
              </w:rPr>
            </w:pPr>
          </w:p>
        </w:tc>
        <w:tc>
          <w:tcPr>
            <w:tcW w:w="985" w:type="dxa"/>
            <w:tcBorders>
              <w:top w:val="nil"/>
              <w:left w:val="nil"/>
              <w:bottom w:val="single" w:sz="4" w:space="0" w:color="auto"/>
              <w:right w:val="single" w:sz="4" w:space="0" w:color="auto"/>
            </w:tcBorders>
            <w:noWrap/>
            <w:vAlign w:val="bottom"/>
            <w:hideMark/>
          </w:tcPr>
          <w:p w14:paraId="2780154C"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Số tiền</w:t>
            </w:r>
          </w:p>
        </w:tc>
        <w:tc>
          <w:tcPr>
            <w:tcW w:w="904" w:type="dxa"/>
            <w:tcBorders>
              <w:top w:val="nil"/>
              <w:left w:val="nil"/>
              <w:bottom w:val="single" w:sz="4" w:space="0" w:color="auto"/>
              <w:right w:val="single" w:sz="4" w:space="0" w:color="auto"/>
            </w:tcBorders>
            <w:noWrap/>
            <w:vAlign w:val="bottom"/>
            <w:hideMark/>
          </w:tcPr>
          <w:p w14:paraId="77BDCAAA"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Tỷ trọng</w:t>
            </w:r>
          </w:p>
        </w:tc>
        <w:tc>
          <w:tcPr>
            <w:tcW w:w="1039" w:type="dxa"/>
            <w:tcBorders>
              <w:top w:val="nil"/>
              <w:left w:val="nil"/>
              <w:bottom w:val="single" w:sz="4" w:space="0" w:color="auto"/>
              <w:right w:val="single" w:sz="4" w:space="0" w:color="auto"/>
            </w:tcBorders>
            <w:noWrap/>
            <w:vAlign w:val="bottom"/>
            <w:hideMark/>
          </w:tcPr>
          <w:p w14:paraId="4714D597"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Số tiền</w:t>
            </w:r>
          </w:p>
        </w:tc>
        <w:tc>
          <w:tcPr>
            <w:tcW w:w="810" w:type="dxa"/>
            <w:tcBorders>
              <w:top w:val="nil"/>
              <w:left w:val="nil"/>
              <w:bottom w:val="single" w:sz="4" w:space="0" w:color="auto"/>
              <w:right w:val="single" w:sz="4" w:space="0" w:color="auto"/>
            </w:tcBorders>
            <w:noWrap/>
            <w:vAlign w:val="bottom"/>
            <w:hideMark/>
          </w:tcPr>
          <w:p w14:paraId="0552E92F"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Tỷ trọng</w:t>
            </w:r>
          </w:p>
        </w:tc>
        <w:tc>
          <w:tcPr>
            <w:tcW w:w="247" w:type="dxa"/>
            <w:tcBorders>
              <w:top w:val="nil"/>
              <w:left w:val="nil"/>
              <w:bottom w:val="single" w:sz="4" w:space="0" w:color="auto"/>
              <w:right w:val="nil"/>
            </w:tcBorders>
          </w:tcPr>
          <w:p w14:paraId="58C8760E"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p>
        </w:tc>
        <w:tc>
          <w:tcPr>
            <w:tcW w:w="1115" w:type="dxa"/>
            <w:tcBorders>
              <w:top w:val="nil"/>
              <w:left w:val="nil"/>
              <w:bottom w:val="single" w:sz="4" w:space="0" w:color="auto"/>
              <w:right w:val="single" w:sz="4" w:space="0" w:color="auto"/>
            </w:tcBorders>
            <w:noWrap/>
            <w:vAlign w:val="bottom"/>
            <w:hideMark/>
          </w:tcPr>
          <w:p w14:paraId="1D65E9F4"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Số tiền</w:t>
            </w:r>
          </w:p>
        </w:tc>
        <w:tc>
          <w:tcPr>
            <w:tcW w:w="850" w:type="dxa"/>
            <w:tcBorders>
              <w:top w:val="nil"/>
              <w:left w:val="nil"/>
              <w:bottom w:val="single" w:sz="4" w:space="0" w:color="auto"/>
              <w:right w:val="single" w:sz="4" w:space="0" w:color="auto"/>
            </w:tcBorders>
            <w:noWrap/>
            <w:vAlign w:val="bottom"/>
            <w:hideMark/>
          </w:tcPr>
          <w:p w14:paraId="69CCFA93"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Tỷ trọng</w:t>
            </w:r>
          </w:p>
        </w:tc>
        <w:tc>
          <w:tcPr>
            <w:tcW w:w="842" w:type="dxa"/>
            <w:tcBorders>
              <w:top w:val="nil"/>
              <w:left w:val="nil"/>
              <w:bottom w:val="single" w:sz="4" w:space="0" w:color="auto"/>
              <w:right w:val="single" w:sz="4" w:space="0" w:color="auto"/>
            </w:tcBorders>
            <w:noWrap/>
            <w:vAlign w:val="bottom"/>
            <w:hideMark/>
          </w:tcPr>
          <w:p w14:paraId="77B5B76F"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Số tiền</w:t>
            </w:r>
          </w:p>
        </w:tc>
        <w:tc>
          <w:tcPr>
            <w:tcW w:w="770" w:type="dxa"/>
            <w:tcBorders>
              <w:top w:val="nil"/>
              <w:left w:val="nil"/>
              <w:bottom w:val="single" w:sz="4" w:space="0" w:color="auto"/>
              <w:right w:val="single" w:sz="4" w:space="0" w:color="auto"/>
            </w:tcBorders>
            <w:noWrap/>
            <w:vAlign w:val="bottom"/>
            <w:hideMark/>
          </w:tcPr>
          <w:p w14:paraId="114B1BF5"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Tỷ lệ</w:t>
            </w:r>
          </w:p>
        </w:tc>
        <w:tc>
          <w:tcPr>
            <w:tcW w:w="946" w:type="dxa"/>
            <w:tcBorders>
              <w:top w:val="nil"/>
              <w:left w:val="nil"/>
              <w:bottom w:val="single" w:sz="4" w:space="0" w:color="auto"/>
              <w:right w:val="single" w:sz="4" w:space="0" w:color="auto"/>
            </w:tcBorders>
            <w:noWrap/>
            <w:vAlign w:val="bottom"/>
            <w:hideMark/>
          </w:tcPr>
          <w:p w14:paraId="097C3896"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Số tiền</w:t>
            </w:r>
          </w:p>
        </w:tc>
        <w:tc>
          <w:tcPr>
            <w:tcW w:w="767" w:type="dxa"/>
            <w:tcBorders>
              <w:top w:val="nil"/>
              <w:left w:val="nil"/>
              <w:bottom w:val="single" w:sz="4" w:space="0" w:color="auto"/>
              <w:right w:val="single" w:sz="4" w:space="0" w:color="auto"/>
            </w:tcBorders>
            <w:noWrap/>
            <w:vAlign w:val="bottom"/>
            <w:hideMark/>
          </w:tcPr>
          <w:p w14:paraId="7D9376E7"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14:ligatures w14:val="none"/>
              </w:rPr>
            </w:pPr>
            <w:r w:rsidRPr="00C95252">
              <w:rPr>
                <w:rFonts w:ascii="Times New Roman" w:eastAsia="Times New Roman" w:hAnsi="Times New Roman" w:cs="Times New Roman"/>
                <w:b/>
                <w:bCs/>
                <w:color w:val="000000"/>
                <w:kern w:val="0"/>
                <w14:ligatures w14:val="none"/>
              </w:rPr>
              <w:t>Tỷ lệ</w:t>
            </w:r>
          </w:p>
        </w:tc>
      </w:tr>
      <w:tr w:rsidR="0042797D" w:rsidRPr="00C95252" w14:paraId="67E59B16" w14:textId="77777777" w:rsidTr="002F73B2">
        <w:trPr>
          <w:trHeight w:val="950"/>
        </w:trPr>
        <w:tc>
          <w:tcPr>
            <w:tcW w:w="1317" w:type="dxa"/>
            <w:tcBorders>
              <w:top w:val="nil"/>
              <w:left w:val="single" w:sz="4" w:space="0" w:color="auto"/>
              <w:bottom w:val="single" w:sz="4" w:space="0" w:color="auto"/>
              <w:right w:val="single" w:sz="4" w:space="0" w:color="auto"/>
            </w:tcBorders>
            <w:vAlign w:val="center"/>
            <w:hideMark/>
          </w:tcPr>
          <w:p w14:paraId="0F4FB0A6" w14:textId="77777777" w:rsidR="0042797D" w:rsidRPr="00C95252" w:rsidRDefault="0042797D" w:rsidP="002F73B2">
            <w:pPr>
              <w:spacing w:after="0" w:line="240" w:lineRule="auto"/>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Nguồn vốn huy động từ KHCN</w:t>
            </w:r>
          </w:p>
        </w:tc>
        <w:tc>
          <w:tcPr>
            <w:tcW w:w="985" w:type="dxa"/>
            <w:tcBorders>
              <w:top w:val="nil"/>
              <w:left w:val="nil"/>
              <w:bottom w:val="single" w:sz="4" w:space="0" w:color="auto"/>
              <w:right w:val="single" w:sz="4" w:space="0" w:color="auto"/>
            </w:tcBorders>
            <w:vAlign w:val="center"/>
            <w:hideMark/>
          </w:tcPr>
          <w:p w14:paraId="7F38808E"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492.484</w:t>
            </w:r>
          </w:p>
        </w:tc>
        <w:tc>
          <w:tcPr>
            <w:tcW w:w="904" w:type="dxa"/>
            <w:tcBorders>
              <w:top w:val="nil"/>
              <w:left w:val="nil"/>
              <w:bottom w:val="single" w:sz="4" w:space="0" w:color="auto"/>
              <w:right w:val="single" w:sz="4" w:space="0" w:color="auto"/>
            </w:tcBorders>
            <w:vAlign w:val="center"/>
            <w:hideMark/>
          </w:tcPr>
          <w:p w14:paraId="35A8C6E4"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100</w:t>
            </w:r>
          </w:p>
        </w:tc>
        <w:tc>
          <w:tcPr>
            <w:tcW w:w="1039" w:type="dxa"/>
            <w:tcBorders>
              <w:top w:val="nil"/>
              <w:left w:val="nil"/>
              <w:bottom w:val="single" w:sz="4" w:space="0" w:color="auto"/>
              <w:right w:val="single" w:sz="4" w:space="0" w:color="auto"/>
            </w:tcBorders>
            <w:noWrap/>
            <w:vAlign w:val="center"/>
            <w:hideMark/>
          </w:tcPr>
          <w:p w14:paraId="26E2E3AF"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532.347</w:t>
            </w:r>
          </w:p>
        </w:tc>
        <w:tc>
          <w:tcPr>
            <w:tcW w:w="810" w:type="dxa"/>
            <w:tcBorders>
              <w:top w:val="nil"/>
              <w:left w:val="nil"/>
              <w:bottom w:val="single" w:sz="4" w:space="0" w:color="auto"/>
              <w:right w:val="single" w:sz="4" w:space="0" w:color="auto"/>
            </w:tcBorders>
            <w:noWrap/>
            <w:vAlign w:val="center"/>
            <w:hideMark/>
          </w:tcPr>
          <w:p w14:paraId="694575A8"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100</w:t>
            </w:r>
          </w:p>
        </w:tc>
        <w:tc>
          <w:tcPr>
            <w:tcW w:w="247" w:type="dxa"/>
            <w:tcBorders>
              <w:top w:val="nil"/>
              <w:left w:val="nil"/>
              <w:bottom w:val="single" w:sz="4" w:space="0" w:color="auto"/>
              <w:right w:val="nil"/>
            </w:tcBorders>
          </w:tcPr>
          <w:p w14:paraId="28BF9A01"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p>
        </w:tc>
        <w:tc>
          <w:tcPr>
            <w:tcW w:w="1115" w:type="dxa"/>
            <w:tcBorders>
              <w:top w:val="nil"/>
              <w:left w:val="nil"/>
              <w:bottom w:val="single" w:sz="4" w:space="0" w:color="auto"/>
              <w:right w:val="single" w:sz="4" w:space="0" w:color="auto"/>
            </w:tcBorders>
            <w:noWrap/>
            <w:vAlign w:val="center"/>
            <w:hideMark/>
          </w:tcPr>
          <w:p w14:paraId="5983E863"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596.252</w:t>
            </w:r>
          </w:p>
        </w:tc>
        <w:tc>
          <w:tcPr>
            <w:tcW w:w="850" w:type="dxa"/>
            <w:tcBorders>
              <w:top w:val="nil"/>
              <w:left w:val="nil"/>
              <w:bottom w:val="single" w:sz="4" w:space="0" w:color="auto"/>
              <w:right w:val="single" w:sz="4" w:space="0" w:color="auto"/>
            </w:tcBorders>
            <w:noWrap/>
            <w:vAlign w:val="center"/>
            <w:hideMark/>
          </w:tcPr>
          <w:p w14:paraId="3476F781"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100</w:t>
            </w:r>
          </w:p>
        </w:tc>
        <w:tc>
          <w:tcPr>
            <w:tcW w:w="842" w:type="dxa"/>
            <w:tcBorders>
              <w:top w:val="nil"/>
              <w:left w:val="nil"/>
              <w:bottom w:val="single" w:sz="4" w:space="0" w:color="auto"/>
              <w:right w:val="single" w:sz="4" w:space="0" w:color="auto"/>
            </w:tcBorders>
            <w:noWrap/>
            <w:vAlign w:val="center"/>
            <w:hideMark/>
          </w:tcPr>
          <w:p w14:paraId="5301EC06"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39.863</w:t>
            </w:r>
          </w:p>
        </w:tc>
        <w:tc>
          <w:tcPr>
            <w:tcW w:w="770" w:type="dxa"/>
            <w:tcBorders>
              <w:top w:val="nil"/>
              <w:left w:val="nil"/>
              <w:bottom w:val="single" w:sz="4" w:space="0" w:color="auto"/>
              <w:right w:val="single" w:sz="4" w:space="0" w:color="auto"/>
            </w:tcBorders>
            <w:noWrap/>
            <w:vAlign w:val="center"/>
            <w:hideMark/>
          </w:tcPr>
          <w:p w14:paraId="0BC88C0F"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8.09</w:t>
            </w:r>
          </w:p>
        </w:tc>
        <w:tc>
          <w:tcPr>
            <w:tcW w:w="946" w:type="dxa"/>
            <w:tcBorders>
              <w:top w:val="nil"/>
              <w:left w:val="nil"/>
              <w:bottom w:val="single" w:sz="4" w:space="0" w:color="auto"/>
              <w:right w:val="single" w:sz="4" w:space="0" w:color="auto"/>
            </w:tcBorders>
            <w:noWrap/>
            <w:vAlign w:val="center"/>
            <w:hideMark/>
          </w:tcPr>
          <w:p w14:paraId="27B1C1D0"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63.905</w:t>
            </w:r>
          </w:p>
        </w:tc>
        <w:tc>
          <w:tcPr>
            <w:tcW w:w="767" w:type="dxa"/>
            <w:tcBorders>
              <w:top w:val="nil"/>
              <w:left w:val="nil"/>
              <w:bottom w:val="single" w:sz="4" w:space="0" w:color="auto"/>
              <w:right w:val="single" w:sz="4" w:space="0" w:color="auto"/>
            </w:tcBorders>
            <w:noWrap/>
            <w:vAlign w:val="center"/>
            <w:hideMark/>
          </w:tcPr>
          <w:p w14:paraId="69652266" w14:textId="77777777" w:rsidR="0042797D" w:rsidRPr="00C95252" w:rsidRDefault="0042797D" w:rsidP="002F73B2">
            <w:pPr>
              <w:spacing w:after="0" w:line="240" w:lineRule="auto"/>
              <w:jc w:val="center"/>
              <w:rPr>
                <w:rFonts w:ascii="Times New Roman" w:eastAsia="Times New Roman" w:hAnsi="Times New Roman" w:cs="Times New Roman"/>
                <w:b/>
                <w:bCs/>
                <w:color w:val="000000"/>
                <w:kern w:val="0"/>
                <w:sz w:val="22"/>
                <w:szCs w:val="22"/>
                <w14:ligatures w14:val="none"/>
              </w:rPr>
            </w:pPr>
            <w:r w:rsidRPr="00C95252">
              <w:rPr>
                <w:rFonts w:ascii="Times New Roman" w:eastAsia="Times New Roman" w:hAnsi="Times New Roman" w:cs="Times New Roman"/>
                <w:b/>
                <w:bCs/>
                <w:color w:val="000000"/>
                <w:kern w:val="0"/>
                <w:sz w:val="22"/>
                <w:szCs w:val="22"/>
                <w14:ligatures w14:val="none"/>
              </w:rPr>
              <w:t>12.00</w:t>
            </w:r>
          </w:p>
        </w:tc>
      </w:tr>
    </w:tbl>
    <w:tbl>
      <w:tblPr>
        <w:tblW w:w="10548" w:type="dxa"/>
        <w:tblLook w:val="04A0" w:firstRow="1" w:lastRow="0" w:firstColumn="1" w:lastColumn="0" w:noHBand="0" w:noVBand="1"/>
      </w:tblPr>
      <w:tblGrid>
        <w:gridCol w:w="1345"/>
        <w:gridCol w:w="990"/>
        <w:gridCol w:w="900"/>
        <w:gridCol w:w="990"/>
        <w:gridCol w:w="815"/>
        <w:gridCol w:w="1350"/>
        <w:gridCol w:w="900"/>
        <w:gridCol w:w="830"/>
        <w:gridCol w:w="810"/>
        <w:gridCol w:w="900"/>
        <w:gridCol w:w="718"/>
      </w:tblGrid>
      <w:tr w:rsidR="0042797D" w:rsidRPr="0044684F" w14:paraId="18551015" w14:textId="77777777" w:rsidTr="002F73B2">
        <w:trPr>
          <w:trHeight w:val="359"/>
        </w:trPr>
        <w:tc>
          <w:tcPr>
            <w:tcW w:w="1345" w:type="dxa"/>
            <w:tcBorders>
              <w:top w:val="nil"/>
              <w:left w:val="single" w:sz="4" w:space="0" w:color="auto"/>
              <w:bottom w:val="single" w:sz="4" w:space="0" w:color="auto"/>
              <w:right w:val="single" w:sz="4" w:space="0" w:color="auto"/>
            </w:tcBorders>
            <w:noWrap/>
            <w:vAlign w:val="center"/>
            <w:hideMark/>
          </w:tcPr>
          <w:p w14:paraId="6E7B9ABE" w14:textId="77777777" w:rsidR="0042797D" w:rsidRPr="0044684F"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Nội tệ</w:t>
            </w:r>
          </w:p>
        </w:tc>
        <w:tc>
          <w:tcPr>
            <w:tcW w:w="990" w:type="dxa"/>
            <w:tcBorders>
              <w:top w:val="nil"/>
              <w:left w:val="nil"/>
              <w:bottom w:val="single" w:sz="4" w:space="0" w:color="auto"/>
              <w:right w:val="single" w:sz="4" w:space="0" w:color="auto"/>
            </w:tcBorders>
            <w:noWrap/>
            <w:vAlign w:val="center"/>
            <w:hideMark/>
          </w:tcPr>
          <w:p w14:paraId="16EC5F9D"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457.013</w:t>
            </w:r>
          </w:p>
        </w:tc>
        <w:tc>
          <w:tcPr>
            <w:tcW w:w="900" w:type="dxa"/>
            <w:tcBorders>
              <w:top w:val="nil"/>
              <w:left w:val="nil"/>
              <w:bottom w:val="single" w:sz="4" w:space="0" w:color="auto"/>
              <w:right w:val="single" w:sz="4" w:space="0" w:color="auto"/>
            </w:tcBorders>
            <w:noWrap/>
            <w:vAlign w:val="center"/>
            <w:hideMark/>
          </w:tcPr>
          <w:p w14:paraId="051CD5CB"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92.80</w:t>
            </w:r>
          </w:p>
        </w:tc>
        <w:tc>
          <w:tcPr>
            <w:tcW w:w="990" w:type="dxa"/>
            <w:tcBorders>
              <w:top w:val="nil"/>
              <w:left w:val="nil"/>
              <w:bottom w:val="single" w:sz="4" w:space="0" w:color="auto"/>
              <w:right w:val="single" w:sz="4" w:space="0" w:color="auto"/>
            </w:tcBorders>
            <w:noWrap/>
            <w:vAlign w:val="center"/>
            <w:hideMark/>
          </w:tcPr>
          <w:p w14:paraId="3E42725C"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489.694</w:t>
            </w:r>
          </w:p>
        </w:tc>
        <w:tc>
          <w:tcPr>
            <w:tcW w:w="815" w:type="dxa"/>
            <w:tcBorders>
              <w:top w:val="nil"/>
              <w:left w:val="nil"/>
              <w:bottom w:val="single" w:sz="4" w:space="0" w:color="auto"/>
              <w:right w:val="single" w:sz="4" w:space="0" w:color="auto"/>
            </w:tcBorders>
            <w:noWrap/>
            <w:vAlign w:val="center"/>
            <w:hideMark/>
          </w:tcPr>
          <w:p w14:paraId="162A144F"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91.99</w:t>
            </w:r>
          </w:p>
        </w:tc>
        <w:tc>
          <w:tcPr>
            <w:tcW w:w="1350" w:type="dxa"/>
            <w:tcBorders>
              <w:top w:val="nil"/>
              <w:left w:val="nil"/>
              <w:bottom w:val="single" w:sz="4" w:space="0" w:color="auto"/>
              <w:right w:val="single" w:sz="4" w:space="0" w:color="auto"/>
            </w:tcBorders>
            <w:noWrap/>
            <w:vAlign w:val="center"/>
            <w:hideMark/>
          </w:tcPr>
          <w:p w14:paraId="6759C8DA"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546.731</w:t>
            </w:r>
          </w:p>
        </w:tc>
        <w:tc>
          <w:tcPr>
            <w:tcW w:w="900" w:type="dxa"/>
            <w:tcBorders>
              <w:top w:val="nil"/>
              <w:left w:val="nil"/>
              <w:bottom w:val="single" w:sz="4" w:space="0" w:color="auto"/>
              <w:right w:val="single" w:sz="4" w:space="0" w:color="auto"/>
            </w:tcBorders>
            <w:noWrap/>
            <w:vAlign w:val="center"/>
            <w:hideMark/>
          </w:tcPr>
          <w:p w14:paraId="7A7B4F33"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91.69</w:t>
            </w:r>
          </w:p>
        </w:tc>
        <w:tc>
          <w:tcPr>
            <w:tcW w:w="830" w:type="dxa"/>
            <w:tcBorders>
              <w:top w:val="nil"/>
              <w:left w:val="nil"/>
              <w:bottom w:val="single" w:sz="4" w:space="0" w:color="auto"/>
              <w:right w:val="single" w:sz="4" w:space="0" w:color="auto"/>
            </w:tcBorders>
            <w:noWrap/>
            <w:vAlign w:val="center"/>
            <w:hideMark/>
          </w:tcPr>
          <w:p w14:paraId="679A48F7"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32.681</w:t>
            </w:r>
          </w:p>
        </w:tc>
        <w:tc>
          <w:tcPr>
            <w:tcW w:w="810" w:type="dxa"/>
            <w:tcBorders>
              <w:top w:val="nil"/>
              <w:left w:val="nil"/>
              <w:bottom w:val="single" w:sz="4" w:space="0" w:color="auto"/>
              <w:right w:val="single" w:sz="4" w:space="0" w:color="auto"/>
            </w:tcBorders>
            <w:noWrap/>
            <w:vAlign w:val="center"/>
            <w:hideMark/>
          </w:tcPr>
          <w:p w14:paraId="24EE2C3C"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7.15</w:t>
            </w:r>
          </w:p>
        </w:tc>
        <w:tc>
          <w:tcPr>
            <w:tcW w:w="900" w:type="dxa"/>
            <w:tcBorders>
              <w:top w:val="nil"/>
              <w:left w:val="nil"/>
              <w:bottom w:val="single" w:sz="4" w:space="0" w:color="auto"/>
              <w:right w:val="single" w:sz="4" w:space="0" w:color="auto"/>
            </w:tcBorders>
            <w:noWrap/>
            <w:vAlign w:val="center"/>
            <w:hideMark/>
          </w:tcPr>
          <w:p w14:paraId="6023C0FA"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57.037</w:t>
            </w:r>
          </w:p>
        </w:tc>
        <w:tc>
          <w:tcPr>
            <w:tcW w:w="718" w:type="dxa"/>
            <w:tcBorders>
              <w:top w:val="nil"/>
              <w:left w:val="nil"/>
              <w:bottom w:val="single" w:sz="4" w:space="0" w:color="auto"/>
              <w:right w:val="single" w:sz="4" w:space="0" w:color="auto"/>
            </w:tcBorders>
            <w:noWrap/>
            <w:vAlign w:val="center"/>
            <w:hideMark/>
          </w:tcPr>
          <w:p w14:paraId="56AF2616"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11.65</w:t>
            </w:r>
          </w:p>
        </w:tc>
      </w:tr>
      <w:tr w:rsidR="0042797D" w:rsidRPr="0044684F" w14:paraId="5677C867" w14:textId="77777777" w:rsidTr="002F73B2">
        <w:trPr>
          <w:trHeight w:val="359"/>
        </w:trPr>
        <w:tc>
          <w:tcPr>
            <w:tcW w:w="1345" w:type="dxa"/>
            <w:tcBorders>
              <w:top w:val="nil"/>
              <w:left w:val="single" w:sz="4" w:space="0" w:color="auto"/>
              <w:bottom w:val="single" w:sz="4" w:space="0" w:color="auto"/>
              <w:right w:val="single" w:sz="4" w:space="0" w:color="auto"/>
            </w:tcBorders>
            <w:noWrap/>
            <w:vAlign w:val="bottom"/>
            <w:hideMark/>
          </w:tcPr>
          <w:p w14:paraId="1256B34C" w14:textId="77777777" w:rsidR="0042797D" w:rsidRPr="0044684F" w:rsidRDefault="0042797D" w:rsidP="002F73B2">
            <w:pPr>
              <w:spacing w:after="0" w:line="240" w:lineRule="auto"/>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Ngoại tệ</w:t>
            </w:r>
          </w:p>
        </w:tc>
        <w:tc>
          <w:tcPr>
            <w:tcW w:w="990" w:type="dxa"/>
            <w:tcBorders>
              <w:top w:val="nil"/>
              <w:left w:val="nil"/>
              <w:bottom w:val="single" w:sz="4" w:space="0" w:color="auto"/>
              <w:right w:val="single" w:sz="4" w:space="0" w:color="auto"/>
            </w:tcBorders>
            <w:noWrap/>
            <w:vAlign w:val="center"/>
            <w:hideMark/>
          </w:tcPr>
          <w:p w14:paraId="232930E5"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35.471</w:t>
            </w:r>
          </w:p>
        </w:tc>
        <w:tc>
          <w:tcPr>
            <w:tcW w:w="900" w:type="dxa"/>
            <w:tcBorders>
              <w:top w:val="nil"/>
              <w:left w:val="nil"/>
              <w:bottom w:val="single" w:sz="4" w:space="0" w:color="auto"/>
              <w:right w:val="single" w:sz="4" w:space="0" w:color="auto"/>
            </w:tcBorders>
            <w:noWrap/>
            <w:vAlign w:val="center"/>
            <w:hideMark/>
          </w:tcPr>
          <w:p w14:paraId="7E458333"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7.20</w:t>
            </w:r>
          </w:p>
        </w:tc>
        <w:tc>
          <w:tcPr>
            <w:tcW w:w="990" w:type="dxa"/>
            <w:tcBorders>
              <w:top w:val="nil"/>
              <w:left w:val="nil"/>
              <w:bottom w:val="single" w:sz="4" w:space="0" w:color="auto"/>
              <w:right w:val="single" w:sz="4" w:space="0" w:color="auto"/>
            </w:tcBorders>
            <w:noWrap/>
            <w:vAlign w:val="center"/>
            <w:hideMark/>
          </w:tcPr>
          <w:p w14:paraId="4BC73CB4"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42.653</w:t>
            </w:r>
          </w:p>
        </w:tc>
        <w:tc>
          <w:tcPr>
            <w:tcW w:w="815" w:type="dxa"/>
            <w:tcBorders>
              <w:top w:val="nil"/>
              <w:left w:val="nil"/>
              <w:bottom w:val="single" w:sz="4" w:space="0" w:color="auto"/>
              <w:right w:val="single" w:sz="4" w:space="0" w:color="auto"/>
            </w:tcBorders>
            <w:noWrap/>
            <w:vAlign w:val="center"/>
            <w:hideMark/>
          </w:tcPr>
          <w:p w14:paraId="3570A4ED" w14:textId="77777777" w:rsidR="0042797D" w:rsidRPr="0044684F" w:rsidRDefault="0042797D" w:rsidP="002F73B2">
            <w:pPr>
              <w:spacing w:after="0" w:line="240" w:lineRule="auto"/>
              <w:jc w:val="center"/>
              <w:rPr>
                <w:rFonts w:ascii="Times New Roman" w:eastAsia="Times New Roman" w:hAnsi="Times New Roman" w:cs="Times New Roman"/>
                <w:color w:val="000000"/>
                <w:kern w:val="0"/>
                <w:sz w:val="22"/>
                <w:szCs w:val="22"/>
                <w14:ligatures w14:val="none"/>
              </w:rPr>
            </w:pPr>
            <w:r w:rsidRPr="0044684F">
              <w:rPr>
                <w:rFonts w:ascii="Times New Roman" w:eastAsia="Times New Roman" w:hAnsi="Times New Roman" w:cs="Times New Roman"/>
                <w:color w:val="000000"/>
                <w:kern w:val="0"/>
                <w:sz w:val="22"/>
                <w:szCs w:val="22"/>
                <w14:ligatures w14:val="none"/>
              </w:rPr>
              <w:t>8.01</w:t>
            </w:r>
          </w:p>
        </w:tc>
        <w:tc>
          <w:tcPr>
            <w:tcW w:w="1350" w:type="dxa"/>
            <w:tcBorders>
              <w:top w:val="nil"/>
              <w:left w:val="nil"/>
              <w:bottom w:val="single" w:sz="4" w:space="0" w:color="auto"/>
              <w:right w:val="single" w:sz="4" w:space="0" w:color="auto"/>
            </w:tcBorders>
            <w:noWrap/>
            <w:vAlign w:val="center"/>
            <w:hideMark/>
          </w:tcPr>
          <w:p w14:paraId="3D73E247"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49.521</w:t>
            </w:r>
          </w:p>
        </w:tc>
        <w:tc>
          <w:tcPr>
            <w:tcW w:w="900" w:type="dxa"/>
            <w:tcBorders>
              <w:top w:val="nil"/>
              <w:left w:val="nil"/>
              <w:bottom w:val="single" w:sz="4" w:space="0" w:color="auto"/>
              <w:right w:val="single" w:sz="4" w:space="0" w:color="auto"/>
            </w:tcBorders>
            <w:noWrap/>
            <w:vAlign w:val="center"/>
            <w:hideMark/>
          </w:tcPr>
          <w:p w14:paraId="21BC90E4"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8.31</w:t>
            </w:r>
          </w:p>
        </w:tc>
        <w:tc>
          <w:tcPr>
            <w:tcW w:w="830" w:type="dxa"/>
            <w:tcBorders>
              <w:top w:val="nil"/>
              <w:left w:val="nil"/>
              <w:bottom w:val="single" w:sz="4" w:space="0" w:color="auto"/>
              <w:right w:val="single" w:sz="4" w:space="0" w:color="auto"/>
            </w:tcBorders>
            <w:noWrap/>
            <w:vAlign w:val="center"/>
            <w:hideMark/>
          </w:tcPr>
          <w:p w14:paraId="5A0F3F29"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7.182</w:t>
            </w:r>
          </w:p>
        </w:tc>
        <w:tc>
          <w:tcPr>
            <w:tcW w:w="810" w:type="dxa"/>
            <w:tcBorders>
              <w:top w:val="nil"/>
              <w:left w:val="nil"/>
              <w:bottom w:val="single" w:sz="4" w:space="0" w:color="auto"/>
              <w:right w:val="single" w:sz="4" w:space="0" w:color="auto"/>
            </w:tcBorders>
            <w:noWrap/>
            <w:vAlign w:val="center"/>
            <w:hideMark/>
          </w:tcPr>
          <w:p w14:paraId="15F6FAEA"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20.25</w:t>
            </w:r>
          </w:p>
        </w:tc>
        <w:tc>
          <w:tcPr>
            <w:tcW w:w="900" w:type="dxa"/>
            <w:tcBorders>
              <w:top w:val="nil"/>
              <w:left w:val="nil"/>
              <w:bottom w:val="single" w:sz="4" w:space="0" w:color="auto"/>
              <w:right w:val="single" w:sz="4" w:space="0" w:color="auto"/>
            </w:tcBorders>
            <w:noWrap/>
            <w:vAlign w:val="center"/>
            <w:hideMark/>
          </w:tcPr>
          <w:p w14:paraId="3F048F84"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6.868</w:t>
            </w:r>
          </w:p>
        </w:tc>
        <w:tc>
          <w:tcPr>
            <w:tcW w:w="718" w:type="dxa"/>
            <w:tcBorders>
              <w:top w:val="nil"/>
              <w:left w:val="nil"/>
              <w:bottom w:val="single" w:sz="4" w:space="0" w:color="auto"/>
              <w:right w:val="single" w:sz="4" w:space="0" w:color="auto"/>
            </w:tcBorders>
            <w:noWrap/>
            <w:vAlign w:val="center"/>
            <w:hideMark/>
          </w:tcPr>
          <w:p w14:paraId="2D0290BF" w14:textId="77777777" w:rsidR="0042797D" w:rsidRPr="0044684F" w:rsidRDefault="0042797D" w:rsidP="002F73B2">
            <w:pPr>
              <w:spacing w:after="0" w:line="240" w:lineRule="auto"/>
              <w:jc w:val="center"/>
              <w:rPr>
                <w:rFonts w:ascii="Calibri" w:eastAsia="Times New Roman" w:hAnsi="Calibri" w:cs="Calibri"/>
                <w:color w:val="000000"/>
                <w:kern w:val="0"/>
                <w:sz w:val="22"/>
                <w:szCs w:val="22"/>
                <w14:ligatures w14:val="none"/>
              </w:rPr>
            </w:pPr>
            <w:r w:rsidRPr="0044684F">
              <w:rPr>
                <w:rFonts w:ascii="Calibri" w:eastAsia="Times New Roman" w:hAnsi="Calibri" w:cs="Calibri"/>
                <w:color w:val="000000"/>
                <w:kern w:val="0"/>
                <w:sz w:val="22"/>
                <w:szCs w:val="22"/>
                <w14:ligatures w14:val="none"/>
              </w:rPr>
              <w:t>16.10</w:t>
            </w:r>
          </w:p>
        </w:tc>
      </w:tr>
    </w:tbl>
    <w:p w14:paraId="4C4FE92A" w14:textId="77777777" w:rsidR="0042797D" w:rsidRPr="004E6F30" w:rsidRDefault="0042797D" w:rsidP="0042797D">
      <w:pPr>
        <w:spacing w:line="360" w:lineRule="auto"/>
        <w:jc w:val="right"/>
        <w:rPr>
          <w:rFonts w:ascii="Times New Roman" w:hAnsi="Times New Roman" w:cs="Times New Roman"/>
          <w:i/>
          <w:iCs/>
          <w:sz w:val="26"/>
          <w:szCs w:val="26"/>
        </w:rPr>
      </w:pPr>
      <w:r w:rsidRPr="004E6F30">
        <w:rPr>
          <w:rFonts w:ascii="Times New Roman" w:hAnsi="Times New Roman" w:cs="Times New Roman"/>
          <w:i/>
          <w:iCs/>
          <w:sz w:val="26"/>
          <w:szCs w:val="26"/>
        </w:rPr>
        <w:t>(Nguồn: BCTC Ngân hàng TMCP Nam Á – Chi nhánh Đà Nẵng – PGD Cẩm Lệ)</w:t>
      </w:r>
    </w:p>
    <w:p w14:paraId="30B0D09E" w14:textId="77777777" w:rsidR="0042797D" w:rsidRPr="00B662CC" w:rsidRDefault="0042797D" w:rsidP="0042797D">
      <w:pPr>
        <w:spacing w:line="360" w:lineRule="auto"/>
        <w:jc w:val="both"/>
        <w:rPr>
          <w:rFonts w:ascii="Times New Roman" w:hAnsi="Times New Roman"/>
          <w:sz w:val="26"/>
          <w:szCs w:val="26"/>
        </w:rPr>
      </w:pPr>
      <w:r>
        <w:rPr>
          <w:rFonts w:ascii="Times New Roman" w:hAnsi="Times New Roman"/>
          <w:sz w:val="26"/>
          <w:szCs w:val="26"/>
        </w:rPr>
        <w:t xml:space="preserve">   Căn cứ vào Bảng 2.9, có thể thấy cơ cấu huy động vốn đối với khách hàng cá nhân tại Ngân hàng TMCP Nam Á – Chi nhánh Đà Nẵng – PGD Cẩm Lệ trong giai đoạn 2023–2025 vẫn tập trung chủ yếu vào nội tệ, trong khi ngoại tệ chỉ chiếm tỷ trọng nhỏ hơn. Tuy nhiên, cơ cấu này không hoàn toàn cố định mà đã có sự dịch chuyển nhẹ qua từng năm theo hướng giảm dần tỷ trọng nội tệ và tăng dần tỷ trọng ngoại tệ. Điều đó cho thấy khách hàng cá nhân tại PGD vẫn ưu tiên gửi tiền bằng đồng Việt Nam, nhưng đồng thời cũng bắt đầu quan tâm nhiều hơn đến việc nắm giữ ngoại tệ nhằm đa dạng hóa tài sản và đáp ứng </w:t>
      </w:r>
      <w:r>
        <w:rPr>
          <w:rFonts w:ascii="Times New Roman" w:hAnsi="Times New Roman"/>
          <w:sz w:val="26"/>
          <w:szCs w:val="26"/>
        </w:rPr>
        <w:lastRenderedPageBreak/>
        <w:t xml:space="preserve">các nhu cầu tài chính phát sinh trong bối cảnh thị trường có nhiều biến động. </w:t>
      </w:r>
      <w:r w:rsidRPr="00B662CC">
        <w:rPr>
          <w:rFonts w:ascii="Times New Roman" w:hAnsi="Times New Roman"/>
          <w:sz w:val="26"/>
          <w:szCs w:val="26"/>
        </w:rPr>
        <w:t>Để thuận tiện cho việc theo dõi và so sánh, số liệu được thể hiện lại qua biểu đồ dưới đây.</w:t>
      </w:r>
    </w:p>
    <w:p w14:paraId="0A400782" w14:textId="77777777" w:rsidR="0042797D" w:rsidRDefault="0042797D" w:rsidP="0042797D">
      <w:pPr>
        <w:spacing w:line="360" w:lineRule="auto"/>
        <w:jc w:val="both"/>
      </w:pPr>
      <w:r>
        <w:rPr>
          <w:noProof/>
        </w:rPr>
        <w:drawing>
          <wp:inline distT="0" distB="0" distL="0" distR="0" wp14:anchorId="3CF36C6C" wp14:editId="61934CB7">
            <wp:extent cx="5943600" cy="2971800"/>
            <wp:effectExtent l="0" t="0" r="0" b="0"/>
            <wp:docPr id="14961379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137925" name="Picture 149613792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556CABFD" w14:textId="77777777" w:rsidR="0042797D" w:rsidRDefault="0042797D" w:rsidP="0042797D">
      <w:pPr>
        <w:spacing w:line="360" w:lineRule="auto"/>
        <w:jc w:val="both"/>
      </w:pPr>
      <w:r>
        <w:rPr>
          <w:rFonts w:ascii="Times New Roman" w:hAnsi="Times New Roman" w:cs="Times New Roman"/>
          <w:b/>
          <w:bCs/>
          <w:sz w:val="26"/>
          <w:szCs w:val="26"/>
        </w:rPr>
        <w:t>Hình</w:t>
      </w:r>
      <w:r w:rsidRPr="00E91F56">
        <w:rPr>
          <w:rFonts w:ascii="Times New Roman" w:hAnsi="Times New Roman" w:cs="Times New Roman"/>
          <w:b/>
          <w:bCs/>
          <w:sz w:val="26"/>
          <w:szCs w:val="26"/>
        </w:rPr>
        <w:t xml:space="preserve"> 2.</w:t>
      </w:r>
      <w:r>
        <w:rPr>
          <w:rFonts w:ascii="Times New Roman" w:hAnsi="Times New Roman" w:cs="Times New Roman"/>
          <w:b/>
          <w:bCs/>
          <w:sz w:val="26"/>
          <w:szCs w:val="26"/>
        </w:rPr>
        <w:t>3</w:t>
      </w:r>
      <w:r>
        <w:rPr>
          <w:rFonts w:ascii="Times New Roman" w:hAnsi="Times New Roman" w:cs="Times New Roman"/>
          <w:sz w:val="26"/>
          <w:szCs w:val="26"/>
        </w:rPr>
        <w:t xml:space="preserve"> </w:t>
      </w:r>
      <w:r>
        <w:rPr>
          <w:rFonts w:ascii="Times New Roman" w:hAnsi="Times New Roman" w:cs="Times New Roman"/>
          <w:b/>
          <w:bCs/>
          <w:sz w:val="26"/>
          <w:szCs w:val="26"/>
        </w:rPr>
        <w:t xml:space="preserve">Cơ cấu </w:t>
      </w:r>
      <w:r w:rsidRPr="00CB2764">
        <w:rPr>
          <w:rFonts w:ascii="Times New Roman" w:hAnsi="Times New Roman" w:cs="Times New Roman"/>
          <w:b/>
          <w:bCs/>
          <w:sz w:val="26"/>
          <w:szCs w:val="26"/>
        </w:rPr>
        <w:t xml:space="preserve">huy động vốn </w:t>
      </w:r>
      <w:r>
        <w:rPr>
          <w:rFonts w:ascii="Times New Roman" w:hAnsi="Times New Roman" w:cs="Times New Roman"/>
          <w:b/>
          <w:bCs/>
          <w:sz w:val="26"/>
          <w:szCs w:val="26"/>
        </w:rPr>
        <w:t xml:space="preserve">đối với khách hàng cá nhân theo loại tiền </w:t>
      </w:r>
      <w:r w:rsidRPr="00CB2764">
        <w:rPr>
          <w:rFonts w:ascii="Times New Roman" w:hAnsi="Times New Roman" w:cs="Times New Roman"/>
          <w:b/>
          <w:bCs/>
          <w:sz w:val="26"/>
          <w:szCs w:val="26"/>
        </w:rPr>
        <w:t>của Ngân hàng TMCP Nam Á – Chi nhánh Đà Nẵng – Phòng giao dịch Cẩm Lệ</w:t>
      </w:r>
      <w:r>
        <w:rPr>
          <w:rFonts w:ascii="Times New Roman" w:hAnsi="Times New Roman" w:cs="Times New Roman"/>
          <w:b/>
          <w:bCs/>
          <w:sz w:val="26"/>
          <w:szCs w:val="26"/>
        </w:rPr>
        <w:t xml:space="preserve"> </w:t>
      </w:r>
    </w:p>
    <w:p w14:paraId="450EF7BB" w14:textId="77777777" w:rsidR="0042797D" w:rsidRDefault="0042797D" w:rsidP="0042797D">
      <w:pPr>
        <w:spacing w:line="360" w:lineRule="auto"/>
        <w:jc w:val="both"/>
      </w:pPr>
      <w:r>
        <w:rPr>
          <w:rFonts w:ascii="Times New Roman" w:hAnsi="Times New Roman"/>
          <w:sz w:val="26"/>
          <w:szCs w:val="26"/>
        </w:rPr>
        <w:t xml:space="preserve">   Trước hết, huy động bằng nội tệ luôn chiếm tỷ trọng áp đảo trong cơ cấu huy động vốn từ khách hàng cá nhân của PGD. Cụ thể năm 2023, số dư huy động bằng nội tệ đạt 457.013 triệu đồng, chiếm 92,80% tổng vốn huy động KHCN. Sang năm 2024, số dư nội tệ tăng lên 489.694 triệu đồng, tăng 32.681 triệu đồng, tương ứng tăng 7,15% so với năm 2023; tuy nhiên tỷ trọng lại giảm nhẹ xuống còn 91,99%. Đến năm 2025, huy động bằng nội tệ tiếp tục tăng lên 546.731 triệu đồng, tăng thêm 57.037 triệu đồng, tương ứng tăng 11,65% so với năm 2024, nhưng tỷ trọng tiếp tục giảm còn 91,69%. Như vậy, nội tệ vẫn là loại tiền chiếm vị trí chủ đạo tuyệt đối trong toàn bộ giai đoạn nghiên cứu, song tỷ trọng có xu hướng giảm nhẹ qua từng năm, từ 92,80% xuống 91,99% rồi 91,69%. Điều này cho thấy vai trò của nội tệ không thay đổi về bản chất, nhưng cơ cấu huy động đã bắt đầu có sự dịch chuyển nhất định sang ngoại tệ.</w:t>
      </w:r>
    </w:p>
    <w:p w14:paraId="6A428D35" w14:textId="77777777" w:rsidR="0042797D" w:rsidRDefault="0042797D" w:rsidP="0042797D">
      <w:pPr>
        <w:spacing w:line="360" w:lineRule="auto"/>
        <w:jc w:val="both"/>
      </w:pPr>
      <w:r>
        <w:rPr>
          <w:rFonts w:ascii="Times New Roman" w:hAnsi="Times New Roman"/>
          <w:sz w:val="26"/>
          <w:szCs w:val="26"/>
        </w:rPr>
        <w:t xml:space="preserve">   Sự giảm nhẹ về tỷ trọng của nội tệ không có nghĩa là nguồn vốn nội tệ suy giảm, mà ngược lại, nội tệ vẫn tăng đều qua từng năm và vẫn là nền tảng chính trong huy động vốn </w:t>
      </w:r>
      <w:r>
        <w:rPr>
          <w:rFonts w:ascii="Times New Roman" w:hAnsi="Times New Roman"/>
          <w:sz w:val="26"/>
          <w:szCs w:val="26"/>
        </w:rPr>
        <w:lastRenderedPageBreak/>
        <w:t>của ngân hàng. Mức giảm tỷ trọng chủ yếu xuất phát từ việc ngoại tệ có tốc độ tăng nhanh hơn tương đối. Bên cạnh đó, trong điều kiện thu nhập, chi tiêu và phần lớn các giao dịch của khách hàng cá nhân trên địa bàn vẫn chủ yếu thực hiện bằng đồng Việt Nam, việc nội tệ tiếp tục chiếm trên 91% là hoàn toàn hợp lý. Điều này cũng phản ánh tính ổn định khá cao trong thói quen gửi tiền của khách hàng cá nhân, đồng thời giúp ngân hàng thuận lợi hơn trong cân đối nguồn vốn với nhu cầu sử dụng vốn bằng nội tệ trong hoạt động kinh doanh.</w:t>
      </w:r>
    </w:p>
    <w:p w14:paraId="16302703" w14:textId="77777777" w:rsidR="0042797D" w:rsidRDefault="0042797D" w:rsidP="0042797D">
      <w:pPr>
        <w:spacing w:line="360" w:lineRule="auto"/>
        <w:jc w:val="both"/>
      </w:pPr>
      <w:r>
        <w:rPr>
          <w:rFonts w:ascii="Times New Roman" w:hAnsi="Times New Roman"/>
          <w:sz w:val="26"/>
          <w:szCs w:val="26"/>
        </w:rPr>
        <w:t xml:space="preserve">   Đối với huy động bằng ngoại tệ, mặc dù chiếm tỷ trọng nhỏ hơn rất nhiều so với nội tệ, nhưng lại có xu hướng tăng khá rõ qua các năm. Năm 2023, số dư huy động ngoại tệ đạt 35.471 triệu đồng, chiếm 7,20% tổng vốn huy động từ khách hàng cá nhân. Sang năm 2024, số dư ngoại tệ tăng lên 42.653 triệu đồng, tăng 7.182 triệu đồng, tương ứng tăng 20,25%, đồng thời tỷ trọng tăng lên 8,01%. Đến năm 2025, huy động ngoại tệ tiếp tục tăng lên 49.521 triệu đồng, tăng thêm 6.868 triệu đồng, tương ứng tăng 16,10% so với năm 2024, đưa tỷ trọng lên 8,31%. Có thể thấy, dù quy mô tuyệt đối của ngoại tệ còn nhỏ, nhưng tỷ trọng của loại tiền này tăng liên tục từ 7,20% lên 8,01% rồi 8,31%, phản ánh rõ xu hướng dịch chuyển một phần cơ cấu huy động từ nội tệ sang ngoại tệ.</w:t>
      </w:r>
    </w:p>
    <w:p w14:paraId="50556220" w14:textId="77777777" w:rsidR="0042797D" w:rsidRDefault="0042797D" w:rsidP="0042797D">
      <w:pPr>
        <w:spacing w:line="360" w:lineRule="auto"/>
        <w:jc w:val="both"/>
      </w:pPr>
      <w:r>
        <w:rPr>
          <w:rFonts w:ascii="Times New Roman" w:hAnsi="Times New Roman"/>
          <w:sz w:val="26"/>
          <w:szCs w:val="26"/>
        </w:rPr>
        <w:t xml:space="preserve">   Nếu xét về tốc độ tăng trưởng, có thể thấy nội tệ tăng nhưng ở mức tương đối khiêm tốn hơn so với ngoại tệ. Cụ thể, trong giai đoạn 2023–2024, nội tệ chỉ tăng 7,15%, trong khi ngoại tệ tăng tới 20,25%; sang giai đoạn 2024–2025, nội tệ tăng 11,65%, còn ngoại tệ tăng 16,10%. Điều này cho thấy tốc độ mở rộng của ngoại tệ luôn cao hơn nội tệ trong cả hai giai đoạn. Chính sự chênh lệch về tốc độ tăng trưởng này là nguyên nhân trực tiếp làm cho tỷ trọng nội tệ giảm nhẹ qua từng năm, còn tỷ trọng ngoại tệ tăng dần. Tuy nhiên, cũng cần nhấn mạnh rằng nội tệ vẫn tăng mạnh hơn về mặt tuyệt đối, bởi mức nền ban đầu của nội tệ rất lớn. Nói cách khác, ngoại tệ tăng nhanh về tương đối nhưng nội tệ vẫn là nguồn đóng góp chính về quy mô cho tăng trưởng huy động vốn theo loại tiền.</w:t>
      </w:r>
    </w:p>
    <w:p w14:paraId="76A23CC3" w14:textId="77777777" w:rsidR="0042797D" w:rsidRDefault="0042797D" w:rsidP="0042797D">
      <w:pPr>
        <w:spacing w:line="360" w:lineRule="auto"/>
        <w:jc w:val="both"/>
      </w:pPr>
      <w:r>
        <w:rPr>
          <w:rFonts w:ascii="Times New Roman" w:hAnsi="Times New Roman"/>
          <w:sz w:val="26"/>
          <w:szCs w:val="26"/>
        </w:rPr>
        <w:t xml:space="preserve">   Sự dịch chuyển nhẹ từ nội tệ sang ngoại tệ có thể được lý giải bởi một số nguyên nhân. Thứ nhất, trong bối cảnh kinh tế có nhiều biến động, một bộ phận khách hàng cá nhân có xu hướng đa dạng hóa danh mục tài sản để giảm thiểu rủi ro, trong đó ngoại tệ được xem </w:t>
      </w:r>
      <w:r>
        <w:rPr>
          <w:rFonts w:ascii="Times New Roman" w:hAnsi="Times New Roman"/>
          <w:sz w:val="26"/>
          <w:szCs w:val="26"/>
        </w:rPr>
        <w:lastRenderedPageBreak/>
        <w:t>là một kênh nắm giữ có tính phòng ngừa nhất định. Thứ hai, nhu cầu sử dụng ngoại tệ của khách hàng cho các mục đích như du học, du lịch, thanh toán quốc tế hoặc tích lũy tài sản cũng có xu hướng tăng lên. Thứ ba, sự biến động của tỷ giá trên thị trường có thể tác động đến tâm lý giữ ngoại tệ của khách hàng, làm cho nhóm tiền gửi này tăng nhanh hơn về tốc độ. Tuy nhiên, do nhu cầu thanh toán, chi tiêu và gửi tiết kiệm thông thường của khách hàng cá nhân vẫn gắn chủ yếu với đồng Việt Nam nên sự dịch chuyển này chỉ diễn ra ở mức nhẹ, chưa làm thay đổi đáng kể cấu trúc cơ bản của nguồn vốn huy động.</w:t>
      </w:r>
    </w:p>
    <w:p w14:paraId="49020E8F" w14:textId="77777777" w:rsidR="0042797D" w:rsidRDefault="0042797D" w:rsidP="0042797D">
      <w:pPr>
        <w:spacing w:line="360" w:lineRule="auto"/>
        <w:jc w:val="both"/>
      </w:pPr>
      <w:r>
        <w:rPr>
          <w:rFonts w:ascii="Times New Roman" w:hAnsi="Times New Roman"/>
          <w:sz w:val="26"/>
          <w:szCs w:val="26"/>
        </w:rPr>
        <w:t xml:space="preserve">   Xét tổng thể, nội tệ vẫn là động lực chính trong huy động vốn theo loại tiền tại PGD Cẩm Lệ, bởi quy mô nội tệ luôn chiếm phần lớn và mức tăng tuyệt đối qua các năm cũng cao hơn ngoại tệ. Tuy nhiên, tốc độ tăng trưởng của nội tệ nhìn chung chưa thật sự bứt phá mà chỉ ở mức khá khiêm tốn, đặc biệt trong giai đoạn 2023–2024 khi chỉ tăng 7,15%. Sang năm 2025, nội tệ có cải thiện hơn về tốc độ tăng nhưng vẫn tiếp tục giảm nhẹ về tỷ trọng. Điều này cho thấy tăng trưởng nội tệ vẫn ổn định nhưng chưa đủ mạnh để mở rộng thêm vị thế tương đối trong cơ cấu loại tiền. Ngược lại, ngoại tệ tuy quy mô nhỏ nhưng đang có xu hướng mở rộng nhanh hơn, từ đó làm cho cơ cấu huy động theo loại tiền trở nên đa dạng hơn so với trước.</w:t>
      </w:r>
    </w:p>
    <w:p w14:paraId="6EF55864" w14:textId="77777777" w:rsidR="0042797D" w:rsidRPr="00FE53F0" w:rsidRDefault="0042797D" w:rsidP="0042797D">
      <w:pPr>
        <w:spacing w:line="360" w:lineRule="auto"/>
        <w:jc w:val="both"/>
      </w:pPr>
      <w:r>
        <w:rPr>
          <w:rFonts w:ascii="Times New Roman" w:hAnsi="Times New Roman"/>
          <w:sz w:val="26"/>
          <w:szCs w:val="26"/>
        </w:rPr>
        <w:t xml:space="preserve">   Tóm lại, trong giai đoạn 2023–2025, cơ cấu huy động vốn đối với khách hàng cá nhân theo loại tiền tại PGD Cẩm Lệ vẫn mang đặc trưng nổi bật là nội tệ chiếm tỷ trọng rất lớn, nhưng tỷ trọng này giảm nhẹ qua từng năm do có sự dịch chuyển nhất định sang ngoại tệ. Nội tệ tăng đều qua các năm nhưng tốc độ tăng trưởng còn khá khiêm tốn so với ngoại tệ, trong khi ngoại tệ tuy chiếm tỷ trọng nhỏ nhưng tăng nhanh hơn và ngày càng mở rộng vị trí trong cơ cấu huy động. Diễn biến này phản ánh cơ cấu huy động theo loại tiền của PGD vẫn ổn định, song đã bắt đầu có xu hướng đa dạng hơn nhằm phù hợp với nhu cầu nắm giữ tiền gửi ngày càng linh hoạt của khách hàng cá nhân.</w:t>
      </w:r>
    </w:p>
    <w:p w14:paraId="554CE95D" w14:textId="77777777" w:rsidR="0042797D" w:rsidRPr="003A0618" w:rsidRDefault="0042797D" w:rsidP="0042797D">
      <w:pPr>
        <w:spacing w:line="360" w:lineRule="auto"/>
        <w:jc w:val="both"/>
        <w:rPr>
          <w:rFonts w:ascii="Times New Roman" w:hAnsi="Times New Roman" w:cs="Times New Roman"/>
          <w:sz w:val="26"/>
          <w:szCs w:val="26"/>
        </w:rPr>
      </w:pPr>
      <w:r>
        <w:rPr>
          <w:rFonts w:ascii="Times New Roman" w:hAnsi="Times New Roman" w:cs="Times New Roman"/>
          <w:b/>
          <w:bCs/>
          <w:sz w:val="26"/>
          <w:szCs w:val="26"/>
        </w:rPr>
        <w:t>2.4 CHI PHÍ HUY ĐỘNG VỐN ĐỐI VỚI KHÁCH HÀNG CÁ NHÂN CỦA NGÂN HÀNG TMCP NAM Á – CHI NHÁNH ĐÀ NẴNG – PHÒNG GIAO DỊCH CẨM LỆ</w:t>
      </w:r>
    </w:p>
    <w:p w14:paraId="02A18A80" w14:textId="77777777" w:rsidR="0042797D" w:rsidRDefault="0042797D" w:rsidP="0042797D">
      <w:pPr>
        <w:spacing w:line="360" w:lineRule="auto"/>
        <w:jc w:val="both"/>
        <w:rPr>
          <w:rFonts w:ascii="Times New Roman" w:hAnsi="Times New Roman" w:cs="Times New Roman"/>
          <w:b/>
          <w:bCs/>
          <w:sz w:val="26"/>
          <w:szCs w:val="26"/>
        </w:rPr>
      </w:pPr>
      <w:r>
        <w:rPr>
          <w:rFonts w:ascii="Times New Roman" w:hAnsi="Times New Roman" w:cs="Times New Roman"/>
          <w:sz w:val="26"/>
          <w:szCs w:val="26"/>
        </w:rPr>
        <w:lastRenderedPageBreak/>
        <w:t xml:space="preserve"> </w:t>
      </w:r>
      <w:r w:rsidRPr="00865C7A">
        <w:rPr>
          <w:rFonts w:ascii="Times New Roman" w:hAnsi="Times New Roman" w:cs="Times New Roman"/>
          <w:b/>
          <w:bCs/>
          <w:sz w:val="26"/>
          <w:szCs w:val="26"/>
        </w:rPr>
        <w:t xml:space="preserve">2.4.1 </w:t>
      </w:r>
      <w:r>
        <w:rPr>
          <w:rFonts w:ascii="Times New Roman" w:hAnsi="Times New Roman" w:cs="Times New Roman"/>
          <w:b/>
          <w:bCs/>
          <w:sz w:val="26"/>
          <w:szCs w:val="26"/>
        </w:rPr>
        <w:t>L</w:t>
      </w:r>
      <w:r w:rsidRPr="00865C7A">
        <w:rPr>
          <w:rFonts w:ascii="Times New Roman" w:hAnsi="Times New Roman" w:cs="Times New Roman"/>
          <w:b/>
          <w:bCs/>
          <w:sz w:val="26"/>
          <w:szCs w:val="26"/>
        </w:rPr>
        <w:t xml:space="preserve">ãi suất </w:t>
      </w:r>
      <w:r>
        <w:rPr>
          <w:rFonts w:ascii="Times New Roman" w:hAnsi="Times New Roman" w:cs="Times New Roman"/>
          <w:b/>
          <w:bCs/>
          <w:sz w:val="26"/>
          <w:szCs w:val="26"/>
        </w:rPr>
        <w:t>huy động vốn đối với khách hàng cá nhân tại</w:t>
      </w:r>
      <w:r w:rsidRPr="00865C7A">
        <w:rPr>
          <w:rFonts w:ascii="Times New Roman" w:hAnsi="Times New Roman" w:cs="Times New Roman"/>
          <w:b/>
          <w:bCs/>
          <w:sz w:val="26"/>
          <w:szCs w:val="26"/>
        </w:rPr>
        <w:t xml:space="preserve"> Ngân hàng TMCP Nam Á – Chi nhánh Đà Nẵng – PG</w:t>
      </w:r>
      <w:r>
        <w:rPr>
          <w:rFonts w:ascii="Times New Roman" w:hAnsi="Times New Roman" w:cs="Times New Roman"/>
          <w:b/>
          <w:bCs/>
          <w:sz w:val="26"/>
          <w:szCs w:val="26"/>
        </w:rPr>
        <w:t>D</w:t>
      </w:r>
      <w:r w:rsidRPr="00865C7A">
        <w:rPr>
          <w:rFonts w:ascii="Times New Roman" w:hAnsi="Times New Roman" w:cs="Times New Roman"/>
          <w:b/>
          <w:bCs/>
          <w:sz w:val="26"/>
          <w:szCs w:val="26"/>
        </w:rPr>
        <w:t xml:space="preserve"> Cẩm Lệ giai đoạn 2023 - 2025  </w:t>
      </w:r>
    </w:p>
    <w:p w14:paraId="0A4B11B1" w14:textId="77777777" w:rsidR="0042797D" w:rsidRPr="005256C4" w:rsidRDefault="0042797D" w:rsidP="0042797D">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   </w:t>
      </w:r>
      <w:r w:rsidRPr="005256C4">
        <w:rPr>
          <w:rFonts w:ascii="Times New Roman" w:hAnsi="Times New Roman" w:cs="Times New Roman"/>
          <w:sz w:val="26"/>
          <w:szCs w:val="26"/>
        </w:rPr>
        <w:t>Trong hoạt động huy động vốn đối với khách hàng cá nhân, lãi suất tiền gửi là yếu tố có vai trò quan trọng, tác động trực tiếp đến quyết định gửi tiền của khách hàng và ảnh hưởng đến khả năng cạnh tranh của ngân hàng trên thị trường. Việc theo dõi và phân tích diễn biến lãi suất huy động của Ngân hàng TMCP Nam Á qua các thời kỳ giúp phản ánh định hướng điều hành chính sách lãi suất, mức độ linh hoạt trong huy động vốn cũng như khả năng thích ứng của ngân hàng trước những biến động chung của thị trường tiền tệ.</w:t>
      </w:r>
    </w:p>
    <w:p w14:paraId="7CF267D3" w14:textId="77777777" w:rsidR="0042797D" w:rsidRPr="00951C78" w:rsidRDefault="0042797D" w:rsidP="0042797D">
      <w:pPr>
        <w:spacing w:line="360" w:lineRule="auto"/>
        <w:jc w:val="both"/>
        <w:rPr>
          <w:rFonts w:ascii="Times New Roman" w:hAnsi="Times New Roman" w:cs="Times New Roman"/>
          <w:b/>
          <w:bCs/>
          <w:i/>
          <w:iCs/>
          <w:sz w:val="26"/>
          <w:szCs w:val="26"/>
        </w:rPr>
      </w:pPr>
      <w:r w:rsidRPr="00951C78">
        <w:rPr>
          <w:rFonts w:ascii="Times New Roman" w:hAnsi="Times New Roman" w:cs="Times New Roman"/>
          <w:b/>
          <w:bCs/>
          <w:i/>
          <w:iCs/>
          <w:sz w:val="26"/>
          <w:szCs w:val="26"/>
        </w:rPr>
        <w:t>2.4.1.1 Lãi suất kì hạn 1 tháng của Ngân hàng TMCP Nam Á – Chi nhánh Đà Nẵng – PGD Cẩm Lệ</w:t>
      </w:r>
    </w:p>
    <w:p w14:paraId="7A860725" w14:textId="77777777" w:rsidR="0042797D" w:rsidRDefault="0042797D" w:rsidP="0042797D">
      <w:pPr>
        <w:spacing w:line="360" w:lineRule="auto"/>
        <w:jc w:val="both"/>
        <w:rPr>
          <w:rFonts w:ascii="Times New Roman" w:hAnsi="Times New Roman" w:cs="Times New Roman"/>
          <w:b/>
          <w:bCs/>
          <w:sz w:val="26"/>
          <w:szCs w:val="26"/>
        </w:rPr>
      </w:pPr>
      <w:r>
        <w:rPr>
          <w:rFonts w:ascii="Times New Roman" w:hAnsi="Times New Roman" w:cs="Times New Roman"/>
          <w:b/>
          <w:bCs/>
          <w:noProof/>
          <w:sz w:val="26"/>
          <w:szCs w:val="26"/>
        </w:rPr>
        <w:drawing>
          <wp:inline distT="0" distB="0" distL="0" distR="0" wp14:anchorId="6AF2EE61" wp14:editId="04B000A5">
            <wp:extent cx="6031865" cy="2278626"/>
            <wp:effectExtent l="0" t="0" r="6985" b="7620"/>
            <wp:docPr id="674023309"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2CD10F4" w14:textId="77777777" w:rsidR="0042797D" w:rsidRDefault="0042797D" w:rsidP="0042797D">
      <w:pPr>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Hình 2.4.1 Lãi suất kì hạn 1 tháng của Ngân hàng TMCP Nam Á – Chi nhánh Đà Nẵng – PGD Cẩm Lệ giai đoạn 2023 – 2025 </w:t>
      </w:r>
    </w:p>
    <w:p w14:paraId="10101385" w14:textId="77777777" w:rsidR="0042797D" w:rsidRPr="00880754" w:rsidRDefault="0042797D" w:rsidP="0042797D">
      <w:pPr>
        <w:spacing w:line="360" w:lineRule="auto"/>
        <w:jc w:val="both"/>
        <w:rPr>
          <w:rFonts w:ascii="Times New Roman" w:hAnsi="Times New Roman" w:cs="Times New Roman"/>
          <w:sz w:val="26"/>
          <w:szCs w:val="26"/>
        </w:rPr>
      </w:pPr>
      <w:r w:rsidRPr="00880754">
        <w:rPr>
          <w:rFonts w:ascii="Times New Roman" w:hAnsi="Times New Roman" w:cs="Times New Roman"/>
          <w:sz w:val="26"/>
          <w:szCs w:val="26"/>
        </w:rPr>
        <w:t>Trong giai đoạn 2023–2025, lãi suất huy động kỳ hạn 1 tháng của Nam A Bank có sự biến động tương đối rõ rệt, phản ánh trực tiếp tình hình thanh khoản của hệ thống ngân hàng cũng như chính sách điều hành lãi suất của Ngân hàng Nhà nước.</w:t>
      </w:r>
    </w:p>
    <w:p w14:paraId="53C9959B" w14:textId="77777777" w:rsidR="0042797D" w:rsidRPr="00880754" w:rsidRDefault="0042797D" w:rsidP="0042797D">
      <w:pPr>
        <w:spacing w:line="360" w:lineRule="auto"/>
        <w:jc w:val="both"/>
        <w:rPr>
          <w:rFonts w:ascii="Times New Roman" w:hAnsi="Times New Roman" w:cs="Times New Roman"/>
          <w:sz w:val="26"/>
          <w:szCs w:val="26"/>
        </w:rPr>
      </w:pPr>
      <w:r w:rsidRPr="00880754">
        <w:rPr>
          <w:rFonts w:ascii="Times New Roman" w:hAnsi="Times New Roman" w:cs="Times New Roman"/>
          <w:sz w:val="26"/>
          <w:szCs w:val="26"/>
        </w:rPr>
        <w:t xml:space="preserve">Cụ thể, vào tháng 6/2023, lãi suất kỳ hạn 1 tháng đạt mức 5%/năm – đây là mức khá cao đối với kỳ hạn ngắn. Nguyên nhân chủ yếu xuất phát từ bối cảnh thị trường tài chính trong giai đoạn cuối năm 2022 và đầu năm 2023 gặp nhiều biến động, đặc biệt là những khó khăn </w:t>
      </w:r>
      <w:r w:rsidRPr="00880754">
        <w:rPr>
          <w:rFonts w:ascii="Times New Roman" w:hAnsi="Times New Roman" w:cs="Times New Roman"/>
          <w:sz w:val="26"/>
          <w:szCs w:val="26"/>
        </w:rPr>
        <w:lastRenderedPageBreak/>
        <w:t>của thị trường trái phiếu doanh nghiệp và bất động sản khiến áp lực thanh khoản của nhiều ngân hàng gia tăng. Để đảm bảo nguồn vốn hoạt động và tăng khả năng cạnh tranh trong huy động vốn, các ngân hàng thương mại, trong đó có Nam A Bank, đã đẩy mạnh tăng lãi suất huy động ở nhiều kỳ hạn, kể cả kỳ hạn ngắn.</w:t>
      </w:r>
      <w:r>
        <w:rPr>
          <w:rFonts w:ascii="Times New Roman" w:hAnsi="Times New Roman" w:cs="Times New Roman"/>
          <w:sz w:val="26"/>
          <w:szCs w:val="26"/>
        </w:rPr>
        <w:t xml:space="preserve"> </w:t>
      </w:r>
      <w:r w:rsidRPr="00880754">
        <w:rPr>
          <w:rFonts w:ascii="Times New Roman" w:hAnsi="Times New Roman" w:cs="Times New Roman"/>
          <w:sz w:val="26"/>
          <w:szCs w:val="26"/>
        </w:rPr>
        <w:t>Tuy nhiên, đến tháng 12/2023, lãi suất kỳ hạn 1 tháng giảm mạnh xuống còn 3,6%/năm. Sự sụt giảm này chủ yếu do Ngân hàng Nhà nước liên tục thực hiện các đợt cắt giảm lãi suất điều hành nhằm hỗ trợ phục hồi nền kinh tế và kích thích tăng trưởng tín dụng. Đồng thời, nhu cầu vay vốn của doanh nghiệp và cá nhân trong năm 2023 phục hồi chậm khiến nhiều ngân hàng rơi vào trạng thái dư thừa thanh khoản, từ đó làm giảm áp lực huy động vốn.</w:t>
      </w:r>
    </w:p>
    <w:p w14:paraId="777D464E" w14:textId="77777777" w:rsidR="0042797D" w:rsidRPr="00880754" w:rsidRDefault="0042797D" w:rsidP="0042797D">
      <w:pPr>
        <w:spacing w:line="360" w:lineRule="auto"/>
        <w:jc w:val="both"/>
        <w:rPr>
          <w:rFonts w:ascii="Times New Roman" w:hAnsi="Times New Roman" w:cs="Times New Roman"/>
          <w:sz w:val="26"/>
          <w:szCs w:val="26"/>
        </w:rPr>
      </w:pPr>
      <w:r w:rsidRPr="00880754">
        <w:rPr>
          <w:rFonts w:ascii="Times New Roman" w:hAnsi="Times New Roman" w:cs="Times New Roman"/>
          <w:sz w:val="26"/>
          <w:szCs w:val="26"/>
        </w:rPr>
        <w:t>Bước sang năm 2024, lãi suất kỳ hạn 1 tháng duy trì ở mức thấp và tương đối ổn định. Tháng 6/2024, lãi suất giảm xuống 3,1%/năm – mức thấp nhất trong giai đoạn nghiên cứu, cho thấy hệ thống ngân hàng vẫn duy trì thanh khoản dồi dào và chính sách tiền tệ tiếp tục theo hướng hỗ trợ tăng trưởng kinh tế. Đến tháng 12/2024, lãi suất tăng nhẹ lên 3,6%/năm khi nhu cầu tín dụng bắt đầu phục hồi trở lại vào cuối năm.</w:t>
      </w:r>
    </w:p>
    <w:p w14:paraId="1BFF06DD" w14:textId="77777777" w:rsidR="0042797D" w:rsidRPr="00880754" w:rsidRDefault="0042797D" w:rsidP="0042797D">
      <w:pPr>
        <w:spacing w:line="360" w:lineRule="auto"/>
        <w:jc w:val="both"/>
        <w:rPr>
          <w:rFonts w:ascii="Times New Roman" w:hAnsi="Times New Roman" w:cs="Times New Roman"/>
          <w:sz w:val="26"/>
          <w:szCs w:val="26"/>
        </w:rPr>
      </w:pPr>
      <w:r w:rsidRPr="00880754">
        <w:rPr>
          <w:rFonts w:ascii="Times New Roman" w:hAnsi="Times New Roman" w:cs="Times New Roman"/>
          <w:sz w:val="26"/>
          <w:szCs w:val="26"/>
        </w:rPr>
        <w:t>Trong năm 2025, lãi suất kỳ hạn 1 tháng tiếp tục xu hướng tăng nhẹ, đạt 3,7% vào tháng 6/2025 và 3,9% vào tháng 12/2025. Điều này phản ánh nền kinh tế đã có dấu hiệu phục hồi tích cực hơn, nhu cầu vay vốn của doanh nghiệp và cá nhân tăng lên, kéo theo nhu cầu huy động vốn của các ngân hàng gia tăng. Tuy nhiên, mức tăng không quá mạnh do Ngân hàng Nhà nước vẫn kiểm soát chặt mặt bằng lãi suất nhằm hỗ trợ tăng trưởng kinh tế và hạn chế áp lực chi phí vốn đối với doanh nghiệp.</w:t>
      </w:r>
    </w:p>
    <w:p w14:paraId="21B70EC0" w14:textId="77777777" w:rsidR="0042797D" w:rsidRPr="001E511B" w:rsidRDefault="0042797D" w:rsidP="0042797D">
      <w:pPr>
        <w:spacing w:line="360" w:lineRule="auto"/>
        <w:jc w:val="both"/>
        <w:rPr>
          <w:rFonts w:ascii="Times New Roman" w:hAnsi="Times New Roman" w:cs="Times New Roman"/>
          <w:sz w:val="26"/>
          <w:szCs w:val="26"/>
        </w:rPr>
      </w:pPr>
      <w:r w:rsidRPr="00880754">
        <w:rPr>
          <w:rFonts w:ascii="Times New Roman" w:hAnsi="Times New Roman" w:cs="Times New Roman"/>
          <w:sz w:val="26"/>
          <w:szCs w:val="26"/>
        </w:rPr>
        <w:t>Nhìn chung, lãi suất kỳ hạn 1 tháng trong giai đoạn 2023–2025 có xu hướng giảm mạnh trong năm 2023, sau đó ổn định và phục hồi nhẹ trong giai đoạn 2024–2025. Điều này phản ánh rõ tác động của chính sách tiền tệ cũng như tình hình thanh khoản của hệ thống ngân hàng trong từng thời kỳ.</w:t>
      </w:r>
    </w:p>
    <w:p w14:paraId="06BD93A6" w14:textId="77777777" w:rsidR="0042797D" w:rsidRPr="00951C78" w:rsidRDefault="0042797D" w:rsidP="0042797D">
      <w:pPr>
        <w:spacing w:line="360" w:lineRule="auto"/>
        <w:jc w:val="both"/>
        <w:rPr>
          <w:rFonts w:ascii="Times New Roman" w:hAnsi="Times New Roman" w:cs="Times New Roman"/>
          <w:b/>
          <w:bCs/>
          <w:i/>
          <w:iCs/>
          <w:sz w:val="26"/>
          <w:szCs w:val="26"/>
        </w:rPr>
      </w:pPr>
      <w:r w:rsidRPr="00951C78">
        <w:rPr>
          <w:rFonts w:ascii="Times New Roman" w:hAnsi="Times New Roman" w:cs="Times New Roman"/>
          <w:b/>
          <w:bCs/>
          <w:i/>
          <w:iCs/>
          <w:sz w:val="26"/>
          <w:szCs w:val="26"/>
        </w:rPr>
        <w:t>2.4.1.2 Lãi suất kì hạn 6 tháng của Ngân hàng TMCP Nam Á – Chi nhánh Đà Nẵng – PGD Cẩm Lệ</w:t>
      </w:r>
    </w:p>
    <w:p w14:paraId="31D60E1D" w14:textId="77777777" w:rsidR="0042797D" w:rsidRPr="004C644C" w:rsidRDefault="0042797D" w:rsidP="0042797D">
      <w:pPr>
        <w:spacing w:line="360" w:lineRule="auto"/>
        <w:jc w:val="both"/>
        <w:rPr>
          <w:rFonts w:ascii="Times New Roman" w:hAnsi="Times New Roman" w:cs="Times New Roman"/>
          <w:sz w:val="26"/>
          <w:szCs w:val="26"/>
        </w:rPr>
      </w:pPr>
      <w:r w:rsidRPr="004C644C">
        <w:rPr>
          <w:rFonts w:ascii="Times New Roman" w:hAnsi="Times New Roman" w:cs="Times New Roman"/>
          <w:sz w:val="26"/>
          <w:szCs w:val="26"/>
        </w:rPr>
        <w:lastRenderedPageBreak/>
        <w:t xml:space="preserve">   </w:t>
      </w:r>
      <w:r>
        <w:rPr>
          <w:rFonts w:ascii="Times New Roman" w:hAnsi="Times New Roman" w:cs="Times New Roman"/>
          <w:noProof/>
          <w:sz w:val="26"/>
          <w:szCs w:val="26"/>
        </w:rPr>
        <w:drawing>
          <wp:inline distT="0" distB="0" distL="0" distR="0" wp14:anchorId="6F1561BA" wp14:editId="225307B8">
            <wp:extent cx="5486400" cy="2212258"/>
            <wp:effectExtent l="0" t="0" r="0" b="0"/>
            <wp:docPr id="762973057"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BE83AF5" w14:textId="77777777" w:rsidR="0042797D" w:rsidRDefault="0042797D" w:rsidP="0042797D">
      <w:pPr>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Hình 2.4.2 Lãi suất kì hạn 6 tháng của Ngân hàng TMCP Nam Á – Chi nhánh Đà Nẵng – PGD Cẩm Lệ giai đoạn 2023 – 2025 </w:t>
      </w:r>
    </w:p>
    <w:p w14:paraId="172AD3B3" w14:textId="77777777" w:rsidR="0042797D" w:rsidRPr="0085777A" w:rsidRDefault="0042797D" w:rsidP="0042797D">
      <w:pPr>
        <w:spacing w:line="360" w:lineRule="auto"/>
        <w:rPr>
          <w:rFonts w:ascii="Times New Roman" w:hAnsi="Times New Roman" w:cs="Times New Roman"/>
          <w:b/>
          <w:bCs/>
          <w:sz w:val="26"/>
          <w:szCs w:val="26"/>
        </w:rPr>
      </w:pPr>
      <w:r w:rsidRPr="0085777A">
        <w:rPr>
          <w:rFonts w:ascii="Times New Roman" w:hAnsi="Times New Roman" w:cs="Times New Roman"/>
          <w:sz w:val="26"/>
          <w:szCs w:val="26"/>
        </w:rPr>
        <w:t>Trong các kỳ hạn huy động, kỳ hạn 6 tháng có mức biến động khá lớn trong giai đoạn 2023–2025. Đây là kỳ hạn phổ biến, thường được các ngân hàng sử dụng để thu hút nguồn vốn ổn định phục vụ hoạt động tín dụng.</w:t>
      </w:r>
    </w:p>
    <w:p w14:paraId="610835E5" w14:textId="77777777" w:rsidR="0042797D" w:rsidRPr="0085777A" w:rsidRDefault="0042797D" w:rsidP="0042797D">
      <w:pPr>
        <w:spacing w:line="360" w:lineRule="auto"/>
        <w:jc w:val="both"/>
        <w:rPr>
          <w:rFonts w:ascii="Times New Roman" w:hAnsi="Times New Roman" w:cs="Times New Roman"/>
          <w:sz w:val="26"/>
          <w:szCs w:val="26"/>
        </w:rPr>
      </w:pPr>
      <w:r w:rsidRPr="0085777A">
        <w:rPr>
          <w:rFonts w:ascii="Times New Roman" w:hAnsi="Times New Roman" w:cs="Times New Roman"/>
          <w:sz w:val="26"/>
          <w:szCs w:val="26"/>
        </w:rPr>
        <w:t>Tại thời điểm tháng 6/2023, lãi suất kỳ hạn 6 tháng của Nam A Bank đạt 7,45%/năm – mức rất cao so với mặt bằng chung nhiều năm gần đây. Điều này phản ánh áp lực huy động vốn mạnh mẽ của các ngân hàng thương mại trong bối cảnh thị trường tài chính còn nhiều bất ổn. Sau những biến động của thị trường bất động sản và trái phiếu doanh nghiệp, người dân có xu hướng ưu tiên gửi tiết kiệm ngân hàng để đảm bảo an toàn cho dòng tiền. Do đó, các ngân hàng đẩy mạnh cạnh tranh lãi suất nhằm thu hút nguồn vốn từ khách hàng cá nhân.</w:t>
      </w:r>
      <w:r>
        <w:rPr>
          <w:rFonts w:ascii="Times New Roman" w:hAnsi="Times New Roman" w:cs="Times New Roman"/>
          <w:sz w:val="26"/>
          <w:szCs w:val="26"/>
        </w:rPr>
        <w:t xml:space="preserve"> </w:t>
      </w:r>
      <w:r w:rsidRPr="0085777A">
        <w:rPr>
          <w:rFonts w:ascii="Times New Roman" w:hAnsi="Times New Roman" w:cs="Times New Roman"/>
          <w:sz w:val="26"/>
          <w:szCs w:val="26"/>
        </w:rPr>
        <w:t>Đến tháng 12/2023, lãi suất kỳ hạn 6 tháng giảm mạnh xuống còn 4,7%/năm, giảm tới 2,75 điểm % so với đầu kỳ. Nguyên nhân chủ yếu đến từ việc Ngân hàng Nhà nước thực hiện nhiều đợt giảm lãi suất điều hành nhằm hỗ trợ phục hồi kinh tế. Đồng thời, tăng trưởng tín dụng năm 2023 diễn ra chậm hơn kỳ vọng khiến nhu cầu sử dụng vốn của các ngân hàng giảm xuống, từ đó kéo mặt bằng lãi suất huy động đi xuống.</w:t>
      </w:r>
    </w:p>
    <w:p w14:paraId="1308710E" w14:textId="77777777" w:rsidR="0042797D" w:rsidRPr="0085777A" w:rsidRDefault="0042797D" w:rsidP="0042797D">
      <w:pPr>
        <w:spacing w:line="360" w:lineRule="auto"/>
        <w:jc w:val="both"/>
        <w:rPr>
          <w:rFonts w:ascii="Times New Roman" w:hAnsi="Times New Roman" w:cs="Times New Roman"/>
          <w:sz w:val="26"/>
          <w:szCs w:val="26"/>
        </w:rPr>
      </w:pPr>
      <w:r w:rsidRPr="0085777A">
        <w:rPr>
          <w:rFonts w:ascii="Times New Roman" w:hAnsi="Times New Roman" w:cs="Times New Roman"/>
          <w:sz w:val="26"/>
          <w:szCs w:val="26"/>
        </w:rPr>
        <w:t xml:space="preserve">Trong năm 2024, lãi suất kỳ hạn 6 tháng tương đối ổn định. Tháng 6/2024, lãi suất đạt 4,5%/năm và tăng nhẹ lên 4,7% vào tháng 12/2024. Diễn biến này cho thấy thị trường tiền tệ đã dần ổn định sau giai đoạn biến động mạnh trước đó. Đồng thời, Nam A Bank cũng </w:t>
      </w:r>
      <w:r w:rsidRPr="0085777A">
        <w:rPr>
          <w:rFonts w:ascii="Times New Roman" w:hAnsi="Times New Roman" w:cs="Times New Roman"/>
          <w:sz w:val="26"/>
          <w:szCs w:val="26"/>
        </w:rPr>
        <w:lastRenderedPageBreak/>
        <w:t>chủ động duy trì mức lãi suất hợp lý nhằm cân bằng giữa khả năng cạnh tranh huy động vốn và kiểm soát chi phí đầu vào.</w:t>
      </w:r>
    </w:p>
    <w:p w14:paraId="45E5D7EA" w14:textId="77777777" w:rsidR="0042797D" w:rsidRPr="0085777A" w:rsidRDefault="0042797D" w:rsidP="0042797D">
      <w:pPr>
        <w:spacing w:line="360" w:lineRule="auto"/>
        <w:jc w:val="both"/>
        <w:rPr>
          <w:rFonts w:ascii="Times New Roman" w:hAnsi="Times New Roman" w:cs="Times New Roman"/>
          <w:sz w:val="26"/>
          <w:szCs w:val="26"/>
        </w:rPr>
      </w:pPr>
      <w:r w:rsidRPr="0085777A">
        <w:rPr>
          <w:rFonts w:ascii="Times New Roman" w:hAnsi="Times New Roman" w:cs="Times New Roman"/>
          <w:sz w:val="26"/>
          <w:szCs w:val="26"/>
        </w:rPr>
        <w:t>Đến năm 2025, lãi suất kỳ hạn 6 tháng tiếp tục tăng nhẹ, đạt 4,7% vào tháng 6/2025 và 5% vào tháng 12/2025. Sự gia tăng này phản ánh nhu cầu tín dụng của nền kinh tế bắt đầu phục hồi tích cực hơn, đặc biệt trong các lĩnh vực sản xuất, thương mại và tiêu dùng. Các ngân hàng cần mở rộng huy động vốn để đáp ứng nhu cầu cho vay, từ đó khiến lãi suất huy động có xu hướng tăng trở lại.</w:t>
      </w:r>
    </w:p>
    <w:p w14:paraId="1D98FDD5" w14:textId="77777777" w:rsidR="0042797D" w:rsidRPr="0085777A" w:rsidRDefault="0042797D" w:rsidP="0042797D">
      <w:pPr>
        <w:spacing w:line="360" w:lineRule="auto"/>
        <w:jc w:val="both"/>
        <w:rPr>
          <w:rFonts w:ascii="Times New Roman" w:hAnsi="Times New Roman" w:cs="Times New Roman"/>
          <w:sz w:val="26"/>
          <w:szCs w:val="26"/>
        </w:rPr>
      </w:pPr>
      <w:r w:rsidRPr="0085777A">
        <w:rPr>
          <w:rFonts w:ascii="Times New Roman" w:hAnsi="Times New Roman" w:cs="Times New Roman"/>
          <w:sz w:val="26"/>
          <w:szCs w:val="26"/>
        </w:rPr>
        <w:t>Nhìn chung, lãi suất kỳ hạn 6 tháng có sự biến động mạnh nhất trong giai đoạn nghiên cứu, đặc biệt là giai đoạn năm 2023. Điều này cho thấy kỳ hạn trung hạn thường chịu ảnh hưởng lớn từ chính sách tiền tệ, nhu cầu tín dụng và áp lực cạnh tranh huy động vốn giữa các ngân hàng.</w:t>
      </w:r>
    </w:p>
    <w:p w14:paraId="114E9558" w14:textId="77777777" w:rsidR="0042797D" w:rsidRPr="00951C78" w:rsidRDefault="0042797D" w:rsidP="0042797D">
      <w:pPr>
        <w:spacing w:line="360" w:lineRule="auto"/>
        <w:jc w:val="both"/>
        <w:rPr>
          <w:rFonts w:ascii="Times New Roman" w:hAnsi="Times New Roman" w:cs="Times New Roman"/>
          <w:b/>
          <w:bCs/>
          <w:i/>
          <w:iCs/>
          <w:sz w:val="26"/>
          <w:szCs w:val="26"/>
        </w:rPr>
      </w:pPr>
      <w:r w:rsidRPr="00951C78">
        <w:rPr>
          <w:rFonts w:ascii="Times New Roman" w:hAnsi="Times New Roman" w:cs="Times New Roman"/>
          <w:b/>
          <w:bCs/>
          <w:i/>
          <w:iCs/>
          <w:sz w:val="26"/>
          <w:szCs w:val="26"/>
        </w:rPr>
        <w:t>2.4.1.3 Lãi suất kì hạn 12 tháng của Ngân hàng TMCP Nam Á – Chi nhánh Đà Nẵng – PGD Cẩm Lệ</w:t>
      </w:r>
    </w:p>
    <w:p w14:paraId="0EC416F5" w14:textId="77777777" w:rsidR="0042797D" w:rsidRDefault="0042797D" w:rsidP="0042797D">
      <w:pPr>
        <w:spacing w:line="360" w:lineRule="auto"/>
        <w:jc w:val="both"/>
        <w:rPr>
          <w:rFonts w:ascii="Times New Roman" w:hAnsi="Times New Roman" w:cs="Times New Roman"/>
          <w:b/>
          <w:bCs/>
          <w:sz w:val="26"/>
          <w:szCs w:val="26"/>
        </w:rPr>
      </w:pPr>
      <w:r>
        <w:rPr>
          <w:rFonts w:ascii="Times New Roman" w:hAnsi="Times New Roman" w:cs="Times New Roman"/>
          <w:b/>
          <w:bCs/>
          <w:noProof/>
          <w:sz w:val="26"/>
          <w:szCs w:val="26"/>
        </w:rPr>
        <w:drawing>
          <wp:inline distT="0" distB="0" distL="0" distR="0" wp14:anchorId="665BEE17" wp14:editId="6FC9D6CC">
            <wp:extent cx="5486400" cy="2212258"/>
            <wp:effectExtent l="0" t="0" r="0" b="0"/>
            <wp:docPr id="650155992"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3B15B25" w14:textId="77777777" w:rsidR="0042797D" w:rsidRDefault="0042797D" w:rsidP="0042797D">
      <w:pPr>
        <w:spacing w:line="360" w:lineRule="auto"/>
        <w:jc w:val="center"/>
        <w:rPr>
          <w:rFonts w:ascii="Times New Roman" w:hAnsi="Times New Roman" w:cs="Times New Roman"/>
          <w:b/>
          <w:bCs/>
          <w:sz w:val="26"/>
          <w:szCs w:val="26"/>
        </w:rPr>
      </w:pPr>
      <w:r>
        <w:rPr>
          <w:rFonts w:ascii="Times New Roman" w:hAnsi="Times New Roman" w:cs="Times New Roman"/>
          <w:b/>
          <w:bCs/>
          <w:sz w:val="26"/>
          <w:szCs w:val="26"/>
        </w:rPr>
        <w:t xml:space="preserve">Hình 2.4.3 Lãi suất kì hạn 12 tháng của Ngân hàng TMCP Nam Á – Chi nhánh Đà Nẵng – PGD Cẩm Lệ giai đoạn 2023 – 2025 </w:t>
      </w:r>
    </w:p>
    <w:p w14:paraId="16025F61" w14:textId="77777777" w:rsidR="0042797D" w:rsidRPr="009C0AEB" w:rsidRDefault="0042797D" w:rsidP="0042797D">
      <w:pPr>
        <w:spacing w:line="360" w:lineRule="auto"/>
        <w:jc w:val="both"/>
        <w:rPr>
          <w:rFonts w:ascii="Times New Roman" w:hAnsi="Times New Roman" w:cs="Times New Roman"/>
          <w:sz w:val="26"/>
          <w:szCs w:val="26"/>
        </w:rPr>
      </w:pPr>
      <w:r w:rsidRPr="009C0AEB">
        <w:rPr>
          <w:rFonts w:ascii="Times New Roman" w:hAnsi="Times New Roman" w:cs="Times New Roman"/>
          <w:sz w:val="26"/>
          <w:szCs w:val="26"/>
        </w:rPr>
        <w:t xml:space="preserve">Đối với kỳ hạn 12 tháng, lãi suất huy động của Nam A Bank trong giai đoạn 2023–2025 có xu hướng biến động ổn định hơn so với các kỳ hạn ngắn và trung hạn. Đây là kỳ hạn dài, </w:t>
      </w:r>
      <w:r w:rsidRPr="009C0AEB">
        <w:rPr>
          <w:rFonts w:ascii="Times New Roman" w:hAnsi="Times New Roman" w:cs="Times New Roman"/>
          <w:sz w:val="26"/>
          <w:szCs w:val="26"/>
        </w:rPr>
        <w:lastRenderedPageBreak/>
        <w:t>đóng vai trò quan trọng trong việc tạo nguồn vốn ổn định cho ngân hàng phục vụ hoạt động cho vay trung và dài hạn.</w:t>
      </w:r>
    </w:p>
    <w:p w14:paraId="7411C3E8" w14:textId="77777777" w:rsidR="0042797D" w:rsidRPr="009C0AEB" w:rsidRDefault="0042797D" w:rsidP="0042797D">
      <w:pPr>
        <w:spacing w:line="360" w:lineRule="auto"/>
        <w:jc w:val="both"/>
        <w:rPr>
          <w:rFonts w:ascii="Times New Roman" w:hAnsi="Times New Roman" w:cs="Times New Roman"/>
          <w:sz w:val="26"/>
          <w:szCs w:val="26"/>
        </w:rPr>
      </w:pPr>
      <w:r w:rsidRPr="009C0AEB">
        <w:rPr>
          <w:rFonts w:ascii="Times New Roman" w:hAnsi="Times New Roman" w:cs="Times New Roman"/>
          <w:sz w:val="26"/>
          <w:szCs w:val="26"/>
        </w:rPr>
        <w:t>Tại thời điểm tháng 6/2023, lãi suất kỳ hạn 12 tháng đạt mức 7,3%/năm. Mức lãi suất cao này phản ánh nhu cầu huy động vốn dài hạn của Nam A Bank trong bối cảnh hệ thống ngân hàng chịu áp lực thanh khoản và cạnh tranh huy động vốn diễn ra gay gắt. Ngoài ra, việc duy trì lãi suất cao ở kỳ hạn dài còn nhằm thu hút khách hàng gửi tiền lâu dài, giúp ngân hàng ổn định nguồn vốn phục vụ hoạt động tín dụng.</w:t>
      </w:r>
      <w:r>
        <w:rPr>
          <w:rFonts w:ascii="Times New Roman" w:hAnsi="Times New Roman" w:cs="Times New Roman"/>
          <w:sz w:val="26"/>
          <w:szCs w:val="26"/>
        </w:rPr>
        <w:t xml:space="preserve"> </w:t>
      </w:r>
      <w:r w:rsidRPr="009C0AEB">
        <w:rPr>
          <w:rFonts w:ascii="Times New Roman" w:hAnsi="Times New Roman" w:cs="Times New Roman"/>
          <w:sz w:val="26"/>
          <w:szCs w:val="26"/>
        </w:rPr>
        <w:t>Đến tháng 12/2023, lãi suất kỳ hạn 12 tháng giảm xuống còn 5,5%/năm. Nguyên nhân chủ yếu là do mặt bằng lãi suất toàn thị trường giảm mạnh sau các đợt điều chỉnh chính sách tiền tệ của Ngân hàng Nhà nước. Khi áp lực thanh khoản giảm bớt và nguồn vốn huy động trở nên ổn định hơn, các ngân hàng không còn cần duy trì mức lãi suất quá cao như trước.</w:t>
      </w:r>
    </w:p>
    <w:p w14:paraId="689599E8" w14:textId="77777777" w:rsidR="0042797D" w:rsidRPr="009C0AEB" w:rsidRDefault="0042797D" w:rsidP="0042797D">
      <w:pPr>
        <w:spacing w:line="360" w:lineRule="auto"/>
        <w:jc w:val="both"/>
        <w:rPr>
          <w:rFonts w:ascii="Times New Roman" w:hAnsi="Times New Roman" w:cs="Times New Roman"/>
          <w:sz w:val="26"/>
          <w:szCs w:val="26"/>
        </w:rPr>
      </w:pPr>
      <w:r w:rsidRPr="009C0AEB">
        <w:rPr>
          <w:rFonts w:ascii="Times New Roman" w:hAnsi="Times New Roman" w:cs="Times New Roman"/>
          <w:sz w:val="26"/>
          <w:szCs w:val="26"/>
        </w:rPr>
        <w:t>Trong năm 2024, lãi suất kỳ hạn 12 tháng duy trì ở mức khá ổn định là 5,3%/năm trong cả tháng 6 và tháng 12. Điều này cho thấy Nam A Bank đang duy trì chiến lược huy động vốn dài hạn ổn định nhằm đảm bảo cân đối nguồn vốn và hạn chế rủi ro thanh khoản. Đồng thời, việc giữ mức lãi suất tương đối hấp dẫn ở kỳ hạn dài còn giúp ngân hàng giữ chân khách hàng gửi tiết kiệm trong bối cảnh cạnh tranh giữa các tổ chức tín dụng ngày càng lớn.</w:t>
      </w:r>
    </w:p>
    <w:p w14:paraId="4E3E5895" w14:textId="77777777" w:rsidR="0042797D" w:rsidRPr="009C0AEB" w:rsidRDefault="0042797D" w:rsidP="0042797D">
      <w:pPr>
        <w:spacing w:line="360" w:lineRule="auto"/>
        <w:jc w:val="both"/>
        <w:rPr>
          <w:rFonts w:ascii="Times New Roman" w:hAnsi="Times New Roman" w:cs="Times New Roman"/>
          <w:sz w:val="26"/>
          <w:szCs w:val="26"/>
        </w:rPr>
      </w:pPr>
      <w:r w:rsidRPr="009C0AEB">
        <w:rPr>
          <w:rFonts w:ascii="Times New Roman" w:hAnsi="Times New Roman" w:cs="Times New Roman"/>
          <w:sz w:val="26"/>
          <w:szCs w:val="26"/>
        </w:rPr>
        <w:t>Sang năm 2025, lãi suất kỳ hạn 12 tháng tiếp tục duy trì ở mức 5,3% vào tháng 6/2025 và tăng nhẹ lên 5,5% vào tháng 12/2025. Diễn biến này phản ánh kỳ vọng tăng trưởng tín dụng trung và dài hạn của nền kinh tế trong giai đoạn phục hồi. Khi nhu cầu đầu tư, sản xuất kinh doanh và tiêu dùng tăng lên, các ngân hàng có xu hướng nâng nhẹ lãi suất kỳ hạn dài để thu hút nguồn vốn ổn định phục vụ cho hoạt động cho vay.</w:t>
      </w:r>
    </w:p>
    <w:p w14:paraId="48D93D45" w14:textId="77777777" w:rsidR="0042797D" w:rsidRPr="00FB45C3" w:rsidRDefault="0042797D" w:rsidP="0042797D">
      <w:pPr>
        <w:spacing w:line="360" w:lineRule="auto"/>
        <w:jc w:val="both"/>
        <w:rPr>
          <w:rFonts w:ascii="Times New Roman" w:hAnsi="Times New Roman" w:cs="Times New Roman"/>
          <w:sz w:val="26"/>
          <w:szCs w:val="26"/>
        </w:rPr>
      </w:pPr>
      <w:r w:rsidRPr="009C0AEB">
        <w:rPr>
          <w:rFonts w:ascii="Times New Roman" w:hAnsi="Times New Roman" w:cs="Times New Roman"/>
          <w:sz w:val="26"/>
          <w:szCs w:val="26"/>
        </w:rPr>
        <w:t>Tổng thể, lãi suất kỳ hạn 12 tháng trong giai đoạn 2023–2025 có xu hướng giảm mạnh trong năm 2023 và ổn định hơn trong giai đoạn 2024–2025. So với kỳ hạn 1 tháng và 6 tháng, lãi suất kỳ hạn 12 tháng có mức biến động thấp hơn, phản ánh chiến lược ưu tiên ổn định nguồn vốn dài hạn của Nam A Bank trong hoạt động huy động vốn.</w:t>
      </w:r>
    </w:p>
    <w:p w14:paraId="5110648B" w14:textId="77777777" w:rsidR="0042797D" w:rsidRDefault="0042797D" w:rsidP="0042797D">
      <w:pPr>
        <w:spacing w:line="360" w:lineRule="auto"/>
        <w:jc w:val="both"/>
        <w:rPr>
          <w:rFonts w:ascii="Times New Roman" w:hAnsi="Times New Roman" w:cs="Times New Roman"/>
          <w:b/>
          <w:bCs/>
          <w:sz w:val="26"/>
          <w:szCs w:val="26"/>
        </w:rPr>
      </w:pPr>
      <w:r w:rsidRPr="00EA5796">
        <w:rPr>
          <w:rFonts w:ascii="Times New Roman" w:hAnsi="Times New Roman" w:cs="Times New Roman"/>
          <w:b/>
          <w:bCs/>
          <w:sz w:val="26"/>
          <w:szCs w:val="26"/>
        </w:rPr>
        <w:lastRenderedPageBreak/>
        <w:t xml:space="preserve">2.4.3 So sánh lãi suất của Ngân hàng TMCP Nam Á – Chi nhánh Đà Nẵng – PGD Cẩm Lệ với các Ngân hàng thương mại giai đoạn 2023 </w:t>
      </w:r>
      <w:r>
        <w:rPr>
          <w:rFonts w:ascii="Times New Roman" w:hAnsi="Times New Roman" w:cs="Times New Roman"/>
          <w:b/>
          <w:bCs/>
          <w:sz w:val="26"/>
          <w:szCs w:val="26"/>
        </w:rPr>
        <w:t>–</w:t>
      </w:r>
      <w:r w:rsidRPr="00EA5796">
        <w:rPr>
          <w:rFonts w:ascii="Times New Roman" w:hAnsi="Times New Roman" w:cs="Times New Roman"/>
          <w:b/>
          <w:bCs/>
          <w:sz w:val="26"/>
          <w:szCs w:val="26"/>
        </w:rPr>
        <w:t xml:space="preserve"> 2025</w:t>
      </w:r>
    </w:p>
    <w:p w14:paraId="7CEE1896" w14:textId="77777777" w:rsidR="0042797D" w:rsidRPr="004B58A1" w:rsidRDefault="0042797D" w:rsidP="0042797D">
      <w:pPr>
        <w:spacing w:line="360" w:lineRule="auto"/>
        <w:jc w:val="both"/>
        <w:rPr>
          <w:rFonts w:ascii="Times New Roman" w:hAnsi="Times New Roman" w:cs="Times New Roman"/>
          <w:sz w:val="26"/>
          <w:szCs w:val="26"/>
        </w:rPr>
      </w:pPr>
      <w:r>
        <w:rPr>
          <w:rFonts w:ascii="Times New Roman" w:hAnsi="Times New Roman" w:cs="Times New Roman"/>
          <w:b/>
          <w:bCs/>
          <w:sz w:val="26"/>
          <w:szCs w:val="26"/>
        </w:rPr>
        <w:t xml:space="preserve">   </w:t>
      </w:r>
      <w:r w:rsidRPr="00133ADF">
        <w:rPr>
          <w:rFonts w:ascii="Times New Roman" w:hAnsi="Times New Roman" w:cs="Times New Roman"/>
          <w:sz w:val="26"/>
          <w:szCs w:val="26"/>
        </w:rPr>
        <w:t>Trong bối cảnh thị trường tài chính – ngân hàng ngày càng cạnh tranh, lãi suất huy động là một trong những yếu tố then chốt ảnh hưởng trực tiếp đến khả năng thu hút nguồn vốn từ khách hàng cá nhân. Việc so sánh lãi suất huy động của Ngân hàng TMCP Nam Á với một số ngân hàng thương mại khác giúp đánh giá mức độ cạnh tranh về lãi suất, đồng thời phản ánh chiến lược điều hành lãi suất của ngân hàng trong từng thời kỳ. Thông qua so sánh này, có thể nhận diện vị thế của Nam Á Bank trên thị trường huy động vốn cũng như làm rõ mối quan hệ giữa chính sách lãi suất và chi phí huy động vốn đối với khách hàng cá nhân.</w:t>
      </w:r>
    </w:p>
    <w:p w14:paraId="55322881" w14:textId="77777777" w:rsidR="0042797D" w:rsidRDefault="0042797D" w:rsidP="0042797D">
      <w:pPr>
        <w:spacing w:line="360" w:lineRule="auto"/>
        <w:jc w:val="both"/>
        <w:rPr>
          <w:rFonts w:ascii="Times New Roman" w:hAnsi="Times New Roman" w:cs="Times New Roman"/>
          <w:b/>
          <w:bCs/>
          <w:sz w:val="26"/>
          <w:szCs w:val="26"/>
        </w:rPr>
      </w:pPr>
      <w:r>
        <w:rPr>
          <w:rFonts w:ascii="Times New Roman" w:hAnsi="Times New Roman" w:cs="Times New Roman"/>
          <w:b/>
          <w:bCs/>
          <w:sz w:val="26"/>
          <w:szCs w:val="26"/>
        </w:rPr>
        <w:t>Bảng 2.4.3 Lãi suất 6 tháng của Ngân hàng TMCP Nam Á – Chi nhánh Đà Nẵng – PGD Cẩm Lệ và các Ngân hàng thương mại giai đoạn 2023 – 2025</w:t>
      </w:r>
    </w:p>
    <w:p w14:paraId="0048BA01" w14:textId="77777777" w:rsidR="0042797D" w:rsidRDefault="0042797D" w:rsidP="0042797D">
      <w:pPr>
        <w:spacing w:line="360" w:lineRule="auto"/>
        <w:jc w:val="right"/>
        <w:rPr>
          <w:rFonts w:ascii="Times New Roman" w:hAnsi="Times New Roman" w:cs="Times New Roman"/>
          <w:i/>
          <w:iCs/>
          <w:sz w:val="26"/>
          <w:szCs w:val="26"/>
        </w:rPr>
      </w:pPr>
      <w:r w:rsidRPr="00E00771">
        <w:rPr>
          <w:rFonts w:ascii="Times New Roman" w:hAnsi="Times New Roman" w:cs="Times New Roman"/>
          <w:i/>
          <w:iCs/>
          <w:sz w:val="26"/>
          <w:szCs w:val="26"/>
        </w:rPr>
        <w:t>Đvt: Phần trăm</w:t>
      </w:r>
    </w:p>
    <w:tbl>
      <w:tblPr>
        <w:tblStyle w:val="TableGrid"/>
        <w:tblW w:w="0" w:type="auto"/>
        <w:tblLook w:val="04A0" w:firstRow="1" w:lastRow="0" w:firstColumn="1" w:lastColumn="0" w:noHBand="0" w:noVBand="1"/>
      </w:tblPr>
      <w:tblGrid>
        <w:gridCol w:w="2337"/>
        <w:gridCol w:w="2337"/>
        <w:gridCol w:w="2338"/>
        <w:gridCol w:w="2338"/>
      </w:tblGrid>
      <w:tr w:rsidR="0042797D" w14:paraId="7CA00ED6" w14:textId="77777777" w:rsidTr="002F73B2">
        <w:tc>
          <w:tcPr>
            <w:tcW w:w="2337" w:type="dxa"/>
          </w:tcPr>
          <w:p w14:paraId="01146360"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Lãi suất</w:t>
            </w:r>
          </w:p>
        </w:tc>
        <w:tc>
          <w:tcPr>
            <w:tcW w:w="2337" w:type="dxa"/>
          </w:tcPr>
          <w:p w14:paraId="06351765"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12/2023</w:t>
            </w:r>
          </w:p>
        </w:tc>
        <w:tc>
          <w:tcPr>
            <w:tcW w:w="2338" w:type="dxa"/>
          </w:tcPr>
          <w:p w14:paraId="3DCF4469"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12/2024</w:t>
            </w:r>
          </w:p>
        </w:tc>
        <w:tc>
          <w:tcPr>
            <w:tcW w:w="2338" w:type="dxa"/>
          </w:tcPr>
          <w:p w14:paraId="53805094"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12/2025</w:t>
            </w:r>
          </w:p>
        </w:tc>
      </w:tr>
      <w:tr w:rsidR="0042797D" w14:paraId="21D15FA7" w14:textId="77777777" w:rsidTr="002F73B2">
        <w:tc>
          <w:tcPr>
            <w:tcW w:w="2337" w:type="dxa"/>
          </w:tcPr>
          <w:p w14:paraId="2366161D"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Nam A Bank</w:t>
            </w:r>
          </w:p>
        </w:tc>
        <w:tc>
          <w:tcPr>
            <w:tcW w:w="2337" w:type="dxa"/>
          </w:tcPr>
          <w:p w14:paraId="1E6B1F71"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4,9%</w:t>
            </w:r>
          </w:p>
        </w:tc>
        <w:tc>
          <w:tcPr>
            <w:tcW w:w="2338" w:type="dxa"/>
          </w:tcPr>
          <w:p w14:paraId="0EA201C7"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4,7%</w:t>
            </w:r>
          </w:p>
        </w:tc>
        <w:tc>
          <w:tcPr>
            <w:tcW w:w="2338" w:type="dxa"/>
          </w:tcPr>
          <w:p w14:paraId="782AECF5"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5%</w:t>
            </w:r>
          </w:p>
        </w:tc>
      </w:tr>
      <w:tr w:rsidR="0042797D" w14:paraId="5970D502" w14:textId="77777777" w:rsidTr="002F73B2">
        <w:tc>
          <w:tcPr>
            <w:tcW w:w="2337" w:type="dxa"/>
          </w:tcPr>
          <w:p w14:paraId="784F4BD4"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Techcombank</w:t>
            </w:r>
          </w:p>
        </w:tc>
        <w:tc>
          <w:tcPr>
            <w:tcW w:w="2337" w:type="dxa"/>
          </w:tcPr>
          <w:p w14:paraId="151CECC5"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3,2%</w:t>
            </w:r>
          </w:p>
        </w:tc>
        <w:tc>
          <w:tcPr>
            <w:tcW w:w="2338" w:type="dxa"/>
          </w:tcPr>
          <w:p w14:paraId="11B3F2A6"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2,9%</w:t>
            </w:r>
          </w:p>
        </w:tc>
        <w:tc>
          <w:tcPr>
            <w:tcW w:w="2338" w:type="dxa"/>
          </w:tcPr>
          <w:p w14:paraId="3F707CCF"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3,5%</w:t>
            </w:r>
          </w:p>
        </w:tc>
      </w:tr>
      <w:tr w:rsidR="0042797D" w14:paraId="3CDC0EC5" w14:textId="77777777" w:rsidTr="002F73B2">
        <w:tc>
          <w:tcPr>
            <w:tcW w:w="2337" w:type="dxa"/>
          </w:tcPr>
          <w:p w14:paraId="58A89653"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MB Bank</w:t>
            </w:r>
          </w:p>
        </w:tc>
        <w:tc>
          <w:tcPr>
            <w:tcW w:w="2337" w:type="dxa"/>
          </w:tcPr>
          <w:p w14:paraId="569BDDDF"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5,3%</w:t>
            </w:r>
          </w:p>
        </w:tc>
        <w:tc>
          <w:tcPr>
            <w:tcW w:w="2338" w:type="dxa"/>
          </w:tcPr>
          <w:p w14:paraId="349B872F"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4,7%</w:t>
            </w:r>
          </w:p>
        </w:tc>
        <w:tc>
          <w:tcPr>
            <w:tcW w:w="2338" w:type="dxa"/>
          </w:tcPr>
          <w:p w14:paraId="4D9DE160"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5,2%</w:t>
            </w:r>
          </w:p>
        </w:tc>
      </w:tr>
      <w:tr w:rsidR="0042797D" w14:paraId="6A08D800" w14:textId="77777777" w:rsidTr="002F73B2">
        <w:tc>
          <w:tcPr>
            <w:tcW w:w="2337" w:type="dxa"/>
          </w:tcPr>
          <w:p w14:paraId="612F6ECF"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VPBank</w:t>
            </w:r>
          </w:p>
        </w:tc>
        <w:tc>
          <w:tcPr>
            <w:tcW w:w="2337" w:type="dxa"/>
          </w:tcPr>
          <w:p w14:paraId="73BAF3D5"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4,5%</w:t>
            </w:r>
          </w:p>
        </w:tc>
        <w:tc>
          <w:tcPr>
            <w:tcW w:w="2338" w:type="dxa"/>
          </w:tcPr>
          <w:p w14:paraId="66291D26"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4,1%</w:t>
            </w:r>
          </w:p>
        </w:tc>
        <w:tc>
          <w:tcPr>
            <w:tcW w:w="2338" w:type="dxa"/>
          </w:tcPr>
          <w:p w14:paraId="525034DD" w14:textId="77777777" w:rsidR="0042797D" w:rsidRDefault="0042797D" w:rsidP="002F73B2">
            <w:pPr>
              <w:spacing w:line="360" w:lineRule="auto"/>
              <w:rPr>
                <w:rFonts w:ascii="Times New Roman" w:hAnsi="Times New Roman" w:cs="Times New Roman"/>
                <w:sz w:val="26"/>
                <w:szCs w:val="26"/>
              </w:rPr>
            </w:pPr>
            <w:r>
              <w:rPr>
                <w:rFonts w:ascii="Times New Roman" w:hAnsi="Times New Roman" w:cs="Times New Roman"/>
                <w:sz w:val="26"/>
                <w:szCs w:val="26"/>
              </w:rPr>
              <w:t>4,8%</w:t>
            </w:r>
          </w:p>
        </w:tc>
      </w:tr>
    </w:tbl>
    <w:p w14:paraId="70537068" w14:textId="77777777" w:rsidR="0042797D" w:rsidRDefault="0042797D" w:rsidP="0042797D">
      <w:pPr>
        <w:spacing w:line="360" w:lineRule="auto"/>
        <w:jc w:val="right"/>
        <w:rPr>
          <w:rFonts w:ascii="Times New Roman" w:hAnsi="Times New Roman" w:cs="Times New Roman"/>
          <w:i/>
          <w:iCs/>
          <w:sz w:val="26"/>
          <w:szCs w:val="26"/>
        </w:rPr>
      </w:pPr>
      <w:r w:rsidRPr="00923560">
        <w:rPr>
          <w:rFonts w:ascii="Times New Roman" w:hAnsi="Times New Roman" w:cs="Times New Roman"/>
          <w:i/>
          <w:iCs/>
          <w:sz w:val="26"/>
          <w:szCs w:val="26"/>
        </w:rPr>
        <w:t>( Nguồn: Tại website từng ngân hàng)</w:t>
      </w:r>
    </w:p>
    <w:p w14:paraId="4C0C4203" w14:textId="77777777" w:rsidR="0042797D" w:rsidRPr="00A210B8"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A210B8">
        <w:rPr>
          <w:rFonts w:ascii="Times New Roman" w:hAnsi="Times New Roman" w:cs="Times New Roman"/>
          <w:sz w:val="26"/>
          <w:szCs w:val="26"/>
        </w:rPr>
        <w:t xml:space="preserve">Căn cứ </w:t>
      </w:r>
      <w:r w:rsidRPr="000301BA">
        <w:rPr>
          <w:rFonts w:ascii="Times New Roman" w:hAnsi="Times New Roman" w:cs="Times New Roman"/>
          <w:sz w:val="26"/>
          <w:szCs w:val="26"/>
        </w:rPr>
        <w:t>Bảng 2.4.3</w:t>
      </w:r>
      <w:r w:rsidRPr="00A210B8">
        <w:rPr>
          <w:rFonts w:ascii="Times New Roman" w:hAnsi="Times New Roman" w:cs="Times New Roman"/>
          <w:sz w:val="26"/>
          <w:szCs w:val="26"/>
        </w:rPr>
        <w:t xml:space="preserve">, có thể thấy lãi suất huy động của Ngân hàng TMCP Nam Á trong giai đoạn 2023–2025 được duy trì ở mức </w:t>
      </w:r>
      <w:r w:rsidRPr="000301BA">
        <w:rPr>
          <w:rFonts w:ascii="Times New Roman" w:hAnsi="Times New Roman" w:cs="Times New Roman"/>
          <w:sz w:val="26"/>
          <w:szCs w:val="26"/>
        </w:rPr>
        <w:t>tương đối cạnh tranh</w:t>
      </w:r>
      <w:r w:rsidRPr="00A210B8">
        <w:rPr>
          <w:rFonts w:ascii="Times New Roman" w:hAnsi="Times New Roman" w:cs="Times New Roman"/>
          <w:sz w:val="26"/>
          <w:szCs w:val="26"/>
        </w:rPr>
        <w:t xml:space="preserve"> so với các ngân hàng thương mại khác, đồng thời phản ánh rõ định hướng điều hành lãi suất linh hoạt theo từng thời kỳ.</w:t>
      </w:r>
    </w:p>
    <w:p w14:paraId="0D4D4D3A" w14:textId="77777777" w:rsidR="0042797D" w:rsidRPr="000301BA"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0301BA">
        <w:rPr>
          <w:rFonts w:ascii="Times New Roman" w:hAnsi="Times New Roman" w:cs="Times New Roman"/>
          <w:sz w:val="26"/>
          <w:szCs w:val="26"/>
        </w:rPr>
        <w:t xml:space="preserve">Trong năm 2023, lãi suất huy động của Nam Á Bank đạt 4,9%, cao hơn đáng kể so với Vietcombank (3,2%) và VPBank (4,5%), nhưng thấp hơn Vietbank (5,3%). Điều này cho thấy Nam Á Bank không thuộc nhóm ngân hàng có lãi suất thấp nhất, song cũng không </w:t>
      </w:r>
      <w:r w:rsidRPr="000301BA">
        <w:rPr>
          <w:rFonts w:ascii="Times New Roman" w:hAnsi="Times New Roman" w:cs="Times New Roman"/>
          <w:sz w:val="26"/>
          <w:szCs w:val="26"/>
        </w:rPr>
        <w:lastRenderedPageBreak/>
        <w:t>chạy đua lãi suất cao nhất trên thị trường. Mức lãi suất này giúp ngân hàng duy trì khả năng thu hút vốn từ khách hàng cá nhân trong khi vẫn kiểm soát được chi phí huy động vốn.</w:t>
      </w:r>
    </w:p>
    <w:p w14:paraId="69985F44" w14:textId="77777777" w:rsidR="0042797D"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C678DC">
        <w:rPr>
          <w:rFonts w:ascii="Times New Roman" w:hAnsi="Times New Roman" w:cs="Times New Roman"/>
          <w:sz w:val="26"/>
          <w:szCs w:val="26"/>
        </w:rPr>
        <w:t>Sang năm 2024, mặt bằng lãi suất huy động của các ngân hàng có xu hướng giảm để phù hợp với bối cảnh thị trường và chính sách tiền tệ nới lỏng. Trong giai đoạn này, lãi suất của Nam Á Bank giảm xuống 4,7%, ngang bằng với Vietbank (4,7%), cao hơn VPBank (4,1%) và tiếp tục cao hơn mức lãi suất của Vietcombank (2,9%). Điều này cho thấy Nam Á Bank vẫn duy trì chính sách lãi suất mang tính cạnh tranh, đặc biệt so với nhóm ngân hàng lớn có xu hướng áp dụng mặt bằng lãi suất thấp nhằm tối ưu chi phí vốn.</w:t>
      </w:r>
    </w:p>
    <w:p w14:paraId="158BB28F" w14:textId="77777777" w:rsidR="0042797D" w:rsidRPr="00F76A76"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F76A76">
        <w:rPr>
          <w:rFonts w:ascii="Times New Roman" w:hAnsi="Times New Roman" w:cs="Times New Roman"/>
          <w:sz w:val="26"/>
          <w:szCs w:val="26"/>
        </w:rPr>
        <w:t>Đến năm 2025, lãi suất huy động của Nam Á Bank được điều chỉnh tăng lên 5,0%, phản ánh sự phục hồi của nhu cầu vốn trên thị trường. So sánh với các ngân hàng khác, mức lãi suất này cao hơn Vietcombank (3,5%) và VPBank (4,8%), nhưng vẫn thấp hơn nhẹ so với Vietbank (5,2%). Như vậy, Nam Á Bank tiếp tục giữ vị thế ở nhóm trung bình khá về lãi suất huy động, tạo sự cân bằng giữa khả năng cạnh tranh trong thu hút tiền gửi và mục tiêu kiểm soát chi phí huy động vốn.</w:t>
      </w:r>
    </w:p>
    <w:p w14:paraId="2B4DDF48" w14:textId="77777777" w:rsidR="0042797D" w:rsidRPr="006E2EAC"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w:t>
      </w:r>
      <w:r w:rsidRPr="006E2EAC">
        <w:rPr>
          <w:rFonts w:ascii="Times New Roman" w:hAnsi="Times New Roman" w:cs="Times New Roman"/>
          <w:sz w:val="26"/>
          <w:szCs w:val="26"/>
        </w:rPr>
        <w:t>Nhìn chung, qua ba năm 2023–2025, lãi suất huy động của Ngân hàng TMCP Nam Á luôn cao hơn nhóm ngân hàng có mặt bằng lãi suất thấp như Vietcombank, tiệm cận với các ngân hàng thương mại cổ phần như VPBank và Vietbank, song không theo đuổi chiến lược lãi suất cao vượt trội. Điều này cho thấy Nam Á Bank lựa chọn chiến lược cạnh tranh vừa phải về lãi suất, phù hợp với định hướng phát triển ổn định, hạn chế áp lực chi phí trả lãi và góp phần nâng cao hiệu quả hoạt động huy động vốn đối với khách hàng cá nhân.</w:t>
      </w:r>
    </w:p>
    <w:p w14:paraId="657BA3FF" w14:textId="77777777" w:rsidR="0042797D" w:rsidRPr="004E5837" w:rsidRDefault="0042797D" w:rsidP="0042797D">
      <w:pPr>
        <w:spacing w:line="360" w:lineRule="auto"/>
        <w:jc w:val="both"/>
        <w:rPr>
          <w:rFonts w:ascii="Times New Roman" w:hAnsi="Times New Roman" w:cs="Times New Roman"/>
          <w:b/>
          <w:bCs/>
          <w:sz w:val="26"/>
          <w:szCs w:val="26"/>
        </w:rPr>
      </w:pPr>
      <w:r w:rsidRPr="004E5837">
        <w:rPr>
          <w:rFonts w:ascii="Times New Roman" w:hAnsi="Times New Roman" w:cs="Times New Roman"/>
          <w:b/>
          <w:bCs/>
          <w:sz w:val="26"/>
          <w:szCs w:val="26"/>
        </w:rPr>
        <w:t>2.5 Đánh giá chung tình hình huy động vốn đối với khách hàng cá nhân tại Ngân hàng TMCP Nam Á – Chi nhánh Đà Nẵng – PGD Cẩm Lệ</w:t>
      </w:r>
    </w:p>
    <w:p w14:paraId="534F5B7B" w14:textId="77777777" w:rsidR="0042797D" w:rsidRDefault="0042797D" w:rsidP="0042797D">
      <w:pPr>
        <w:spacing w:line="360" w:lineRule="auto"/>
        <w:jc w:val="both"/>
      </w:pPr>
      <w:r>
        <w:rPr>
          <w:rFonts w:ascii="Times New Roman" w:hAnsi="Times New Roman" w:cs="Times New Roman"/>
          <w:sz w:val="26"/>
          <w:szCs w:val="26"/>
        </w:rPr>
        <w:t xml:space="preserve"> </w:t>
      </w:r>
      <w:r>
        <w:rPr>
          <w:rFonts w:ascii="Times New Roman" w:hAnsi="Times New Roman"/>
          <w:b/>
          <w:bCs/>
          <w:sz w:val="26"/>
          <w:szCs w:val="26"/>
        </w:rPr>
        <w:t>2.5.1 Những kết quả đạt được</w:t>
      </w:r>
    </w:p>
    <w:p w14:paraId="26756277" w14:textId="77777777" w:rsidR="0042797D" w:rsidRDefault="0042797D" w:rsidP="0042797D">
      <w:pPr>
        <w:spacing w:line="360" w:lineRule="auto"/>
        <w:jc w:val="both"/>
      </w:pPr>
      <w:r>
        <w:rPr>
          <w:rFonts w:ascii="Times New Roman" w:hAnsi="Times New Roman"/>
          <w:sz w:val="26"/>
          <w:szCs w:val="26"/>
        </w:rPr>
        <w:t xml:space="preserve">   Qua quá trình phân tích thực trạng hoạt động huy động vốn đối với khách hàng cá nhân tại Ngân hàng TMCP Nam Á – Chi nhánh Đà Nẵng – PGD Cẩm Lệ giai đoạn 2023–2025, có thể thấy đơn vị đã đạt được nhiều kết quả tích cực. Những kết quả này không chỉ thể hiện ở sự gia tăng về quy mô nguồn vốn huy động mà còn phản ánh ở việc duy trì được cơ </w:t>
      </w:r>
      <w:r>
        <w:rPr>
          <w:rFonts w:ascii="Times New Roman" w:hAnsi="Times New Roman"/>
          <w:sz w:val="26"/>
          <w:szCs w:val="26"/>
        </w:rPr>
        <w:lastRenderedPageBreak/>
        <w:t>cấu nguồn vốn tương đối ổn định, phù hợp với đặc điểm khách hàng cá nhân và định hướng phát triển ngân hàng bán lẻ của đơn vị. Đây là nền tảng quan trọng giúp PGD từng bước nâng cao khả năng cạnh tranh, củng cố chất lượng nguồn vốn đầu vào và tạo điều kiện thuận lợi cho hoạt động sử dụng vốn trong những giai đoạn tiếp theo.</w:t>
      </w:r>
    </w:p>
    <w:p w14:paraId="004F2E79" w14:textId="77777777" w:rsidR="0042797D" w:rsidRDefault="0042797D" w:rsidP="0042797D">
      <w:pPr>
        <w:spacing w:line="360" w:lineRule="auto"/>
        <w:jc w:val="both"/>
      </w:pPr>
      <w:r>
        <w:rPr>
          <w:rFonts w:ascii="Times New Roman" w:hAnsi="Times New Roman"/>
          <w:sz w:val="26"/>
          <w:szCs w:val="26"/>
        </w:rPr>
        <w:t xml:space="preserve">   Trước hết, một trong những kết quả nổi bật nhất là nguồn vốn huy động từ khách hàng cá nhân của PGD Cẩm Lệ tăng trưởng khá ổn định qua các năm. Sự gia tăng liên tục về quy mô cho thấy đơn vị đã duy trì tương đối tốt khả năng thu hút nguồn tiền nhàn rỗi từ khu vực dân cư, đồng thời giữ vững được vai trò của khách hàng cá nhân như là nhóm khách hàng trọng tâm trong hoạt động huy động vốn. Đây là một ưu điểm quan trọng bởi nguồn vốn từ khách hàng cá nhân thường có tính phân tán, ổn định tương đối và ít phụ thuộc vào một số khách hàng lớn, từ đó góp phần giúp ngân hàng hạn chế rủi ro tập trung nguồn vốn. Việc duy trì được tốc độ tăng trưởng đều ở nhóm khách hàng này cũng phản ánh sự phù hợp trong công tác tiếp thị, chăm sóc khách hàng, chính sách sản phẩm cũng như mức độ uy tín của phòng giao dịch trên địa bàn.</w:t>
      </w:r>
    </w:p>
    <w:p w14:paraId="78B6971E" w14:textId="77777777" w:rsidR="0042797D" w:rsidRDefault="0042797D" w:rsidP="0042797D">
      <w:pPr>
        <w:spacing w:line="360" w:lineRule="auto"/>
        <w:jc w:val="both"/>
      </w:pPr>
      <w:r>
        <w:rPr>
          <w:rFonts w:ascii="Times New Roman" w:hAnsi="Times New Roman"/>
          <w:sz w:val="26"/>
          <w:szCs w:val="26"/>
        </w:rPr>
        <w:t xml:space="preserve">   Bên cạnh đó, cơ cấu huy động vốn theo kỳ hạn của PGD có nhiều chuyển biến tích cực. Các khoản mục có kỳ hạn vẫn luôn chiếm tỷ trọng cao trong tổng nguồn vốn huy động từ khách hàng cá nhân, cho thấy đơn vị đã xây dựng được nền vốn có mức độ ổn định tương đối tốt. Đặc biệt, nhóm tiền gửi có kỳ hạn dưới 12 tháng vừa chiếm tỷ trọng lớn, vừa tăng trưởng đều qua các năm, phản ánh khả năng nắm bắt khá tốt nhu cầu gửi tiền phổ biến của khách hàng cá nhân – tức vừa muốn đảm bảo tính an toàn, vừa cần sự linh hoạt trong kế hoạch sử dụng vốn. Không chỉ vậy, sự cải thiện của nhóm tiền gửi có kỳ hạn trong năm cuối kỳ cũng cho thấy chất lượng nguồn vốn huy động của PGD đang có xu hướng tích cực hơn. Đây là kết quả đáng ghi nhận vì nguồn vốn có kỳ hạn, nhất là khi duy trì được tỷ trọng cao và tăng trưởng ổn định, sẽ giúp ngân hàng chủ động hơn trong cân đối nguồn – sử dụng vốn, nâng cao khả năng quản trị thanh khoản và tạo nền tảng vững chắc cho hoạt động kinh doanh.</w:t>
      </w:r>
    </w:p>
    <w:p w14:paraId="0FD05ED3" w14:textId="77777777" w:rsidR="0042797D" w:rsidRDefault="0042797D" w:rsidP="0042797D">
      <w:pPr>
        <w:spacing w:line="360" w:lineRule="auto"/>
        <w:jc w:val="both"/>
      </w:pPr>
      <w:r>
        <w:rPr>
          <w:rFonts w:ascii="Times New Roman" w:hAnsi="Times New Roman"/>
          <w:sz w:val="26"/>
          <w:szCs w:val="26"/>
        </w:rPr>
        <w:t xml:space="preserve">   Xét theo cơ cấu sản phẩm, PGD Cẩm Lệ cũng đạt được nhiều kết quả khả quan khi vừa duy trì tốt các sản phẩm huy động truyền thống có tỷ trọng lớn, vừa từng bước phát triển </w:t>
      </w:r>
      <w:r>
        <w:rPr>
          <w:rFonts w:ascii="Times New Roman" w:hAnsi="Times New Roman"/>
          <w:sz w:val="26"/>
          <w:szCs w:val="26"/>
        </w:rPr>
        <w:lastRenderedPageBreak/>
        <w:t>những sản phẩm có mức tăng trưởng tương đối đều. Những sản phẩm giữ vai trò chủ lực vẫn tiếp tục chiếm tỷ trọng cao trong cơ cấu huy động, cho thấy ngân hàng đã bảo toàn được nền khách hàng truyền thống và duy trì được các sản phẩm có sức hút lớn đối với khách hàng cá nhân. Đồng thời, một số sản phẩm gắn với nhu cầu thanh toán, giao dịch và tích lũy hiện đại cũng có xu hướng tăng trưởng qua các năm, phản ánh sự thích ứng của đơn vị với sự thay đổi trong hành vi sử dụng dịch vụ tài chính của khách hàng. Điều này cho thấy hoạt động huy động vốn của PGD không còn chỉ dựa vào một nhóm sản phẩm đơn lẻ mà đang từng bước mở rộng theo hướng đa dạng hơn, linh hoạt hơn và phù hợp hơn với nhu cầu thực tế của từng phân khúc khách hàng cá nhân.</w:t>
      </w:r>
    </w:p>
    <w:p w14:paraId="47D28F5B" w14:textId="77777777" w:rsidR="0042797D" w:rsidRDefault="0042797D" w:rsidP="0042797D">
      <w:pPr>
        <w:spacing w:line="360" w:lineRule="auto"/>
        <w:jc w:val="both"/>
      </w:pPr>
      <w:r>
        <w:rPr>
          <w:rFonts w:ascii="Times New Roman" w:hAnsi="Times New Roman"/>
          <w:sz w:val="26"/>
          <w:szCs w:val="26"/>
        </w:rPr>
        <w:t xml:space="preserve">   Đáng chú ý, trong cơ cấu sản phẩm huy động vốn, có những khoản mục không chỉ chiếm tỷ trọng cao mà còn duy trì được đà tăng trưởng tương đối ổn định qua các năm. Đây là một điểm mạnh rất đáng ghi nhận vì những sản phẩm như vậy thường giữ vai trò nền tảng trong hoạt động huy động vốn, giúp ngân hàng vừa bảo đảm quy mô nguồn vốn, vừa nâng cao mức độ bền vững của cơ cấu huy động. Đồng thời, việc một số sản phẩm thanh toán và tích lũy tăng dần cả về giá trị lẫn vị thế trong cơ cấu huy động cũng phản ánh hiệu quả bước đầu của quá trình số hóa, bán chéo sản phẩm và mở rộng tiện ích dịch vụ tại đơn vị. Kết quả này cho thấy PGD đã từng bước khai thác tốt hơn nhu cầu sử dụng tài khoản thanh toán, dịch vụ ngân hàng điện tử và các sản phẩm tích lũy chuyên biệt của khách hàng cá nhân, qua đó góp phần làm cho cơ cấu nguồn vốn trở nên linh hoạt và hiện đại hơn.</w:t>
      </w:r>
    </w:p>
    <w:p w14:paraId="73D27391" w14:textId="77777777" w:rsidR="0042797D" w:rsidRDefault="0042797D" w:rsidP="0042797D">
      <w:pPr>
        <w:spacing w:line="360" w:lineRule="auto"/>
        <w:jc w:val="both"/>
      </w:pPr>
      <w:r>
        <w:rPr>
          <w:rFonts w:ascii="Times New Roman" w:hAnsi="Times New Roman"/>
          <w:sz w:val="26"/>
          <w:szCs w:val="26"/>
        </w:rPr>
        <w:t xml:space="preserve">   Ngoài ra, cơ cấu huy động vốn theo loại tiền của PGD cũng cho thấy một kết quả tích cực là nguồn vốn huy động bằng nội tệ luôn chiếm tỷ trọng áp đảo và tiếp tục tăng qua các năm. Đây là một ưu điểm quan trọng vì nội tệ là loại tiền phù hợp trực tiếp với nhu cầu gửi tiền, thanh toán và sử dụng vốn chủ yếu của khách hàng cá nhân trong nước. Việc duy trì được nguồn vốn nội tệ ở quy mô lớn không chỉ giúp ngân hàng thuận lợi hơn trong cân đối nguồn vốn cho hoạt động kinh doanh, mà còn góp phần hạn chế rủi ro do biến động tỷ giá và bảo đảm sự ổn định tương đối của cơ cấu huy động. Đồng thời, sự gia tăng của ngoại tệ dù ở tỷ trọng nhỏ cũng cho thấy đơn vị đã bước đầu đa dạng hóa được nguồn vốn theo loại tiền, đáp ứng tốt hơn những nhu cầu tài chính ngày càng phong phú của khách hàng.</w:t>
      </w:r>
    </w:p>
    <w:p w14:paraId="6BA875E3" w14:textId="77777777" w:rsidR="0042797D" w:rsidRDefault="0042797D" w:rsidP="0042797D">
      <w:pPr>
        <w:spacing w:line="360" w:lineRule="auto"/>
        <w:jc w:val="both"/>
      </w:pPr>
      <w:r>
        <w:rPr>
          <w:rFonts w:ascii="Times New Roman" w:hAnsi="Times New Roman"/>
          <w:sz w:val="26"/>
          <w:szCs w:val="26"/>
        </w:rPr>
        <w:lastRenderedPageBreak/>
        <w:t xml:space="preserve">   Tóm lại, những kết quả đạt được trong hoạt động huy động vốn đối với khách hàng cá nhân tại PGD Cẩm Lệ trong giai đoạn 2023–2025 cho thấy đơn vị đã xây dựng được nền tảng huy động vốn tương đối vững chắc. Quy mô huy động vốn tăng trưởng ổn định, cơ cấu nguồn vốn từng bước hợp lý hơn, các khoản mục chủ lực vẫn giữ được tỷ trọng cao và một số khoản mục mới đã cho thấy tiềm năng tăng trưởng tích cực. Những kết quả này phản ánh sự phù hợp trong định hướng huy động vốn của đơn vị, đồng thời là cơ sở quan trọng để PGD tiếp tục nâng cao hiệu quả huy động vốn, mở rộng hoạt động ngân hàng bán lẻ và tăng cường năng lực cạnh tranh trong thời gian tới.</w:t>
      </w:r>
    </w:p>
    <w:p w14:paraId="38BF7B2E" w14:textId="77777777" w:rsidR="0042797D" w:rsidRDefault="0042797D" w:rsidP="0042797D">
      <w:pPr>
        <w:spacing w:line="360" w:lineRule="auto"/>
        <w:jc w:val="both"/>
        <w:rPr>
          <w:rFonts w:ascii="Times New Roman" w:hAnsi="Times New Roman"/>
          <w:b/>
          <w:bCs/>
          <w:sz w:val="26"/>
          <w:szCs w:val="26"/>
        </w:rPr>
      </w:pPr>
      <w:r>
        <w:rPr>
          <w:rFonts w:ascii="Times New Roman" w:hAnsi="Times New Roman"/>
          <w:b/>
          <w:bCs/>
          <w:sz w:val="26"/>
          <w:szCs w:val="26"/>
        </w:rPr>
        <w:t>2.4.2 Hạn chế và nguyên nhân trong hoạt động huy động vốn đối với khách hàng cá nhân</w:t>
      </w:r>
    </w:p>
    <w:p w14:paraId="24E554FA" w14:textId="77777777" w:rsidR="0042797D" w:rsidRPr="00D00567" w:rsidRDefault="0042797D" w:rsidP="0042797D">
      <w:pPr>
        <w:spacing w:line="360" w:lineRule="auto"/>
        <w:jc w:val="both"/>
        <w:rPr>
          <w:rFonts w:ascii="Times New Roman" w:hAnsi="Times New Roman" w:cs="Times New Roman"/>
          <w:b/>
          <w:bCs/>
          <w:i/>
          <w:iCs/>
          <w:sz w:val="26"/>
          <w:szCs w:val="26"/>
        </w:rPr>
      </w:pPr>
      <w:r w:rsidRPr="00D00567">
        <w:rPr>
          <w:rFonts w:ascii="Times New Roman" w:hAnsi="Times New Roman" w:cs="Times New Roman"/>
          <w:b/>
          <w:bCs/>
          <w:i/>
          <w:iCs/>
          <w:sz w:val="26"/>
          <w:szCs w:val="26"/>
        </w:rPr>
        <w:t>2.4.2.1 Hạn chế</w:t>
      </w:r>
    </w:p>
    <w:p w14:paraId="0CF9B651" w14:textId="77777777" w:rsidR="0042797D" w:rsidRPr="00466F70" w:rsidRDefault="0042797D" w:rsidP="0042797D">
      <w:pPr>
        <w:spacing w:line="360" w:lineRule="auto"/>
        <w:jc w:val="both"/>
        <w:rPr>
          <w:rFonts w:ascii="Times New Roman" w:hAnsi="Times New Roman" w:cs="Times New Roman"/>
          <w:sz w:val="26"/>
          <w:szCs w:val="26"/>
        </w:rPr>
      </w:pPr>
      <w:r w:rsidRPr="00466F70">
        <w:rPr>
          <w:rFonts w:ascii="Times New Roman" w:hAnsi="Times New Roman" w:cs="Times New Roman"/>
          <w:sz w:val="26"/>
          <w:szCs w:val="26"/>
        </w:rPr>
        <w:t>Bên cạnh những kết quả đạt được, hoạt động huy động vốn đối với khách hàng cá nhân tại Nam A Bank – Chi nhánh Đà Nẵng – PGD Cẩm Lệ vẫn còn tồn tại một số hạn chế nhất định. Trong bối cảnh các ngân hàng hiện nay đang đẩy mạnh chuyển đổi số, đa dạng hóa sản phẩm huy động và cạnh tranh mạnh mẽ về lãi suất cũng như tiện ích dịch vụ, tốc độ tăng trưởng nguồn vốn huy động tại PGD vẫn chưa thực sự tương xứng với tiềm năng phát triển của đơn vị.</w:t>
      </w:r>
    </w:p>
    <w:p w14:paraId="62D3FD71" w14:textId="77777777" w:rsidR="0042797D" w:rsidRPr="00466F70" w:rsidRDefault="0042797D" w:rsidP="0042797D">
      <w:pPr>
        <w:spacing w:line="360" w:lineRule="auto"/>
        <w:jc w:val="both"/>
        <w:rPr>
          <w:rFonts w:ascii="Times New Roman" w:hAnsi="Times New Roman" w:cs="Times New Roman"/>
          <w:sz w:val="26"/>
          <w:szCs w:val="26"/>
        </w:rPr>
      </w:pPr>
      <w:r w:rsidRPr="00466F70">
        <w:rPr>
          <w:rFonts w:ascii="Times New Roman" w:hAnsi="Times New Roman" w:cs="Times New Roman"/>
          <w:sz w:val="26"/>
          <w:szCs w:val="26"/>
        </w:rPr>
        <w:t>Mặc dù quy mô vốn huy động từ khách hàng cá nhân vẫn duy trì xu hướng tăng qua các năm, song mức tăng còn khá chậm và chưa tạo được sự bứt phá rõ rệt. Cụ thể, năm 2024 nguồn vốn huy động từ khách hàng cá nhân tăng 39.863 triệu đồng, tương ứng 8,10% so với năm 2023; đến năm 2025 tiếp tục tăng 63.905 triệu đồng, tương ứng 12,00% so với năm 2024. Tuy có sự gia tăng về giá trị tuyệt đối, nhưng tốc độ tăng trưởng nhìn chung vẫn chưa cao, đặc biệt trong năm 2024 còn thấp hơn tốc độ tăng của tổng nguồn vốn huy động toàn PGD. Điều này cho thấy phân khúc khách hàng cá nhân – vốn là nguồn vốn chủ lực – vẫn chưa phát huy hết vai trò là động lực tăng trưởng chính trong hoạt động huy động vốn của đơn vị.</w:t>
      </w:r>
    </w:p>
    <w:p w14:paraId="79AEC4D8" w14:textId="77777777" w:rsidR="0042797D" w:rsidRPr="00466F70" w:rsidRDefault="0042797D" w:rsidP="0042797D">
      <w:pPr>
        <w:spacing w:line="360" w:lineRule="auto"/>
        <w:jc w:val="both"/>
        <w:rPr>
          <w:rFonts w:ascii="Times New Roman" w:hAnsi="Times New Roman" w:cs="Times New Roman"/>
          <w:sz w:val="26"/>
          <w:szCs w:val="26"/>
        </w:rPr>
      </w:pPr>
      <w:r w:rsidRPr="00466F70">
        <w:rPr>
          <w:rFonts w:ascii="Times New Roman" w:hAnsi="Times New Roman" w:cs="Times New Roman"/>
          <w:sz w:val="26"/>
          <w:szCs w:val="26"/>
        </w:rPr>
        <w:lastRenderedPageBreak/>
        <w:t>Bên cạnh đó, danh mục sản phẩm huy động vốn dành cho khách hàng cá nhân tuy đã được triển khai tương đối đa dạng như tiết kiệm thông thường, tiết kiệm online, Happy Future, Happy Combo hay Happy Lady, nhưng vẫn chưa thật sự tạo được lợi thế cạnh tranh nổi bật trên thị trường. Hiện nay, nhiều ngân hàng đã phát triển mạnh các sản phẩm huy động vốn hiện đại, linh hoạt và tích hợp công nghệ số nhằm gia tăng trải nghiệm khách hàng, trong khi PGD vẫn chưa triển khai các sản phẩm như chứng chỉ tiền gửi – một công cụ huy động vốn trung và dài hạn khá phổ biến, có khả năng thu hút nhóm khách hàng có nguồn tiền nhàn rỗi lớn và nhu cầu đầu tư an toàn. Điều này phần nào làm hạn chế khả năng đa dạng hóa nguồn vốn huy động của đơn vị.</w:t>
      </w:r>
    </w:p>
    <w:p w14:paraId="40C288C8" w14:textId="77777777" w:rsidR="0042797D" w:rsidRPr="00466F70" w:rsidRDefault="0042797D" w:rsidP="0042797D">
      <w:pPr>
        <w:spacing w:line="360" w:lineRule="auto"/>
        <w:jc w:val="both"/>
        <w:rPr>
          <w:rFonts w:ascii="Times New Roman" w:hAnsi="Times New Roman" w:cs="Times New Roman"/>
          <w:sz w:val="26"/>
          <w:szCs w:val="26"/>
        </w:rPr>
      </w:pPr>
      <w:r w:rsidRPr="00466F70">
        <w:rPr>
          <w:rFonts w:ascii="Times New Roman" w:hAnsi="Times New Roman" w:cs="Times New Roman"/>
          <w:sz w:val="26"/>
          <w:szCs w:val="26"/>
        </w:rPr>
        <w:t>Ngoài ra, mức lãi suất huy động tại PGD trong một số thời điểm còn chưa thật sự cạnh tranh so với các ngân hàng khác trên địa bàn, đặc biệt ở các kỳ hạn trung và dài hạn. Trong điều kiện khách hàng ngày càng quan tâm đến lợi ích tài chính và dễ dàng so sánh lãi suất thông qua các nền tảng số, việc thiếu lợi thế về lãi suất có thể ảnh hưởng đến khả năng thu hút khách hàng mới cũng như duy trì nguồn tiền gửi ổn định từ khách hàng hiện hữu.</w:t>
      </w:r>
    </w:p>
    <w:p w14:paraId="0206334E" w14:textId="77777777" w:rsidR="0042797D" w:rsidRPr="00466F70" w:rsidRDefault="0042797D" w:rsidP="0042797D">
      <w:pPr>
        <w:spacing w:line="360" w:lineRule="auto"/>
        <w:jc w:val="both"/>
        <w:rPr>
          <w:rFonts w:ascii="Times New Roman" w:hAnsi="Times New Roman" w:cs="Times New Roman"/>
          <w:sz w:val="26"/>
          <w:szCs w:val="26"/>
        </w:rPr>
      </w:pPr>
      <w:r w:rsidRPr="00466F70">
        <w:rPr>
          <w:rFonts w:ascii="Times New Roman" w:hAnsi="Times New Roman" w:cs="Times New Roman"/>
          <w:sz w:val="26"/>
          <w:szCs w:val="26"/>
        </w:rPr>
        <w:t>Không những vậy, công tác khai thác và chăm sóc khách hàng cá nhân tuy đã được chú trọng nhưng vẫn chưa tạo được sự khác biệt rõ nét. Hoạt động tiếp cận khách hàng mới, mở rộng tệp khách hàng tiềm năng và gia tăng mức độ gắn kết với khách hàng hiện hữu còn hạn chế, dẫn đến hiệu quả khai thác chiều sâu khách hàng chưa cao. Một số sản phẩm có tăng trưởng trong từng giai đoạn nhưng chưa duy trì được tính ổn định lâu dài, cho thấy hiệu quả phát triển sản phẩm và chiến lược giữ chân khách hàng vẫn còn cần được cải thiện.</w:t>
      </w:r>
    </w:p>
    <w:p w14:paraId="42EAF839" w14:textId="77777777" w:rsidR="0042797D" w:rsidRPr="00466F70" w:rsidRDefault="0042797D" w:rsidP="0042797D">
      <w:pPr>
        <w:spacing w:line="360" w:lineRule="auto"/>
        <w:jc w:val="both"/>
        <w:rPr>
          <w:rFonts w:ascii="Times New Roman" w:hAnsi="Times New Roman" w:cs="Times New Roman"/>
          <w:sz w:val="26"/>
          <w:szCs w:val="26"/>
        </w:rPr>
      </w:pPr>
      <w:r w:rsidRPr="00466F70">
        <w:rPr>
          <w:rFonts w:ascii="Times New Roman" w:hAnsi="Times New Roman" w:cs="Times New Roman"/>
          <w:sz w:val="26"/>
          <w:szCs w:val="26"/>
        </w:rPr>
        <w:t>Nếu những hạn chế này kéo dài, PGD sẽ gặp khó khăn trong việc mở rộng quy mô nguồn vốn huy động, nâng cao thị phần huy động từ khu vực dân cư cũng như tăng cường khả năng cạnh tranh với các ngân hàng khác trên địa bàn. Đồng thời, điều này cũng ảnh hưởng đến khả năng tạo lập nguồn vốn ổn định, chủ động cân đối nguồn vốn phục vụ hoạt động tín dụng và nâng cao hiệu quả kinh doanh trong thời gian tới.</w:t>
      </w:r>
    </w:p>
    <w:p w14:paraId="4B418816" w14:textId="77777777" w:rsidR="0042797D" w:rsidRPr="00D00567" w:rsidRDefault="0042797D" w:rsidP="0042797D">
      <w:pPr>
        <w:spacing w:line="360" w:lineRule="auto"/>
        <w:jc w:val="both"/>
        <w:rPr>
          <w:rFonts w:ascii="Times New Roman" w:hAnsi="Times New Roman" w:cs="Times New Roman"/>
          <w:b/>
          <w:bCs/>
          <w:i/>
          <w:iCs/>
        </w:rPr>
      </w:pPr>
      <w:r w:rsidRPr="00D00567">
        <w:rPr>
          <w:rFonts w:ascii="Times New Roman" w:hAnsi="Times New Roman" w:cs="Times New Roman"/>
          <w:b/>
          <w:bCs/>
          <w:i/>
          <w:iCs/>
        </w:rPr>
        <w:t>2.4.2.2 Nguyên nhân</w:t>
      </w:r>
    </w:p>
    <w:p w14:paraId="2C0E9B9F" w14:textId="77777777" w:rsidR="0042797D" w:rsidRPr="00D00567" w:rsidRDefault="0042797D" w:rsidP="0042797D">
      <w:pPr>
        <w:spacing w:line="360" w:lineRule="auto"/>
        <w:jc w:val="both"/>
        <w:rPr>
          <w:rFonts w:ascii="Times New Roman" w:hAnsi="Times New Roman" w:cs="Times New Roman"/>
          <w:sz w:val="26"/>
          <w:szCs w:val="26"/>
        </w:rPr>
      </w:pPr>
      <w:r w:rsidRPr="00D00567">
        <w:rPr>
          <w:rFonts w:ascii="Times New Roman" w:hAnsi="Times New Roman" w:cs="Times New Roman"/>
          <w:sz w:val="26"/>
          <w:szCs w:val="26"/>
        </w:rPr>
        <w:lastRenderedPageBreak/>
        <w:t>Những hạn chế trong hoạt động huy động vốn đối với khách hàng cá nhân tại PGD Cẩm Lệ xuất phát từ cả nguyên nhân khách quan và nguyên nhân chủ quan.</w:t>
      </w:r>
    </w:p>
    <w:p w14:paraId="4774DE41" w14:textId="77777777" w:rsidR="0042797D" w:rsidRPr="00D00567" w:rsidRDefault="0042797D" w:rsidP="0042797D">
      <w:pPr>
        <w:spacing w:line="360" w:lineRule="auto"/>
        <w:jc w:val="both"/>
        <w:rPr>
          <w:rFonts w:ascii="Times New Roman" w:hAnsi="Times New Roman" w:cs="Times New Roman"/>
          <w:sz w:val="26"/>
          <w:szCs w:val="26"/>
        </w:rPr>
      </w:pPr>
      <w:r w:rsidRPr="00D00567">
        <w:rPr>
          <w:rFonts w:ascii="Times New Roman" w:hAnsi="Times New Roman" w:cs="Times New Roman"/>
          <w:sz w:val="26"/>
          <w:szCs w:val="26"/>
        </w:rPr>
        <w:t>Thứ nhất, môi trường cạnh tranh trong hoạt động huy động vốn ngày càng gay gắt là một nguyên nhân quan trọng. Trên địa bàn Đà Nẵng hiện có nhiều ngân hàng thương mại cùng tập trung khai thác phân khúc khách hàng cá nhân với các chính sách lãi suất, ưu đãi và chương trình chăm sóc khách hàng đa dạng. Điều này khiến khả năng thu hút và mở rộng nguồn vốn huy động của PGD gặp nhiều khó khăn hơn, đặc biệt trong bối cảnh mặt bằng lãi suất toàn thị trường có xu hướng giảm và chênh lệch lãi suất giữa các ngân hàng không còn quá lớn.</w:t>
      </w:r>
    </w:p>
    <w:p w14:paraId="697F45FE" w14:textId="77777777" w:rsidR="0042797D" w:rsidRPr="00D00567" w:rsidRDefault="0042797D" w:rsidP="0042797D">
      <w:pPr>
        <w:spacing w:line="360" w:lineRule="auto"/>
        <w:jc w:val="both"/>
        <w:rPr>
          <w:rFonts w:ascii="Times New Roman" w:hAnsi="Times New Roman" w:cs="Times New Roman"/>
          <w:sz w:val="26"/>
          <w:szCs w:val="26"/>
        </w:rPr>
      </w:pPr>
      <w:r w:rsidRPr="00D00567">
        <w:rPr>
          <w:rFonts w:ascii="Times New Roman" w:hAnsi="Times New Roman" w:cs="Times New Roman"/>
          <w:sz w:val="26"/>
          <w:szCs w:val="26"/>
        </w:rPr>
        <w:t>Thứ hai, chính sách lãi suất huy động của PGD nhìn chung còn mang tính ổn định và thận trọng, chưa tạo được sự khác biệt rõ nét so với các ngân hàng cạnh tranh. Việc duy trì mặt bằng lãi suất ở mức hợp lý giúp kiểm soát chi phí vốn, tuy nhiên cũng làm giảm sức hấp dẫn đối với nhóm khách hàng có xu hướng ưu tiên yếu tố sinh lời khi lựa chọn nơi gửi tiền.</w:t>
      </w:r>
    </w:p>
    <w:p w14:paraId="52AD0E12" w14:textId="77777777" w:rsidR="0042797D" w:rsidRPr="00D00567" w:rsidRDefault="0042797D" w:rsidP="0042797D">
      <w:pPr>
        <w:spacing w:line="360" w:lineRule="auto"/>
        <w:jc w:val="both"/>
        <w:rPr>
          <w:rFonts w:ascii="Times New Roman" w:hAnsi="Times New Roman" w:cs="Times New Roman"/>
          <w:sz w:val="26"/>
          <w:szCs w:val="26"/>
        </w:rPr>
      </w:pPr>
      <w:r w:rsidRPr="00D00567">
        <w:rPr>
          <w:rFonts w:ascii="Times New Roman" w:hAnsi="Times New Roman" w:cs="Times New Roman"/>
          <w:sz w:val="26"/>
          <w:szCs w:val="26"/>
        </w:rPr>
        <w:t>Thứ ba, hoạt động phát triển sản phẩm huy động vốn tuy đã có cải thiện nhưng vẫn chưa thật sự tạo ra tính đột phá. Các sản phẩm mới chủ yếu vẫn phát triển dựa trên nền tảng của sản phẩm tiết kiệm truyền thống, trong khi các tiện ích tích hợp, tính cá nhân hóa và trải nghiệm số hóa chưa đủ nổi bật để tạo lợi thế cạnh tranh rõ ràng. Vì vậy, khả năng thu hút khách hàng trẻ và nhóm khách hàng có xu hướng ưu tiên giao dịch số còn hạn chế.</w:t>
      </w:r>
    </w:p>
    <w:p w14:paraId="5401987D" w14:textId="77777777" w:rsidR="0042797D" w:rsidRPr="00D00567" w:rsidRDefault="0042797D" w:rsidP="0042797D">
      <w:pPr>
        <w:spacing w:line="360" w:lineRule="auto"/>
        <w:jc w:val="both"/>
        <w:rPr>
          <w:rFonts w:ascii="Times New Roman" w:hAnsi="Times New Roman" w:cs="Times New Roman"/>
          <w:sz w:val="26"/>
          <w:szCs w:val="26"/>
        </w:rPr>
      </w:pPr>
      <w:r w:rsidRPr="00D00567">
        <w:rPr>
          <w:rFonts w:ascii="Times New Roman" w:hAnsi="Times New Roman" w:cs="Times New Roman"/>
          <w:sz w:val="26"/>
          <w:szCs w:val="26"/>
        </w:rPr>
        <w:t>Ngoài ra, công tác khai thác khách hàng và chăm sóc khách hàng hiện hữu vẫn chưa phát huy tối đa hiệu quả. Hoạt động marketing, tư vấn sản phẩm và tiếp cận khách hàng cá nhân chưa thật sự mạnh, dẫn đến khả năng mở rộng tệp khách hàng mới còn chậm. Đồng thời, việc duy trì và gia tăng giá trị tiền gửi từ khách hàng hiện hữu cũng chưa tạo được mức tăng trưởng bền vững qua các năm.</w:t>
      </w:r>
    </w:p>
    <w:p w14:paraId="5C43C5FB" w14:textId="77777777" w:rsidR="0042797D" w:rsidRPr="00D00567" w:rsidRDefault="0042797D" w:rsidP="0042797D">
      <w:pPr>
        <w:spacing w:line="360" w:lineRule="auto"/>
        <w:jc w:val="both"/>
        <w:rPr>
          <w:rFonts w:ascii="Times New Roman" w:hAnsi="Times New Roman" w:cs="Times New Roman"/>
          <w:sz w:val="26"/>
          <w:szCs w:val="26"/>
        </w:rPr>
      </w:pPr>
      <w:r w:rsidRPr="00D00567">
        <w:rPr>
          <w:rFonts w:ascii="Times New Roman" w:hAnsi="Times New Roman" w:cs="Times New Roman"/>
          <w:sz w:val="26"/>
          <w:szCs w:val="26"/>
        </w:rPr>
        <w:t>Bên cạnh đó, thói quen của một bộ phận khách hàng hiện nay đang có xu hướng đa dạng hóa kênh đầu tư sang chứng khoán, bất động sản, vàng hoặc các hình thức đầu tư sinh lời khác thay vì tập trung gửi tiết kiệm ngân hàng như trước. Điều này cũng ảnh hưởng nhất định đến khả năng gia tăng nguồn vốn huy động từ khách hàng cá nhân tại PGD.</w:t>
      </w:r>
    </w:p>
    <w:p w14:paraId="2F0F0E78" w14:textId="77777777" w:rsidR="0042797D" w:rsidRPr="00D00567" w:rsidRDefault="0042797D" w:rsidP="0042797D">
      <w:pPr>
        <w:spacing w:line="360" w:lineRule="auto"/>
        <w:jc w:val="both"/>
        <w:rPr>
          <w:rFonts w:ascii="Times New Roman" w:hAnsi="Times New Roman" w:cs="Times New Roman"/>
          <w:sz w:val="26"/>
          <w:szCs w:val="26"/>
        </w:rPr>
      </w:pPr>
      <w:r w:rsidRPr="00D00567">
        <w:rPr>
          <w:rFonts w:ascii="Times New Roman" w:hAnsi="Times New Roman" w:cs="Times New Roman"/>
          <w:sz w:val="26"/>
          <w:szCs w:val="26"/>
        </w:rPr>
        <w:lastRenderedPageBreak/>
        <w:t>Nhìn chung, những hạn chế trong hoạt động huy động vốn đối với khách hàng cá nhân tại PGD Cẩm Lệ xuất phát từ nhiều nguyên nhân khác nhau, đòi hỏi đơn vị cần có giải pháp đồng bộ trong việc đổi mới sản phẩm, đẩy mạnh chuyển đổi số, nâng cao chất lượng dịch vụ và tăng cường hoạt động chăm sóc khách hàng nhằm cải thiện tốc độ tăng trưởng nguồn vốn trong thời gian tới.</w:t>
      </w:r>
    </w:p>
    <w:p w14:paraId="6FAAD4BA" w14:textId="77777777" w:rsidR="0042797D" w:rsidRDefault="0042797D" w:rsidP="0042797D">
      <w:pPr>
        <w:spacing w:line="360" w:lineRule="auto"/>
        <w:rPr>
          <w:rFonts w:ascii="Times New Roman" w:hAnsi="Times New Roman" w:cs="Times New Roman"/>
          <w:b/>
          <w:bCs/>
          <w:sz w:val="26"/>
          <w:szCs w:val="26"/>
        </w:rPr>
      </w:pPr>
      <w:r>
        <w:rPr>
          <w:rFonts w:ascii="Times New Roman" w:hAnsi="Times New Roman" w:cs="Times New Roman"/>
          <w:b/>
          <w:bCs/>
          <w:sz w:val="26"/>
          <w:szCs w:val="26"/>
        </w:rPr>
        <w:t>CHƯƠNG 3: GIẢI PHÁP PHÁT TRIỂN HOẠT ĐỘNG HUY ĐỘNG VỐN ĐỐI VỚI KHÁCH HÀNG CÁ NHÂN TẠI NGÂN HÀNG THƯƠNG MẠI CỔ PHẦN NAM Á – CHI NHÁNH ĐÀ NẴNG – PHÒNG GIAO DỊCH CẨM LỆ</w:t>
      </w:r>
    </w:p>
    <w:p w14:paraId="07AFDA30" w14:textId="77777777" w:rsidR="0042797D" w:rsidRPr="009A2325" w:rsidRDefault="0042797D" w:rsidP="0042797D">
      <w:pPr>
        <w:spacing w:line="360" w:lineRule="auto"/>
        <w:jc w:val="both"/>
        <w:rPr>
          <w:rFonts w:ascii="Times New Roman" w:hAnsi="Times New Roman" w:cs="Times New Roman"/>
          <w:b/>
          <w:bCs/>
          <w:sz w:val="26"/>
          <w:szCs w:val="26"/>
        </w:rPr>
      </w:pPr>
      <w:r w:rsidRPr="009A2325">
        <w:rPr>
          <w:rFonts w:ascii="Times New Roman" w:hAnsi="Times New Roman" w:cs="Times New Roman"/>
          <w:b/>
          <w:bCs/>
          <w:sz w:val="26"/>
          <w:szCs w:val="26"/>
        </w:rPr>
        <w:t>3.1. Định hướng phát triển hoạt động huy động vốn đối với khách hàng cá nhân tại Nam A Bank – Chi nhánh Đà Nẵng – PGD Cẩm Lệ trong thời gian tới</w:t>
      </w:r>
    </w:p>
    <w:p w14:paraId="0052053C" w14:textId="77777777" w:rsidR="0042797D" w:rsidRPr="009A2325" w:rsidRDefault="0042797D" w:rsidP="0042797D">
      <w:pPr>
        <w:spacing w:line="360" w:lineRule="auto"/>
        <w:jc w:val="both"/>
        <w:rPr>
          <w:rFonts w:ascii="Times New Roman" w:hAnsi="Times New Roman" w:cs="Times New Roman"/>
          <w:b/>
          <w:bCs/>
          <w:sz w:val="26"/>
          <w:szCs w:val="26"/>
        </w:rPr>
      </w:pPr>
      <w:r w:rsidRPr="009A2325">
        <w:rPr>
          <w:rFonts w:ascii="Times New Roman" w:hAnsi="Times New Roman" w:cs="Times New Roman"/>
          <w:b/>
          <w:bCs/>
          <w:sz w:val="26"/>
          <w:szCs w:val="26"/>
        </w:rPr>
        <w:t>3.1.1. Định hướng phát triển chung của Nam A Bank</w:t>
      </w:r>
    </w:p>
    <w:p w14:paraId="659F7F33" w14:textId="77777777" w:rsidR="0042797D" w:rsidRPr="001C6E4B" w:rsidRDefault="0042797D" w:rsidP="0042797D">
      <w:pPr>
        <w:spacing w:line="360" w:lineRule="auto"/>
        <w:jc w:val="both"/>
        <w:rPr>
          <w:rFonts w:ascii="Times New Roman" w:hAnsi="Times New Roman" w:cs="Times New Roman"/>
          <w:sz w:val="26"/>
          <w:szCs w:val="26"/>
        </w:rPr>
      </w:pPr>
      <w:r w:rsidRPr="001C6E4B">
        <w:rPr>
          <w:rFonts w:ascii="Times New Roman" w:hAnsi="Times New Roman" w:cs="Times New Roman"/>
          <w:sz w:val="26"/>
          <w:szCs w:val="26"/>
        </w:rPr>
        <w:t>Trong bối cảnh nền kinh tế Việt Nam đang từng bước phục hồi và phát triển sau giai đoạn nhiều biến động của thị trường tài chính – tiền tệ, hoạt động ngân hàng ngày càng chịu áp lực cạnh tranh mạnh mẽ giữa các tổ chức tín dụng. Đặc biệt, xu hướng chuyển đổi số trong lĩnh vực ngân hàng, sự thay đổi nhu cầu của khách hàng cá nhân cũng như yêu cầu nâng cao năng lực quản trị rủi ro đang đặt ra nhiều cơ hội và thách thức đối với các ngân hàng thương mại.</w:t>
      </w:r>
    </w:p>
    <w:p w14:paraId="32DFAE68" w14:textId="77777777" w:rsidR="0042797D" w:rsidRPr="001C6E4B" w:rsidRDefault="0042797D" w:rsidP="0042797D">
      <w:pPr>
        <w:spacing w:line="360" w:lineRule="auto"/>
        <w:jc w:val="both"/>
        <w:rPr>
          <w:rFonts w:ascii="Times New Roman" w:hAnsi="Times New Roman" w:cs="Times New Roman"/>
          <w:sz w:val="26"/>
          <w:szCs w:val="26"/>
        </w:rPr>
      </w:pPr>
      <w:r w:rsidRPr="001C6E4B">
        <w:rPr>
          <w:rFonts w:ascii="Times New Roman" w:hAnsi="Times New Roman" w:cs="Times New Roman"/>
          <w:sz w:val="26"/>
          <w:szCs w:val="26"/>
        </w:rPr>
        <w:t>Đối với Nam A Bank, nguồn vốn huy động từ khách hàng cá nhân luôn giữ vai trò quan trọng trong cơ cấu nguồn vốn hoạt động của ngân hàng. Đây không chỉ là nguồn vốn ổn định phục vụ cho hoạt động cấp tín dụng, đầu tư và thanh toán mà còn góp phần đảm bảo khả năng thanh khoản, nâng cao uy tín thương hiệu và tăng khả năng cạnh tranh trên thị trường. Chính vì vậy, trong chiến lược phát triển thời gian tới, Nam A Bank tiếp tục xác định hoạt động huy động vốn, đặc biệt là huy động vốn từ khách hàng cá nhân, là một trong những nhiệm vụ trọng tâm của toàn hệ thống.</w:t>
      </w:r>
    </w:p>
    <w:p w14:paraId="4A329CB4" w14:textId="77777777" w:rsidR="0042797D" w:rsidRPr="001C6E4B" w:rsidRDefault="0042797D" w:rsidP="0042797D">
      <w:pPr>
        <w:spacing w:line="360" w:lineRule="auto"/>
        <w:jc w:val="both"/>
        <w:rPr>
          <w:rFonts w:ascii="Times New Roman" w:hAnsi="Times New Roman" w:cs="Times New Roman"/>
          <w:sz w:val="26"/>
          <w:szCs w:val="26"/>
        </w:rPr>
      </w:pPr>
      <w:r w:rsidRPr="001C6E4B">
        <w:rPr>
          <w:rFonts w:ascii="Times New Roman" w:hAnsi="Times New Roman" w:cs="Times New Roman"/>
          <w:sz w:val="26"/>
          <w:szCs w:val="26"/>
        </w:rPr>
        <w:t xml:space="preserve">Ngân hàng định hướng phát triển theo mô hình ngân hàng bán lẻ hiện đại, lấy khách hàng làm trung tâm và chú trọng nâng cao trải nghiệm khách hàng thông qua việc ứng dụng công nghệ số vào hoạt động kinh doanh. Theo đó, Nam A Bank tiếp tục mở rộng thị phần khách </w:t>
      </w:r>
      <w:r w:rsidRPr="001C6E4B">
        <w:rPr>
          <w:rFonts w:ascii="Times New Roman" w:hAnsi="Times New Roman" w:cs="Times New Roman"/>
          <w:sz w:val="26"/>
          <w:szCs w:val="26"/>
        </w:rPr>
        <w:lastRenderedPageBreak/>
        <w:t>hàng cá nhân bằng cách đa dạng hóa sản phẩm dịch vụ, nâng cao chất lượng phục vụ và tăng cường phát triển các sản phẩm tài chính hiện đại phù hợp với xu hướng tiêu dùng mới.</w:t>
      </w:r>
    </w:p>
    <w:p w14:paraId="12B285D4" w14:textId="77777777" w:rsidR="0042797D" w:rsidRPr="001C6E4B" w:rsidRDefault="0042797D" w:rsidP="0042797D">
      <w:pPr>
        <w:spacing w:line="360" w:lineRule="auto"/>
        <w:jc w:val="both"/>
        <w:rPr>
          <w:rFonts w:ascii="Times New Roman" w:hAnsi="Times New Roman" w:cs="Times New Roman"/>
          <w:sz w:val="26"/>
          <w:szCs w:val="26"/>
        </w:rPr>
      </w:pPr>
      <w:r w:rsidRPr="001C6E4B">
        <w:rPr>
          <w:rFonts w:ascii="Times New Roman" w:hAnsi="Times New Roman" w:cs="Times New Roman"/>
          <w:sz w:val="26"/>
          <w:szCs w:val="26"/>
        </w:rPr>
        <w:t>Bên cạnh mục tiêu tăng trưởng quy mô nguồn vốn huy động, ngân hàng còn hướng đến nâng cao chất lượng nguồn vốn theo hướng ổn định, bền vững và phù hợp với cơ cấu sử dụng vốn. Nam A Bank chú trọng gia tăng tỷ trọng nguồn vốn trung và dài hạn nhằm giảm áp lực thanh khoản và tạo điều kiện thuận lợi cho hoạt động tín dụng trung, dài hạn trong tương lai.</w:t>
      </w:r>
    </w:p>
    <w:p w14:paraId="65C4C0B9" w14:textId="77777777" w:rsidR="0042797D" w:rsidRPr="001C6E4B" w:rsidRDefault="0042797D" w:rsidP="0042797D">
      <w:pPr>
        <w:spacing w:line="360" w:lineRule="auto"/>
        <w:jc w:val="both"/>
        <w:rPr>
          <w:rFonts w:ascii="Times New Roman" w:hAnsi="Times New Roman" w:cs="Times New Roman"/>
          <w:sz w:val="26"/>
          <w:szCs w:val="26"/>
        </w:rPr>
      </w:pPr>
      <w:r w:rsidRPr="001C6E4B">
        <w:rPr>
          <w:rFonts w:ascii="Times New Roman" w:hAnsi="Times New Roman" w:cs="Times New Roman"/>
          <w:sz w:val="26"/>
          <w:szCs w:val="26"/>
        </w:rPr>
        <w:t>Ngoài ra, ngân hàng tiếp tục đẩy mạnh chiến lược chuyển đổi số trong toàn hệ thống thông qua việc phát triển ngân hàng điện tử, tiết kiệm online, mở tài khoản trực tuyến và các dịch vụ tài chính tích hợp trên nền tảng số. Việc ứng dụng công nghệ không chỉ giúp nâng cao hiệu quả quản lý mà còn góp phần giảm chi phí hoạt động, tăng khả năng tiếp cận khách hàng và cải thiện chất lượng dịch vụ.</w:t>
      </w:r>
    </w:p>
    <w:p w14:paraId="48226794" w14:textId="77777777" w:rsidR="0042797D" w:rsidRPr="001C6E4B" w:rsidRDefault="0042797D" w:rsidP="0042797D">
      <w:pPr>
        <w:spacing w:line="360" w:lineRule="auto"/>
        <w:jc w:val="both"/>
        <w:rPr>
          <w:rFonts w:ascii="Times New Roman" w:hAnsi="Times New Roman" w:cs="Times New Roman"/>
          <w:sz w:val="26"/>
          <w:szCs w:val="26"/>
        </w:rPr>
      </w:pPr>
      <w:r w:rsidRPr="001C6E4B">
        <w:rPr>
          <w:rFonts w:ascii="Times New Roman" w:hAnsi="Times New Roman" w:cs="Times New Roman"/>
          <w:sz w:val="26"/>
          <w:szCs w:val="26"/>
        </w:rPr>
        <w:t>Song song với đó, Nam A Bank định hướng xây dựng chính sách lãi suất linh hoạt, phù hợp với diễn biến thị trường và khả năng cân đối nguồn vốn của ngân hàng nhằm đảm bảo vừa nâng cao khả năng cạnh tranh vừa kiểm soát hiệu quả chi phí huy động vốn.</w:t>
      </w:r>
    </w:p>
    <w:p w14:paraId="6AEC6198" w14:textId="77777777" w:rsidR="0042797D" w:rsidRPr="001C6E4B" w:rsidRDefault="0042797D" w:rsidP="0042797D">
      <w:pPr>
        <w:spacing w:line="360" w:lineRule="auto"/>
        <w:jc w:val="both"/>
        <w:rPr>
          <w:rFonts w:ascii="Times New Roman" w:hAnsi="Times New Roman" w:cs="Times New Roman"/>
          <w:sz w:val="26"/>
          <w:szCs w:val="26"/>
        </w:rPr>
      </w:pPr>
      <w:r w:rsidRPr="001C6E4B">
        <w:rPr>
          <w:rFonts w:ascii="Times New Roman" w:hAnsi="Times New Roman" w:cs="Times New Roman"/>
          <w:sz w:val="26"/>
          <w:szCs w:val="26"/>
        </w:rPr>
        <w:t>Bên cạnh các mục tiêu về kinh doanh, Nam A Bank còn chú trọng nâng cao năng lực quản trị rủi ro, đảm bảo an toàn hệ thống và phát triển bền vững. Ngân hàng tiếp tục tăng cường đào tạo nguồn nhân lực chất lượng cao, xây dựng đội ngũ nhân viên chuyên nghiệp, hiện đại và có khả năng thích ứng với xu hướng chuyển đổi số trong ngành ngân hàng.</w:t>
      </w:r>
    </w:p>
    <w:p w14:paraId="0968F357" w14:textId="77777777" w:rsidR="0042797D" w:rsidRPr="001B217B" w:rsidRDefault="0042797D" w:rsidP="0042797D">
      <w:pPr>
        <w:spacing w:line="360" w:lineRule="auto"/>
        <w:jc w:val="both"/>
        <w:rPr>
          <w:rFonts w:ascii="Times New Roman" w:hAnsi="Times New Roman" w:cs="Times New Roman"/>
          <w:b/>
          <w:bCs/>
          <w:sz w:val="26"/>
          <w:szCs w:val="26"/>
        </w:rPr>
      </w:pPr>
      <w:r w:rsidRPr="001B217B">
        <w:rPr>
          <w:rFonts w:ascii="Times New Roman" w:hAnsi="Times New Roman" w:cs="Times New Roman"/>
          <w:b/>
          <w:bCs/>
          <w:sz w:val="26"/>
          <w:szCs w:val="26"/>
        </w:rPr>
        <w:t>3.1.2. Định hướng phát triển hoạt động huy động vốn đối với khách hàng cá nhân tại PGD Cẩm Lệ</w:t>
      </w:r>
    </w:p>
    <w:p w14:paraId="1A4C1278" w14:textId="77777777" w:rsidR="0042797D" w:rsidRPr="00962FFE" w:rsidRDefault="0042797D" w:rsidP="0042797D">
      <w:pPr>
        <w:spacing w:line="360" w:lineRule="auto"/>
        <w:jc w:val="both"/>
        <w:rPr>
          <w:rFonts w:ascii="Times New Roman" w:hAnsi="Times New Roman" w:cs="Times New Roman"/>
          <w:sz w:val="26"/>
          <w:szCs w:val="26"/>
        </w:rPr>
      </w:pPr>
      <w:r w:rsidRPr="00962FFE">
        <w:rPr>
          <w:rFonts w:ascii="Times New Roman" w:hAnsi="Times New Roman" w:cs="Times New Roman"/>
          <w:sz w:val="26"/>
          <w:szCs w:val="26"/>
        </w:rPr>
        <w:t>Trên cơ sở định hướng phát triển chung của toàn hệ thống Nam A Bank, PGD Cẩm Lệ xác định hoạt động huy động vốn đối với khách hàng cá nhân là một trong những nhiệm vụ trọng tâm trong chiến lược phát triển ngân hàng bán lẻ trên địa bàn thành phố Đà Nẵng.</w:t>
      </w:r>
    </w:p>
    <w:p w14:paraId="736D5278" w14:textId="77777777" w:rsidR="0042797D" w:rsidRPr="00962FFE" w:rsidRDefault="0042797D" w:rsidP="0042797D">
      <w:pPr>
        <w:spacing w:line="360" w:lineRule="auto"/>
        <w:jc w:val="both"/>
        <w:rPr>
          <w:rFonts w:ascii="Times New Roman" w:hAnsi="Times New Roman" w:cs="Times New Roman"/>
          <w:sz w:val="26"/>
          <w:szCs w:val="26"/>
        </w:rPr>
      </w:pPr>
      <w:r w:rsidRPr="00962FFE">
        <w:rPr>
          <w:rFonts w:ascii="Times New Roman" w:hAnsi="Times New Roman" w:cs="Times New Roman"/>
          <w:sz w:val="26"/>
          <w:szCs w:val="26"/>
        </w:rPr>
        <w:t xml:space="preserve">Trong thời gian tới, PGD hướng đến mục tiêu tăng trưởng nguồn vốn huy động theo hướng ổn định, bền vững và phù hợp với nhu cầu sử dụng vốn thực tế của đơn vị. Không chỉ chú </w:t>
      </w:r>
      <w:r w:rsidRPr="00962FFE">
        <w:rPr>
          <w:rFonts w:ascii="Times New Roman" w:hAnsi="Times New Roman" w:cs="Times New Roman"/>
          <w:sz w:val="26"/>
          <w:szCs w:val="26"/>
        </w:rPr>
        <w:lastRenderedPageBreak/>
        <w:t>trọng gia tăng quy mô nguồn vốn huy động, PGD còn tập trung nâng cao chất lượng nguồn vốn theo hướng gia tăng tỷ trọng tiền gửi trung và dài hạn nhằm nâng cao tính ổn định trong hoạt động kinh doanh.</w:t>
      </w:r>
    </w:p>
    <w:p w14:paraId="4401AD5F" w14:textId="77777777" w:rsidR="0042797D" w:rsidRPr="00962FFE" w:rsidRDefault="0042797D" w:rsidP="0042797D">
      <w:pPr>
        <w:spacing w:line="360" w:lineRule="auto"/>
        <w:jc w:val="both"/>
        <w:rPr>
          <w:rFonts w:ascii="Times New Roman" w:hAnsi="Times New Roman" w:cs="Times New Roman"/>
          <w:sz w:val="26"/>
          <w:szCs w:val="26"/>
        </w:rPr>
      </w:pPr>
      <w:r w:rsidRPr="00962FFE">
        <w:rPr>
          <w:rFonts w:ascii="Times New Roman" w:hAnsi="Times New Roman" w:cs="Times New Roman"/>
          <w:sz w:val="26"/>
          <w:szCs w:val="26"/>
        </w:rPr>
        <w:t>Bên cạnh đó, PGD Cẩm Lệ định hướng tiếp tục đa dạng hóa các sản phẩm huy động vốn nhằm đáp ứng tốt hơn nhu cầu ngày càng đa dạng của khách hàng cá nhân. Ngoài các sản phẩm tiết kiệm truyền thống, đơn vị sẽ đẩy mạnh triển khai các sản phẩm tiết kiệm online, tiết kiệm tích lũy định kỳ, tiết kiệm linh hoạt và các sản phẩm tích hợp nhiều tiện ích hiện đại.</w:t>
      </w:r>
    </w:p>
    <w:p w14:paraId="0F64DF05" w14:textId="77777777" w:rsidR="0042797D" w:rsidRPr="00962FFE" w:rsidRDefault="0042797D" w:rsidP="0042797D">
      <w:pPr>
        <w:spacing w:line="360" w:lineRule="auto"/>
        <w:jc w:val="both"/>
        <w:rPr>
          <w:rFonts w:ascii="Times New Roman" w:hAnsi="Times New Roman" w:cs="Times New Roman"/>
          <w:sz w:val="26"/>
          <w:szCs w:val="26"/>
        </w:rPr>
      </w:pPr>
      <w:r w:rsidRPr="00962FFE">
        <w:rPr>
          <w:rFonts w:ascii="Times New Roman" w:hAnsi="Times New Roman" w:cs="Times New Roman"/>
          <w:sz w:val="26"/>
          <w:szCs w:val="26"/>
        </w:rPr>
        <w:t>Đặc biệt, trong bối cảnh chuyển đổi số diễn ra mạnh mẽ, PGD Cẩm Lệ chú trọng đẩy mạnh ứng dụng công nghệ trong hoạt động huy động vốn nhằm nâng cao trải nghiệm khách hàng và tăng khả năng cạnh tranh trên địa bàn. Việc phát triển các dịch vụ gửi tiết kiệm trực tuyến, mở tài khoản online, thanh toán không dùng tiền mặt và chăm sóc khách hàng trên nền tảng số sẽ giúp ngân hàng tiếp cận khách hàng nhanh chóng và hiệu quả hơn.</w:t>
      </w:r>
    </w:p>
    <w:p w14:paraId="2BCC7D90" w14:textId="77777777" w:rsidR="0042797D" w:rsidRPr="00962FFE" w:rsidRDefault="0042797D" w:rsidP="0042797D">
      <w:pPr>
        <w:spacing w:line="360" w:lineRule="auto"/>
        <w:jc w:val="both"/>
        <w:rPr>
          <w:rFonts w:ascii="Times New Roman" w:hAnsi="Times New Roman" w:cs="Times New Roman"/>
          <w:sz w:val="26"/>
          <w:szCs w:val="26"/>
        </w:rPr>
      </w:pPr>
      <w:r w:rsidRPr="00962FFE">
        <w:rPr>
          <w:rFonts w:ascii="Times New Roman" w:hAnsi="Times New Roman" w:cs="Times New Roman"/>
          <w:sz w:val="26"/>
          <w:szCs w:val="26"/>
        </w:rPr>
        <w:t>Ngoài ra, đơn vị cũng định hướng nâng cao chất lượng dịch vụ và chất lượng chăm sóc khách hàng thông qua việc cải thiện phong cách phục vụ, nâng cao trình độ chuyên môn của đội ngũ nhân viên và xây dựng hình ảnh ngân hàng thân thiện, chuyên nghiệp.</w:t>
      </w:r>
    </w:p>
    <w:p w14:paraId="5EF9C05F" w14:textId="77777777" w:rsidR="0042797D" w:rsidRPr="00962FFE" w:rsidRDefault="0042797D" w:rsidP="0042797D">
      <w:pPr>
        <w:spacing w:line="360" w:lineRule="auto"/>
        <w:jc w:val="both"/>
        <w:rPr>
          <w:rFonts w:ascii="Times New Roman" w:hAnsi="Times New Roman" w:cs="Times New Roman"/>
          <w:sz w:val="26"/>
          <w:szCs w:val="26"/>
        </w:rPr>
      </w:pPr>
      <w:r w:rsidRPr="00962FFE">
        <w:rPr>
          <w:rFonts w:ascii="Times New Roman" w:hAnsi="Times New Roman" w:cs="Times New Roman"/>
          <w:sz w:val="26"/>
          <w:szCs w:val="26"/>
        </w:rPr>
        <w:t>Song song với đó, PGD sẽ tăng cường các hoạt động marketing, quảng bá thương hiệu và mở rộng quan hệ với các tổ chức, doanh nghiệp trên địa bàn nhằm nâng cao khả năng tiếp cận khách hàng tiềm năng và mở rộng thị phần huy động vốn.</w:t>
      </w:r>
    </w:p>
    <w:p w14:paraId="2E55EC28" w14:textId="77777777" w:rsidR="0042797D" w:rsidRPr="008929E5" w:rsidRDefault="0042797D" w:rsidP="0042797D">
      <w:pPr>
        <w:spacing w:line="360" w:lineRule="auto"/>
        <w:jc w:val="both"/>
        <w:rPr>
          <w:rFonts w:ascii="Times New Roman" w:hAnsi="Times New Roman" w:cs="Times New Roman"/>
          <w:b/>
          <w:bCs/>
          <w:sz w:val="26"/>
          <w:szCs w:val="26"/>
        </w:rPr>
      </w:pPr>
      <w:r w:rsidRPr="008929E5">
        <w:rPr>
          <w:rFonts w:ascii="Times New Roman" w:hAnsi="Times New Roman" w:cs="Times New Roman"/>
          <w:b/>
          <w:bCs/>
          <w:sz w:val="26"/>
          <w:szCs w:val="26"/>
        </w:rPr>
        <w:t>3.1.3. Mục tiêu phát triển hoạt động huy động vốn đối với khách hàng cá nhân</w:t>
      </w:r>
    </w:p>
    <w:p w14:paraId="315186BC" w14:textId="77777777" w:rsidR="0042797D" w:rsidRPr="00F215EF" w:rsidRDefault="0042797D" w:rsidP="0042797D">
      <w:pPr>
        <w:spacing w:line="360" w:lineRule="auto"/>
        <w:jc w:val="both"/>
        <w:rPr>
          <w:rFonts w:ascii="Times New Roman" w:hAnsi="Times New Roman" w:cs="Times New Roman"/>
          <w:sz w:val="26"/>
          <w:szCs w:val="26"/>
        </w:rPr>
      </w:pPr>
      <w:r w:rsidRPr="00F215EF">
        <w:rPr>
          <w:rFonts w:ascii="Times New Roman" w:hAnsi="Times New Roman" w:cs="Times New Roman"/>
          <w:sz w:val="26"/>
          <w:szCs w:val="26"/>
        </w:rPr>
        <w:t>Trong thời gian tới, PGD Cẩm Lệ hướng đến các mục tiêu cụ thể như sau:</w:t>
      </w:r>
    </w:p>
    <w:p w14:paraId="1FAAA9B9"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Tăng trưởng nguồn vốn huy động từ khách hàng cá nhân với tốc độ ổn định qua từng năm.</w:t>
      </w:r>
    </w:p>
    <w:p w14:paraId="713DE65C"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Gia tăng số lượng khách hàng cá nhân sử dụng sản phẩm tiền gửi tại ngân hàng.</w:t>
      </w:r>
    </w:p>
    <w:p w14:paraId="6EBB548D"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Nâng cao tỷ trọng nguồn vốn trung và dài hạn nhằm tăng tính ổn định cho cơ cấu nguồn vốn huy động.</w:t>
      </w:r>
    </w:p>
    <w:p w14:paraId="23A78C40"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 xml:space="preserve">  - </w:t>
      </w:r>
      <w:r w:rsidRPr="00F215EF">
        <w:rPr>
          <w:rFonts w:ascii="Times New Roman" w:hAnsi="Times New Roman" w:cs="Times New Roman"/>
          <w:sz w:val="26"/>
          <w:szCs w:val="26"/>
        </w:rPr>
        <w:t>Đẩy mạnh tỷ lệ khách hàng sử dụng các sản phẩm huy động vốn thông qua nền tảng ngân hàng số.</w:t>
      </w:r>
    </w:p>
    <w:p w14:paraId="6DBC43CC"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Kiểm soát hợp lý chi phí huy động vốn nhằm nâng cao hiệu quả hoạt động kinh doanh.</w:t>
      </w:r>
    </w:p>
    <w:p w14:paraId="6A81CD10"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Nâng cao khả năng cạnh tranh của PGD trên địa bàn thành phố Đà Nẵng.</w:t>
      </w:r>
    </w:p>
    <w:p w14:paraId="10A4C4A5"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Gia tăng mức độ hài lòng và sự gắn bó của khách hàng đối với ngân hàng.</w:t>
      </w:r>
    </w:p>
    <w:p w14:paraId="1C189BA6"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Xây dựng hình ảnh PGD Cẩm Lệ trở thành đơn vị có chất lượng phục vụ tốt, hiện đại và thân thiện với khách hàng.</w:t>
      </w:r>
    </w:p>
    <w:p w14:paraId="7718017F"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Tăng cường khai thác khách hàng hiện hữu đồng thời mở rộng thêm nhiều nhóm khách hàng mới.</w:t>
      </w:r>
    </w:p>
    <w:p w14:paraId="6EFE6F4D" w14:textId="77777777" w:rsidR="0042797D" w:rsidRPr="00F215EF" w:rsidRDefault="0042797D" w:rsidP="0042797D">
      <w:pPr>
        <w:spacing w:line="360" w:lineRule="auto"/>
        <w:jc w:val="both"/>
        <w:rPr>
          <w:rFonts w:ascii="Times New Roman" w:hAnsi="Times New Roman" w:cs="Times New Roman"/>
          <w:sz w:val="26"/>
          <w:szCs w:val="26"/>
        </w:rPr>
      </w:pPr>
      <w:r>
        <w:rPr>
          <w:rFonts w:ascii="Times New Roman" w:hAnsi="Times New Roman" w:cs="Times New Roman"/>
          <w:sz w:val="26"/>
          <w:szCs w:val="26"/>
        </w:rPr>
        <w:t xml:space="preserve">  - </w:t>
      </w:r>
      <w:r w:rsidRPr="00F215EF">
        <w:rPr>
          <w:rFonts w:ascii="Times New Roman" w:hAnsi="Times New Roman" w:cs="Times New Roman"/>
          <w:sz w:val="26"/>
          <w:szCs w:val="26"/>
        </w:rPr>
        <w:t>Góp phần nâng cao hiệu quả hoạt động kinh doanh và vị thế của Nam A Bank trên thị trường ngân hàng bán lẻ.</w:t>
      </w:r>
    </w:p>
    <w:p w14:paraId="3200DB14" w14:textId="77777777" w:rsidR="0042797D" w:rsidRPr="00AB4E47" w:rsidRDefault="0042797D" w:rsidP="0042797D">
      <w:pPr>
        <w:spacing w:line="360" w:lineRule="auto"/>
        <w:jc w:val="both"/>
        <w:rPr>
          <w:rFonts w:ascii="Times New Roman" w:hAnsi="Times New Roman" w:cs="Times New Roman"/>
          <w:b/>
          <w:bCs/>
          <w:sz w:val="26"/>
          <w:szCs w:val="26"/>
        </w:rPr>
      </w:pPr>
      <w:r w:rsidRPr="00AB4E47">
        <w:rPr>
          <w:rFonts w:ascii="Times New Roman" w:hAnsi="Times New Roman" w:cs="Times New Roman"/>
          <w:b/>
          <w:bCs/>
          <w:sz w:val="26"/>
          <w:szCs w:val="26"/>
        </w:rPr>
        <w:t>3.2. Giải pháp phát triển hoạt động huy động vốn đối với khách hàng cá nhân tại Nam A Bank – Chi nhánh Đà Nẵng – PGD Cẩm Lệ</w:t>
      </w:r>
    </w:p>
    <w:p w14:paraId="65E15CB7" w14:textId="77777777" w:rsidR="0042797D" w:rsidRPr="00AB4E47" w:rsidRDefault="0042797D" w:rsidP="0042797D">
      <w:pPr>
        <w:spacing w:line="360" w:lineRule="auto"/>
        <w:jc w:val="both"/>
        <w:rPr>
          <w:rFonts w:ascii="Times New Roman" w:hAnsi="Times New Roman" w:cs="Times New Roman"/>
          <w:b/>
          <w:bCs/>
          <w:sz w:val="26"/>
          <w:szCs w:val="26"/>
        </w:rPr>
      </w:pPr>
      <w:r w:rsidRPr="00AB4E47">
        <w:rPr>
          <w:rFonts w:ascii="Times New Roman" w:hAnsi="Times New Roman" w:cs="Times New Roman"/>
          <w:b/>
          <w:bCs/>
          <w:sz w:val="26"/>
          <w:szCs w:val="26"/>
        </w:rPr>
        <w:t>3.2.1. Đa dạng hóa sản phẩm huy động vốn</w:t>
      </w:r>
    </w:p>
    <w:p w14:paraId="11AEB924"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Một trong những giải pháp quan trọng nhằm nâng cao hiệu quả huy động vốn đối với khách hàng cá nhân là tiếp tục đa dạng hóa các sản phẩm huy động vốn theo hướng hiện đại, linh hoạt và phù hợp với từng nhóm khách hàng.</w:t>
      </w:r>
    </w:p>
    <w:p w14:paraId="770159B0"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Hiện nay, nguồn vốn huy động tại PGD vẫn chủ yếu tập trung vào các sản phẩm tiết kiệm truyền thống. Trong khi đó, nhu cầu của khách hàng ngày càng đa dạng và có xu hướng ưu tiên các sản phẩm tài chính linh hoạt, tiện lợi và tích hợp nhiều tiện ích. Vì vậy, ngân hàng cần nghiên cứu và phát triển thêm nhiều sản phẩm huy động vốn có tính cá nhân hóa cao nhằm đáp ứng tốt hơn nhu cầu của từng phân khúc khách hàng.</w:t>
      </w:r>
    </w:p>
    <w:p w14:paraId="09DABD50"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 xml:space="preserve">Đối với nhóm khách hàng trẻ và khách hàng thường xuyên sử dụng công nghệ, PGD có thể triển khai các sản phẩm tiết kiệm online với nhiều tiện ích trên ứng dụng ngân hàng số như gửi tiền trực tuyến, tất toán online, tái tục tự động hoặc quản lý tài khoản tiết kiệm </w:t>
      </w:r>
      <w:r w:rsidRPr="001546C8">
        <w:rPr>
          <w:rFonts w:ascii="Times New Roman" w:hAnsi="Times New Roman" w:cs="Times New Roman"/>
          <w:sz w:val="26"/>
          <w:szCs w:val="26"/>
        </w:rPr>
        <w:lastRenderedPageBreak/>
        <w:t>thông qua điện thoại di động. Đồng thời, ngân hàng có thể áp dụng chính sách cộng thêm lãi suất cho khách hàng gửi tiết kiệm online nhằm khuyến khích khách hàng chuyển sang sử dụng dịch vụ số.</w:t>
      </w:r>
    </w:p>
    <w:p w14:paraId="279D49A8"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Đối với nhóm khách hàng có thu nhập ổn định, PGD có thể phát triển các sản phẩm tiết kiệm tích lũy định kỳ nhằm hỗ trợ khách hàng hình thành thói quen tiết kiệm lâu dài và phục vụ các mục tiêu tài chính như mua nhà, mua xe, cho con đi học hoặc nghỉ hưu.</w:t>
      </w:r>
    </w:p>
    <w:p w14:paraId="581F7038"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Ngoài ra, ngân hàng cần thường xuyên cải tiến các sản phẩm hiện có bằng cách bổ sung thêm nhiều tiện ích như rút vốn trước hạn từng phần, gửi góp linh hoạt, tự động tái tục hoặc liên kết với các sản phẩm bảo hiểm, thanh toán và thẻ nhằm gia tăng giá trị cho khách hàng.</w:t>
      </w:r>
    </w:p>
    <w:p w14:paraId="49210B68"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Việc đa dạng hóa sản phẩm không chỉ giúp đáp ứng tốt hơn nhu cầu của khách hàng mà còn góp phần nâng cao khả năng cạnh tranh, mở rộng thị phần và thu hút nguồn vốn huy động cho ngân hàng.</w:t>
      </w:r>
    </w:p>
    <w:p w14:paraId="13BF6050" w14:textId="77777777" w:rsidR="0042797D" w:rsidRPr="00F37EE7" w:rsidRDefault="0042797D" w:rsidP="0042797D">
      <w:pPr>
        <w:spacing w:line="360" w:lineRule="auto"/>
        <w:jc w:val="both"/>
        <w:rPr>
          <w:rFonts w:ascii="Times New Roman" w:hAnsi="Times New Roman" w:cs="Times New Roman"/>
          <w:b/>
          <w:bCs/>
          <w:sz w:val="26"/>
          <w:szCs w:val="26"/>
        </w:rPr>
      </w:pPr>
      <w:r w:rsidRPr="00F37EE7">
        <w:rPr>
          <w:rFonts w:ascii="Times New Roman" w:hAnsi="Times New Roman" w:cs="Times New Roman"/>
          <w:b/>
          <w:bCs/>
          <w:sz w:val="26"/>
          <w:szCs w:val="26"/>
        </w:rPr>
        <w:t>3.2.2. Xây dựng chính sách lãi suất linh hoạt và cạnh tranh</w:t>
      </w:r>
    </w:p>
    <w:p w14:paraId="2FDE9423"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Lãi suất là một trong những yếu tố có ảnh hưởng lớn đến quyết định gửi tiền của khách hàng cá nhân. Vì vậy, việc xây dựng chính sách lãi suất hợp lý, linh hoạt và cạnh tranh là giải pháp cần thiết nhằm nâng cao hiệu quả huy động vốn.</w:t>
      </w:r>
    </w:p>
    <w:p w14:paraId="08E5C99A"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Trong điều kiện cạnh tranh giữa các ngân hàng ngày càng gay gắt, PGD cần thường xuyên theo dõi diễn biến mặt bằng lãi suất trên thị trường để có sự điều chỉnh phù hợp với từng thời kỳ. Việc duy trì mức lãi suất hợp lý sẽ giúp ngân hàng vừa nâng cao khả năng cạnh tranh vừa đảm bảo kiểm soát hiệu quả chi phí huy động vốn.</w:t>
      </w:r>
    </w:p>
    <w:p w14:paraId="7273C5F9"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Ngân hàng có thể áp dụng chính sách lãi suất ưu đãi đối với khách hàng gửi số tiền lớn, khách hàng VIP, khách hàng gửi tiền lâu năm hoặc khách hàng sử dụng đồng thời nhiều sản phẩm dịch vụ của ngân hàng. Đồng thời, PGD có thể triển khai các chương trình cộng thêm lãi suất đối với khách hàng gửi tiết kiệm online nhằm khuyến khích khách hàng sử dụng các kênh giao dịch điện tử.</w:t>
      </w:r>
    </w:p>
    <w:p w14:paraId="5E7EE807"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lastRenderedPageBreak/>
        <w:t>Bên cạnh đó, ngân hàng cần kết hợp linh hoạt giữa chính sách lãi suất và các chương trình khuyến mãi như tặng quà, quay số trúng thưởng, ưu đãi sinh nhật hoặc tích điểm đổi quà nhằm gia tăng sức hấp dẫn của sản phẩm huy động vốn.</w:t>
      </w:r>
    </w:p>
    <w:p w14:paraId="45983713" w14:textId="77777777" w:rsidR="0042797D" w:rsidRPr="001546C8" w:rsidRDefault="0042797D" w:rsidP="0042797D">
      <w:pPr>
        <w:spacing w:line="360" w:lineRule="auto"/>
        <w:jc w:val="both"/>
        <w:rPr>
          <w:rFonts w:ascii="Times New Roman" w:hAnsi="Times New Roman" w:cs="Times New Roman"/>
          <w:sz w:val="26"/>
          <w:szCs w:val="26"/>
        </w:rPr>
      </w:pPr>
      <w:r w:rsidRPr="001546C8">
        <w:rPr>
          <w:rFonts w:ascii="Times New Roman" w:hAnsi="Times New Roman" w:cs="Times New Roman"/>
          <w:sz w:val="26"/>
          <w:szCs w:val="26"/>
        </w:rPr>
        <w:t>Ngoài ra, PGD cần cân đối hợp lý giữa mục tiêu tăng trưởng nguồn vốn và khả năng sử dụng vốn thực tế nhằm tránh tình trạng huy động vốn với chi phí quá cao gây ảnh hưởng đến hiệu quả hoạt động kinh doanh của ngân hàng.</w:t>
      </w:r>
    </w:p>
    <w:p w14:paraId="7B85A845" w14:textId="77777777" w:rsidR="0042797D" w:rsidRPr="0065777F" w:rsidRDefault="0042797D" w:rsidP="0042797D">
      <w:pPr>
        <w:spacing w:line="360" w:lineRule="auto"/>
        <w:jc w:val="both"/>
        <w:rPr>
          <w:rFonts w:ascii="Times New Roman" w:hAnsi="Times New Roman" w:cs="Times New Roman"/>
          <w:b/>
          <w:bCs/>
          <w:sz w:val="26"/>
          <w:szCs w:val="26"/>
        </w:rPr>
      </w:pPr>
      <w:r w:rsidRPr="0065777F">
        <w:rPr>
          <w:rFonts w:ascii="Times New Roman" w:hAnsi="Times New Roman" w:cs="Times New Roman"/>
          <w:b/>
          <w:bCs/>
          <w:sz w:val="26"/>
          <w:szCs w:val="26"/>
        </w:rPr>
        <w:t>3.2.3. Đẩy mạnh ứng dụng công nghệ số trong hoạt động huy động vốn</w:t>
      </w:r>
    </w:p>
    <w:p w14:paraId="51954D23" w14:textId="77777777" w:rsidR="0042797D" w:rsidRPr="0065777F" w:rsidRDefault="0042797D" w:rsidP="0042797D">
      <w:pPr>
        <w:spacing w:line="360" w:lineRule="auto"/>
        <w:jc w:val="both"/>
        <w:rPr>
          <w:rFonts w:ascii="Times New Roman" w:hAnsi="Times New Roman" w:cs="Times New Roman"/>
          <w:sz w:val="26"/>
          <w:szCs w:val="26"/>
        </w:rPr>
      </w:pPr>
      <w:r w:rsidRPr="0065777F">
        <w:rPr>
          <w:rFonts w:ascii="Times New Roman" w:hAnsi="Times New Roman" w:cs="Times New Roman"/>
          <w:sz w:val="26"/>
          <w:szCs w:val="26"/>
        </w:rPr>
        <w:t>Trong bối cảnh chuyển đổi số đang diễn ra mạnh mẽ trong ngành ngân hàng, việc ứng dụng công nghệ vào hoạt động huy động vốn là yêu cầu cần thiết nhằm nâng cao trải nghiệm khách hàng và tăng khả năng cạnh tranh của ngân hàng.</w:t>
      </w:r>
    </w:p>
    <w:p w14:paraId="67BD0B1C" w14:textId="77777777" w:rsidR="0042797D" w:rsidRPr="0065777F" w:rsidRDefault="0042797D" w:rsidP="0042797D">
      <w:pPr>
        <w:spacing w:line="360" w:lineRule="auto"/>
        <w:jc w:val="both"/>
        <w:rPr>
          <w:rFonts w:ascii="Times New Roman" w:hAnsi="Times New Roman" w:cs="Times New Roman"/>
          <w:sz w:val="26"/>
          <w:szCs w:val="26"/>
        </w:rPr>
      </w:pPr>
      <w:r w:rsidRPr="0065777F">
        <w:rPr>
          <w:rFonts w:ascii="Times New Roman" w:hAnsi="Times New Roman" w:cs="Times New Roman"/>
          <w:sz w:val="26"/>
          <w:szCs w:val="26"/>
        </w:rPr>
        <w:t>PGD Cẩm Lệ cần đẩy mạnh phát triển các sản phẩm huy động vốn trên nền tảng số như gửi tiết kiệm online, mở tài khoản trực tuyến và quản lý tiền gửi thông qua ứng dụng ngân hàng điện tử. Việc đơn giản hóa quy trình giao dịch và tối ưu hóa trải nghiệm người dùng sẽ giúp khách hàng tiết kiệm thời gian, nâng cao sự thuận tiện và gia tăng mức độ hài lòng.</w:t>
      </w:r>
    </w:p>
    <w:p w14:paraId="5A601161" w14:textId="77777777" w:rsidR="0042797D" w:rsidRPr="0065777F" w:rsidRDefault="0042797D" w:rsidP="0042797D">
      <w:pPr>
        <w:spacing w:line="360" w:lineRule="auto"/>
        <w:jc w:val="both"/>
        <w:rPr>
          <w:rFonts w:ascii="Times New Roman" w:hAnsi="Times New Roman" w:cs="Times New Roman"/>
          <w:sz w:val="26"/>
          <w:szCs w:val="26"/>
        </w:rPr>
      </w:pPr>
      <w:r w:rsidRPr="0065777F">
        <w:rPr>
          <w:rFonts w:ascii="Times New Roman" w:hAnsi="Times New Roman" w:cs="Times New Roman"/>
          <w:sz w:val="26"/>
          <w:szCs w:val="26"/>
        </w:rPr>
        <w:t>Bên cạnh đó, đơn vị cần tăng cường truyền thông về các tiện ích của ngân hàng số nhằm thay đổi thói quen giao dịch truyền thống và khuyến khích khách hàng sử dụng các sản phẩm huy động vốn trực tuyến.</w:t>
      </w:r>
    </w:p>
    <w:p w14:paraId="328798C5" w14:textId="77777777" w:rsidR="0042797D" w:rsidRPr="0065777F" w:rsidRDefault="0042797D" w:rsidP="0042797D">
      <w:pPr>
        <w:spacing w:line="360" w:lineRule="auto"/>
        <w:jc w:val="both"/>
        <w:rPr>
          <w:rFonts w:ascii="Times New Roman" w:hAnsi="Times New Roman" w:cs="Times New Roman"/>
          <w:sz w:val="26"/>
          <w:szCs w:val="26"/>
        </w:rPr>
      </w:pPr>
      <w:r w:rsidRPr="0065777F">
        <w:rPr>
          <w:rFonts w:ascii="Times New Roman" w:hAnsi="Times New Roman" w:cs="Times New Roman"/>
          <w:sz w:val="26"/>
          <w:szCs w:val="26"/>
        </w:rPr>
        <w:t>Ngoài ra, ngân hàng có thể ứng dụng công nghệ dữ liệu trong việc phân tích nhu cầu khách hàng để xây dựng các chương trình tư vấn và chăm sóc phù hợp với từng đối tượng khách hàng, từ đó nâng cao hiệu quả khai thác nguồn vốn huy động.</w:t>
      </w:r>
    </w:p>
    <w:p w14:paraId="16FC91F0" w14:textId="77777777" w:rsidR="0042797D" w:rsidRPr="00720B18" w:rsidRDefault="0042797D" w:rsidP="0042797D">
      <w:pPr>
        <w:spacing w:line="360" w:lineRule="auto"/>
        <w:jc w:val="both"/>
        <w:rPr>
          <w:rFonts w:ascii="Times New Roman" w:hAnsi="Times New Roman" w:cs="Times New Roman"/>
          <w:b/>
          <w:bCs/>
          <w:sz w:val="26"/>
          <w:szCs w:val="26"/>
        </w:rPr>
      </w:pPr>
      <w:r w:rsidRPr="00720B18">
        <w:rPr>
          <w:rFonts w:ascii="Times New Roman" w:hAnsi="Times New Roman" w:cs="Times New Roman"/>
          <w:b/>
          <w:bCs/>
          <w:sz w:val="26"/>
          <w:szCs w:val="26"/>
        </w:rPr>
        <w:t>3.2.4. Nâng cao chất lượng dịch vụ và chăm sóc khách hàng</w:t>
      </w:r>
    </w:p>
    <w:p w14:paraId="72776BE4" w14:textId="77777777" w:rsidR="0042797D" w:rsidRPr="00A8475F" w:rsidRDefault="0042797D" w:rsidP="0042797D">
      <w:pPr>
        <w:spacing w:line="360" w:lineRule="auto"/>
        <w:jc w:val="both"/>
        <w:rPr>
          <w:rFonts w:ascii="Times New Roman" w:hAnsi="Times New Roman" w:cs="Times New Roman"/>
          <w:sz w:val="26"/>
          <w:szCs w:val="26"/>
        </w:rPr>
      </w:pPr>
      <w:r w:rsidRPr="00A8475F">
        <w:rPr>
          <w:rFonts w:ascii="Times New Roman" w:hAnsi="Times New Roman" w:cs="Times New Roman"/>
          <w:sz w:val="26"/>
          <w:szCs w:val="26"/>
        </w:rPr>
        <w:t>Trong điều kiện các ngân hàng có mức lãi suất không chênh lệch quá lớn, chất lượng dịch vụ và chất lượng chăm sóc khách hàng trở thành yếu tố cạnh tranh quan trọng ảnh hưởng trực tiếp đến khả năng giữ chân khách hàng và phát triển nguồn vốn huy động bền vững.</w:t>
      </w:r>
    </w:p>
    <w:p w14:paraId="6A730382" w14:textId="77777777" w:rsidR="0042797D" w:rsidRPr="00A8475F" w:rsidRDefault="0042797D" w:rsidP="0042797D">
      <w:pPr>
        <w:spacing w:line="360" w:lineRule="auto"/>
        <w:jc w:val="both"/>
        <w:rPr>
          <w:rFonts w:ascii="Times New Roman" w:hAnsi="Times New Roman" w:cs="Times New Roman"/>
          <w:sz w:val="26"/>
          <w:szCs w:val="26"/>
        </w:rPr>
      </w:pPr>
      <w:r w:rsidRPr="00A8475F">
        <w:rPr>
          <w:rFonts w:ascii="Times New Roman" w:hAnsi="Times New Roman" w:cs="Times New Roman"/>
          <w:sz w:val="26"/>
          <w:szCs w:val="26"/>
        </w:rPr>
        <w:t xml:space="preserve">PGD cần chú trọng nâng cao kỹ năng giao tiếp, kỹ năng tư vấn và chăm sóc khách hàng cho đội ngũ nhân viên. Nhân viên giao dịch cần có thái độ phục vụ chuyên nghiệp, nhiệt </w:t>
      </w:r>
      <w:r w:rsidRPr="00A8475F">
        <w:rPr>
          <w:rFonts w:ascii="Times New Roman" w:hAnsi="Times New Roman" w:cs="Times New Roman"/>
          <w:sz w:val="26"/>
          <w:szCs w:val="26"/>
        </w:rPr>
        <w:lastRenderedPageBreak/>
        <w:t>tình, thân thiện và chủ động hỗ trợ khách hàng trong quá trình sử dụng sản phẩm dịch vụ. Việc tạo được thiện cảm và sự hài lòng cho khách hàng sẽ góp phần gia tăng niềm tin và nâng cao khả năng khách hàng tiếp tục sử dụng dịch vụ của ngân hàng trong thời gian dài.</w:t>
      </w:r>
    </w:p>
    <w:p w14:paraId="595A91D4" w14:textId="77777777" w:rsidR="0042797D" w:rsidRPr="00A8475F" w:rsidRDefault="0042797D" w:rsidP="0042797D">
      <w:pPr>
        <w:spacing w:line="360" w:lineRule="auto"/>
        <w:jc w:val="both"/>
        <w:rPr>
          <w:rFonts w:ascii="Times New Roman" w:hAnsi="Times New Roman" w:cs="Times New Roman"/>
          <w:sz w:val="26"/>
          <w:szCs w:val="26"/>
        </w:rPr>
      </w:pPr>
      <w:r w:rsidRPr="00A8475F">
        <w:rPr>
          <w:rFonts w:ascii="Times New Roman" w:hAnsi="Times New Roman" w:cs="Times New Roman"/>
          <w:sz w:val="26"/>
          <w:szCs w:val="26"/>
        </w:rPr>
        <w:t>Bên cạnh đó, ngân hàng cần xây dựng chính sách chăm sóc khách hàng phù hợp với từng nhóm đối tượng như khách hàng VIP, khách hàng gửi tiền lâu năm hoặc khách hàng có số dư tiền gửi lớn. Các chương trình tri ân khách hàng, ưu đãi sinh nhật, hỗ trợ tư vấn tài chính cá nhân hoặc chăm sóc khách hàng định kỳ sẽ góp phần nâng cao sự hài lòng và tăng mức độ gắn bó của khách hàng với ngân hàng.</w:t>
      </w:r>
    </w:p>
    <w:p w14:paraId="029958AC" w14:textId="77777777" w:rsidR="0042797D" w:rsidRPr="00A8475F" w:rsidRDefault="0042797D" w:rsidP="0042797D">
      <w:pPr>
        <w:spacing w:line="360" w:lineRule="auto"/>
        <w:jc w:val="both"/>
        <w:rPr>
          <w:rFonts w:ascii="Times New Roman" w:hAnsi="Times New Roman" w:cs="Times New Roman"/>
          <w:sz w:val="26"/>
          <w:szCs w:val="26"/>
        </w:rPr>
      </w:pPr>
      <w:r w:rsidRPr="00A8475F">
        <w:rPr>
          <w:rFonts w:ascii="Times New Roman" w:hAnsi="Times New Roman" w:cs="Times New Roman"/>
          <w:sz w:val="26"/>
          <w:szCs w:val="26"/>
        </w:rPr>
        <w:t>Ngoài ra, PGD cần thường xuyên khảo sát mức độ hài lòng của khách hàng nhằm kịp thời tiếp nhận các ý kiến phản hồi và có biện pháp cải thiện chất lượng phục vụ phù hợp. Việc lắng nghe và xử lý nhanh chóng các phản hồi của khách hàng sẽ giúp ngân hàng nâng cao uy tín thương hiệu và tạo lợi thế cạnh tranh trên địa bàn.</w:t>
      </w:r>
    </w:p>
    <w:p w14:paraId="4FEB6C1D" w14:textId="77777777" w:rsidR="0042797D" w:rsidRPr="00A8475F" w:rsidRDefault="0042797D" w:rsidP="0042797D">
      <w:pPr>
        <w:spacing w:line="360" w:lineRule="auto"/>
        <w:jc w:val="both"/>
        <w:rPr>
          <w:rFonts w:ascii="Times New Roman" w:hAnsi="Times New Roman" w:cs="Times New Roman"/>
          <w:sz w:val="26"/>
          <w:szCs w:val="26"/>
        </w:rPr>
      </w:pPr>
      <w:r w:rsidRPr="00A8475F">
        <w:rPr>
          <w:rFonts w:ascii="Times New Roman" w:hAnsi="Times New Roman" w:cs="Times New Roman"/>
          <w:sz w:val="26"/>
          <w:szCs w:val="26"/>
        </w:rPr>
        <w:t>Song song với đó, PGD cũng cần cải thiện cơ sở vật chất, không gian giao dịch và quy trình phục vụ nhằm tạo sự thuận tiện và thoải mái cho khách hàng khi đến giao dịch trực tiếp tại ngân hàng.</w:t>
      </w:r>
    </w:p>
    <w:p w14:paraId="159F8622" w14:textId="77777777" w:rsidR="0042797D" w:rsidRPr="00720B18" w:rsidRDefault="0042797D" w:rsidP="0042797D">
      <w:pPr>
        <w:spacing w:line="360" w:lineRule="auto"/>
        <w:jc w:val="both"/>
        <w:rPr>
          <w:rFonts w:ascii="Times New Roman" w:hAnsi="Times New Roman" w:cs="Times New Roman"/>
          <w:b/>
          <w:bCs/>
          <w:sz w:val="26"/>
          <w:szCs w:val="26"/>
        </w:rPr>
      </w:pPr>
      <w:r w:rsidRPr="00720B18">
        <w:rPr>
          <w:rFonts w:ascii="Times New Roman" w:hAnsi="Times New Roman" w:cs="Times New Roman"/>
          <w:b/>
          <w:bCs/>
          <w:sz w:val="26"/>
          <w:szCs w:val="26"/>
        </w:rPr>
        <w:t>3.2.5. Đẩy mạnh hoạt động marketing và quảng bá thương hiệu</w:t>
      </w:r>
    </w:p>
    <w:p w14:paraId="23E9788E"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Để mở rộng tệp khách hàng cá nhân và nâng cao khả năng cạnh tranh trên địa bàn, PGD cần tăng cường các hoạt động marketing và quảng bá hình ảnh thương hiệu.</w:t>
      </w:r>
    </w:p>
    <w:p w14:paraId="4EC2ADE3"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Ngân hàng có thể triển khai các chương trình quảng bá sản phẩm huy động vốn thông qua nhiều kênh như mạng xã hội, website, SMS marketing, email marketing hoặc các chương trình truyền thông tại địa phương. Trong bối cảnh công nghệ phát triển mạnh mẽ, việc tận dụng các nền tảng số sẽ giúp ngân hàng tiếp cận khách hàng nhanh chóng với chi phí thấp hơn so với các hình thức quảng cáo truyền thống.</w:t>
      </w:r>
    </w:p>
    <w:p w14:paraId="1D95B030"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 xml:space="preserve">Bên cạnh đó, PGD nên tổ chức các chương trình tư vấn tài chính cá nhân, hội thảo tiết kiệm hoặc các hoạt động cộng đồng nhằm tăng cường tương tác với khách hàng và xây dựng hình ảnh ngân hàng thân thiện, hiện đại và gần gũi. Thông qua các hoạt động này, ngân </w:t>
      </w:r>
      <w:r w:rsidRPr="00890D9C">
        <w:rPr>
          <w:rFonts w:ascii="Times New Roman" w:hAnsi="Times New Roman" w:cs="Times New Roman"/>
          <w:sz w:val="26"/>
          <w:szCs w:val="26"/>
        </w:rPr>
        <w:lastRenderedPageBreak/>
        <w:t>hàng không chỉ quảng bá sản phẩm mà còn góp phần nâng cao nhận thức tài chính của người dân trên địa bàn.</w:t>
      </w:r>
    </w:p>
    <w:p w14:paraId="1294E94C"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Ngoài ra, đơn vị có thể phối hợp với các doanh nghiệp, trường học và tổ chức trên địa bàn để triển khai các chương trình mở tài khoản, trả lương qua ngân hàng hoặc giới thiệu các sản phẩm tiết kiệm đến khách hàng tiềm năng. Đây là giải pháp giúp ngân hàng mở rộng mạng lưới khách hàng cá nhân một cách hiệu quả và bền vững.</w:t>
      </w:r>
    </w:p>
    <w:p w14:paraId="75C6C380"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PGD cũng cần chú trọng xây dựng hình ảnh thương hiệu chuyên nghiệp, hiện đại và tạo sự khác biệt trong chất lượng phục vụ nhằm nâng cao mức độ nhận diện thương hiệu của Nam A Bank trên địa bàn thành phố Đà Nẵng.</w:t>
      </w:r>
    </w:p>
    <w:p w14:paraId="6546FCDC" w14:textId="77777777" w:rsidR="0042797D" w:rsidRPr="00762628" w:rsidRDefault="0042797D" w:rsidP="0042797D">
      <w:pPr>
        <w:spacing w:line="360" w:lineRule="auto"/>
        <w:jc w:val="both"/>
        <w:rPr>
          <w:rFonts w:ascii="Times New Roman" w:hAnsi="Times New Roman" w:cs="Times New Roman"/>
          <w:b/>
          <w:bCs/>
          <w:sz w:val="26"/>
          <w:szCs w:val="26"/>
        </w:rPr>
      </w:pPr>
      <w:r w:rsidRPr="00762628">
        <w:rPr>
          <w:rFonts w:ascii="Times New Roman" w:hAnsi="Times New Roman" w:cs="Times New Roman"/>
          <w:b/>
          <w:bCs/>
          <w:sz w:val="26"/>
          <w:szCs w:val="26"/>
        </w:rPr>
        <w:t>3.2.6. Phát triển nguồn nhân lực chất lượng cao</w:t>
      </w:r>
    </w:p>
    <w:p w14:paraId="6F5F6B65"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Nguồn nhân lực là yếu tố quan trọng quyết định chất lượng hoạt động huy động vốn của ngân hàng. Vì vậy, PGD cần chú trọng đào tạo và phát triển đội ngũ nhân viên theo hướng chuyên nghiệp, hiện đại và am hiểu nhu cầu khách hàng.</w:t>
      </w:r>
    </w:p>
    <w:p w14:paraId="3AA7FBFA"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Ngân hàng cần thường xuyên tổ chức các khóa đào tạo về kỹ năng bán hàng, kỹ năng chăm sóc khách hàng, kỹ năng tư vấn tài chính cá nhân và kiến thức về sản phẩm dịch vụ ngân hàng. Việc nâng cao trình độ chuyên môn và kỹ năng giao tiếp sẽ giúp nhân viên tư vấn chính xác, hiệu quả hơn, từ đó nâng cao khả năng thu hút khách hàng gửi tiền.</w:t>
      </w:r>
    </w:p>
    <w:p w14:paraId="597A6A14"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Bên cạnh đó, PGD cần xây dựng cơ chế đánh giá hiệu quả công việc rõ ràng, gắn với chính sách khen thưởng phù hợp nhằm tạo động lực cho nhân viên trong quá trình tìm kiếm và chăm sóc khách hàng. Các chế độ đãi ngộ hợp lý sẽ góp phần nâng cao tinh thần làm việc và khuyến khích nhân viên chủ động phát triển nguồn khách hàng mới.</w:t>
      </w:r>
    </w:p>
    <w:p w14:paraId="48446D50"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t>Ngoài ra, đơn vị cần xây dựng môi trường làm việc chuyên nghiệp, năng động và khuyến khích tinh thần sáng tạo nhằm nâng cao hiệu quả làm việc của nhân viên. Việc tạo môi trường làm việc tích cực sẽ giúp giữ chân nhân sự chất lượng cao và nâng cao hiệu quả hoạt động kinh doanh của ngân hàng.</w:t>
      </w:r>
    </w:p>
    <w:p w14:paraId="04226D0F" w14:textId="77777777" w:rsidR="0042797D" w:rsidRPr="00890D9C" w:rsidRDefault="0042797D" w:rsidP="0042797D">
      <w:pPr>
        <w:spacing w:line="360" w:lineRule="auto"/>
        <w:jc w:val="both"/>
        <w:rPr>
          <w:rFonts w:ascii="Times New Roman" w:hAnsi="Times New Roman" w:cs="Times New Roman"/>
          <w:sz w:val="26"/>
          <w:szCs w:val="26"/>
        </w:rPr>
      </w:pPr>
      <w:r w:rsidRPr="00890D9C">
        <w:rPr>
          <w:rFonts w:ascii="Times New Roman" w:hAnsi="Times New Roman" w:cs="Times New Roman"/>
          <w:sz w:val="26"/>
          <w:szCs w:val="26"/>
        </w:rPr>
        <w:lastRenderedPageBreak/>
        <w:t>Bên cạnh kỹ năng chuyên môn, PGD cũng cần chú trọng đào tạo nhân viên về đạo đức nghề nghiệp, văn hóa giao tiếp và tinh thần trách nhiệm nhằm xây dựng hình ảnh đội ngũ nhân viên chuyên nghiệp và tận tâm trong mắt khách hàng.</w:t>
      </w:r>
    </w:p>
    <w:p w14:paraId="37BE8781" w14:textId="77777777" w:rsidR="0042797D" w:rsidRPr="00762628" w:rsidRDefault="0042797D" w:rsidP="0042797D">
      <w:pPr>
        <w:spacing w:line="360" w:lineRule="auto"/>
        <w:jc w:val="both"/>
        <w:rPr>
          <w:rFonts w:ascii="Times New Roman" w:hAnsi="Times New Roman" w:cs="Times New Roman"/>
          <w:b/>
          <w:bCs/>
          <w:sz w:val="26"/>
          <w:szCs w:val="26"/>
        </w:rPr>
      </w:pPr>
      <w:r w:rsidRPr="00762628">
        <w:rPr>
          <w:rFonts w:ascii="Times New Roman" w:hAnsi="Times New Roman" w:cs="Times New Roman"/>
          <w:b/>
          <w:bCs/>
          <w:sz w:val="26"/>
          <w:szCs w:val="26"/>
        </w:rPr>
        <w:t>3.2.7. Tăng cường khai thác khách hàng hiện hữu và mở rộng khách hàng mới</w:t>
      </w:r>
    </w:p>
    <w:p w14:paraId="23613C67"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Để nâng cao hiệu quả huy động vốn, PGD cần khai thác tốt nguồn khách hàng hiện hữu đồng thời mở rộng thêm nhiều nhóm khách hàng mới trên địa bàn.</w:t>
      </w:r>
    </w:p>
    <w:p w14:paraId="6456FB68"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Đối với khách hàng hiện hữu, ngân hàng cần chủ động tư vấn các sản phẩm tiền gửi phù hợp với nhu cầu tài chính của khách hàng, đồng thời khuyến khích khách hàng sử dụng thêm các dịch vụ khác như thanh toán, chuyển tiền, thẻ hoặc ngân hàng số nhằm gia tăng sự gắn bó với ngân hàng. Việc phát triển đồng thời nhiều sản phẩm dịch vụ cho cùng một khách hàng sẽ giúp nâng cao hiệu quả kinh doanh và hạn chế nguy cơ khách hàng chuyển sang sử dụng dịch vụ của ngân hàng khác.</w:t>
      </w:r>
    </w:p>
    <w:p w14:paraId="77F7A343"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Đối với khách hàng mới, PGD cần xây dựng các chương trình tiếp cận phù hợp với từng nhóm khách hàng mục tiêu như nhân viên văn phòng, hộ kinh doanh cá thể, khách hàng trẻ hoặc người lao động có thu nhập ổn định. Mỗi nhóm khách hàng sẽ có đặc điểm và nhu cầu tài chính khác nhau, do đó ngân hàng cần có chính sách tiếp cận và sản phẩm phù hợp nhằm nâng cao hiệu quả huy động vốn.</w:t>
      </w:r>
    </w:p>
    <w:p w14:paraId="723F436A"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Ngoài ra, đơn vị cần tận dụng lợi thế địa bàn để mở rộng quan hệ với các doanh nghiệp, tổ chức và khu dân cư nhằm nâng cao khả năng tiếp cận khách hàng tiềm năng. Việc liên kết với các doanh nghiệp trả lương qua tài khoản ngân hàng sẽ giúp PGD gia tăng nguồn khách hàng cá nhân và mở rộng cơ hội phát triển các sản phẩm huy động vốn.</w:t>
      </w:r>
    </w:p>
    <w:p w14:paraId="000A1FF0"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Bên cạnh đó, PGD có thể triển khai các chương trình ưu đãi dành cho khách hàng mới như miễn phí mở tài khoản, ưu đãi lãi suất hoặc tặng quà nhằm thu hút khách hàng sử dụng sản phẩm dịch vụ của ngân hàng.</w:t>
      </w:r>
    </w:p>
    <w:p w14:paraId="1F77F95B" w14:textId="77777777" w:rsidR="0042797D" w:rsidRPr="00FD294B" w:rsidRDefault="0042797D" w:rsidP="0042797D">
      <w:pPr>
        <w:spacing w:line="360" w:lineRule="auto"/>
        <w:jc w:val="both"/>
        <w:rPr>
          <w:rFonts w:ascii="Times New Roman" w:hAnsi="Times New Roman" w:cs="Times New Roman"/>
          <w:b/>
          <w:bCs/>
          <w:sz w:val="26"/>
          <w:szCs w:val="26"/>
        </w:rPr>
      </w:pPr>
      <w:r w:rsidRPr="00FD294B">
        <w:rPr>
          <w:rFonts w:ascii="Times New Roman" w:hAnsi="Times New Roman" w:cs="Times New Roman"/>
          <w:b/>
          <w:bCs/>
          <w:sz w:val="26"/>
          <w:szCs w:val="26"/>
        </w:rPr>
        <w:t>3.2.8. Kiểm soát tốt chi phí huy động vốn</w:t>
      </w:r>
    </w:p>
    <w:p w14:paraId="58A5D041"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lastRenderedPageBreak/>
        <w:t>Bên cạnh mục tiêu tăng trưởng quy mô nguồn vốn huy động, PGD cũng cần chú trọng kiểm soát hiệu quả chi phí huy động vốn nhằm nâng cao hiệu quả hoạt động kinh doanh.</w:t>
      </w:r>
    </w:p>
    <w:p w14:paraId="6C333DEE"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Đơn vị cần xây dựng cơ cấu nguồn vốn hợp lý, hạn chế phụ thuộc quá lớn vào các khoản tiền gửi có lãi suất cao và tăng cường phát triển các nguồn vốn có chi phí thấp như tiền gửi thanh toán hoặc tiền gửi online. Việc gia tăng tỷ trọng nguồn vốn có chi phí thấp sẽ giúp ngân hàng cải thiện hiệu quả sử dụng vốn và nâng cao lợi nhuận.</w:t>
      </w:r>
    </w:p>
    <w:p w14:paraId="04DBB805"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Ngoài ra, ngân hàng cần cân đối hợp lý giữa tốc độ tăng trưởng huy động vốn và khả năng sử dụng vốn thực tế nhằm tránh tình trạng dư thừa vốn gây lãng phí chi phí huy động. Việc huy động vốn quá lớn nhưng không sử dụng hiệu quả sẽ làm gia tăng áp lực chi phí và ảnh hưởng đến hiệu quả kinh doanh của ngân hàng.</w:t>
      </w:r>
    </w:p>
    <w:p w14:paraId="7C2F424C"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Bên cạnh đó, việc đẩy mạnh huy động vốn qua kênh số cũng góp phần giảm chi phí vận hành, giảm áp lực về nhân sự và nâng cao hiệu quả quản lý nguồn vốn của ngân hàng.</w:t>
      </w:r>
    </w:p>
    <w:p w14:paraId="3C0F5D70"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PGD cũng cần thường xuyên theo dõi biến động lãi suất thị trường và tình hình thanh khoản để có kế hoạch điều chỉnh cơ cấu nguồn vốn phù hợp, đảm bảo tối ưu hóa hiệu quả sử dụng vốn.</w:t>
      </w:r>
    </w:p>
    <w:p w14:paraId="34806708" w14:textId="77777777" w:rsidR="0042797D" w:rsidRPr="00B019D3" w:rsidRDefault="0042797D" w:rsidP="0042797D">
      <w:pPr>
        <w:spacing w:line="360" w:lineRule="auto"/>
        <w:jc w:val="both"/>
        <w:rPr>
          <w:rFonts w:ascii="Times New Roman" w:hAnsi="Times New Roman" w:cs="Times New Roman"/>
          <w:sz w:val="26"/>
          <w:szCs w:val="26"/>
        </w:rPr>
      </w:pPr>
      <w:r w:rsidRPr="00B019D3">
        <w:rPr>
          <w:rFonts w:ascii="Times New Roman" w:hAnsi="Times New Roman" w:cs="Times New Roman"/>
          <w:sz w:val="26"/>
          <w:szCs w:val="26"/>
        </w:rPr>
        <w:t>Ngoài việc kiểm soát chi phí lãi suất, ngân hàng cũng cần chú trọng tiết giảm các chi phí liên quan đến hoạt động huy động vốn như chi phí quảng cáo, chi phí quản lý và chi phí vận hành nhằm nâng cao hiệu quả hoạt động tổng thể của đơn vị.</w:t>
      </w:r>
    </w:p>
    <w:p w14:paraId="3CFD737A" w14:textId="77777777" w:rsidR="0042797D" w:rsidRPr="00FD294B" w:rsidRDefault="0042797D" w:rsidP="0042797D">
      <w:pPr>
        <w:spacing w:line="360" w:lineRule="auto"/>
        <w:jc w:val="both"/>
        <w:rPr>
          <w:rFonts w:ascii="Times New Roman" w:hAnsi="Times New Roman" w:cs="Times New Roman"/>
          <w:b/>
          <w:bCs/>
          <w:sz w:val="26"/>
          <w:szCs w:val="26"/>
        </w:rPr>
      </w:pPr>
      <w:r w:rsidRPr="00FD294B">
        <w:rPr>
          <w:rFonts w:ascii="Times New Roman" w:hAnsi="Times New Roman" w:cs="Times New Roman"/>
          <w:b/>
          <w:bCs/>
          <w:sz w:val="26"/>
          <w:szCs w:val="26"/>
        </w:rPr>
        <w:t>3.3. Kiến nghị nhằm phát triển hoạt động huy động vốn đối với khách hàng cá nhân tại Nam A Bank – Chi nhánh Đà Nẵng – PGD Cẩm Lệ</w:t>
      </w:r>
    </w:p>
    <w:p w14:paraId="6243D36E" w14:textId="77777777" w:rsidR="0042797D" w:rsidRPr="00FD294B" w:rsidRDefault="0042797D" w:rsidP="0042797D">
      <w:pPr>
        <w:spacing w:line="360" w:lineRule="auto"/>
        <w:jc w:val="both"/>
        <w:rPr>
          <w:rFonts w:ascii="Times New Roman" w:hAnsi="Times New Roman" w:cs="Times New Roman"/>
          <w:b/>
          <w:bCs/>
          <w:sz w:val="26"/>
          <w:szCs w:val="26"/>
        </w:rPr>
      </w:pPr>
      <w:r w:rsidRPr="00FD294B">
        <w:rPr>
          <w:rFonts w:ascii="Times New Roman" w:hAnsi="Times New Roman" w:cs="Times New Roman"/>
          <w:b/>
          <w:bCs/>
          <w:sz w:val="26"/>
          <w:szCs w:val="26"/>
        </w:rPr>
        <w:t>3.3.1. Kiến nghị đối với Hội sở Nam A Bank</w:t>
      </w:r>
    </w:p>
    <w:p w14:paraId="5F130112"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Để hỗ trợ PGD Cẩm Lệ nâng cao hiệu quả hoạt động huy động vốn đối với khách hàng cá nhân, Hội sở Nam A Bank cần tăng cường hỗ trợ về cơ chế chính sách, công nghệ, sản phẩm và hoạt động marketing trong toàn hệ thống.</w:t>
      </w:r>
    </w:p>
    <w:p w14:paraId="771CEEC5"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 xml:space="preserve">Trước hết, Hội sở cần xây dựng chính sách lãi suất linh hoạt và phù hợp với từng khu vực hoạt động nhằm tạo điều kiện cho các chi nhánh và phòng giao dịch chủ động hơn trong </w:t>
      </w:r>
      <w:r w:rsidRPr="00A16946">
        <w:rPr>
          <w:rFonts w:ascii="Times New Roman" w:hAnsi="Times New Roman" w:cs="Times New Roman"/>
          <w:sz w:val="26"/>
          <w:szCs w:val="26"/>
        </w:rPr>
        <w:lastRenderedPageBreak/>
        <w:t>cạnh tranh huy động vốn. Việc cho phép đơn vị linh hoạt điều chỉnh mức ưu đãi đối với từng nhóm khách hàng sẽ góp phần nâng cao khả năng thu hút nguồn vốn huy động trên địa bàn.</w:t>
      </w:r>
    </w:p>
    <w:p w14:paraId="2C00F69A"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Bên cạnh đó, Hội sở cần tiếp tục đầu tư và nâng cấp hệ thống công nghệ thông tin, đặc biệt là nền tảng ngân hàng số nhằm nâng cao trải nghiệm khách hàng trong quá trình sử dụng dịch vụ. Việc cải thiện tốc độ xử lý giao dịch, nâng cao tính bảo mật và tối ưu hóa các tính năng gửi tiết kiệm online sẽ giúp gia tăng khả năng cạnh tranh của ngân hàng trong bối cảnh chuyển đổi số ngày càng mạnh mẽ.</w:t>
      </w:r>
    </w:p>
    <w:p w14:paraId="3C012F50"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Ngoài ra, Hội sở cần nghiên cứu và phát triển thêm nhiều sản phẩm huy động vốn hiện đại, đa dạng và phù hợp với từng nhóm khách hàng cá nhân. Các sản phẩm nên được thiết kế theo hướng linh hoạt về kỳ hạn, lãi suất và tiện ích đi kèm nhằm đáp ứng tốt hơn nhu cầu của khách hàng trong từng giai đoạn.</w:t>
      </w:r>
    </w:p>
    <w:p w14:paraId="1480E0D7"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Đồng thời, Hội sở cần tăng cường hỗ trợ các đơn vị trực thuộc trong hoạt động truyền thông và quảng bá thương hiệu thông qua các chương trình marketing đồng bộ trên toàn hệ thống. Việc triển khai các chiến dịch quảng bá quy mô lớn sẽ giúp nâng cao mức độ nhận diện thương hiệu của Nam A Bank và tạo điều kiện thuận lợi cho các đơn vị trực thuộc trong quá trình tiếp cận khách hàng.</w:t>
      </w:r>
    </w:p>
    <w:p w14:paraId="2F3E443D"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Bên cạnh đó, ngân hàng cần thường xuyên tổ chức các chương trình đào tạo chuyên môn, kỹ năng bán hàng và chăm sóc khách hàng cho đội ngũ nhân viên nhằm nâng cao chất lượng nguồn nhân lực và hiệu quả hoạt động huy động vốn.</w:t>
      </w:r>
    </w:p>
    <w:p w14:paraId="02CCB17B"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Ngoài ra, Hội sở cũng cần tăng cường công tác kiểm tra, giám sát và hỗ trợ chuyên môn cho các phòng giao dịch nhằm kịp thời tháo gỡ khó khăn trong quá trình triển khai hoạt động kinh doanh. Việc tạo điều kiện cho các đơn vị chủ động trong hoạt động huy động vốn sẽ góp phần nâng cao hiệu quả hoạt động của toàn hệ thống.</w:t>
      </w:r>
    </w:p>
    <w:p w14:paraId="01C15C95" w14:textId="77777777" w:rsidR="0042797D" w:rsidRPr="00FD294B" w:rsidRDefault="0042797D" w:rsidP="0042797D">
      <w:pPr>
        <w:spacing w:line="360" w:lineRule="auto"/>
        <w:jc w:val="both"/>
        <w:rPr>
          <w:rFonts w:ascii="Times New Roman" w:hAnsi="Times New Roman" w:cs="Times New Roman"/>
          <w:b/>
          <w:bCs/>
          <w:sz w:val="26"/>
          <w:szCs w:val="26"/>
        </w:rPr>
      </w:pPr>
      <w:r w:rsidRPr="00FD294B">
        <w:rPr>
          <w:rFonts w:ascii="Times New Roman" w:hAnsi="Times New Roman" w:cs="Times New Roman"/>
          <w:b/>
          <w:bCs/>
          <w:sz w:val="26"/>
          <w:szCs w:val="26"/>
        </w:rPr>
        <w:t>3.3.2. Kiến nghị đối với Ngân hàng Nhà nước Việt Nam</w:t>
      </w:r>
    </w:p>
    <w:p w14:paraId="720969A4"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lastRenderedPageBreak/>
        <w:t>Ngân hàng Nhà nước cần tiếp tục điều hành chính sách tiền tệ ổn định và linh hoạt nhằm tạo môi trường thuận lợi cho hoạt động huy động vốn của các ngân hàng thương mại.</w:t>
      </w:r>
    </w:p>
    <w:p w14:paraId="6E269B2D"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Trước hết, Ngân hàng Nhà nước cần duy trì sự ổn định của mặt bằng lãi suất và kiểm soát lạm phát ở mức hợp lý nhằm củng cố niềm tin của người dân vào hệ thống ngân hàng. Khi môi trường kinh tế vĩ mô ổn định, khách hàng sẽ có xu hướng ưu tiên gửi tiền tiết kiệm tại ngân hàng nhiều hơn, từ đó hỗ trợ hoạt động huy động vốn của các tổ chức tín dụng.</w:t>
      </w:r>
    </w:p>
    <w:p w14:paraId="5A1C078E"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Bên cạnh đó, Ngân hàng Nhà nước cần tiếp tục hoàn thiện hành lang pháp lý liên quan đến hoạt động ngân hàng số và thanh toán không dùng tiền mặt nhằm tạo điều kiện cho các ngân hàng phát triển các sản phẩm huy động vốn hiện đại trên nền tảng công nghệ.</w:t>
      </w:r>
    </w:p>
    <w:p w14:paraId="005AB652"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Ngoài ra, cần tăng cường công tác thanh tra, giám sát hoạt động của các ngân hàng thương mại nhằm đảm bảo cạnh tranh lành mạnh trên thị trường tài chính – ngân hàng, hạn chế tình trạng cạnh tranh lãi suất thiếu ổn định gây ảnh hưởng đến toàn hệ thống.</w:t>
      </w:r>
    </w:p>
    <w:p w14:paraId="33111233"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Đồng thời, Ngân hàng Nhà nước cần đẩy mạnh các chương trình tuyên truyền nhằm nâng cao nhận thức của người dân về lợi ích của việc sử dụng dịch vụ ngân hàng và gửi tiền tiết kiệm thông qua hệ thống ngân hàng chính thức.</w:t>
      </w:r>
    </w:p>
    <w:p w14:paraId="30F40107"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Bên cạnh đó, Ngân hàng Nhà nước cũng cần tạo điều kiện để các ngân hàng thương mại tiếp cận và ứng dụng công nghệ mới trong hoạt động kinh doanh, đặc biệt là công nghệ số, dữ liệu lớn và trí tuệ nhân tạo nhằm nâng cao chất lượng dịch vụ và hiệu quả hoạt động huy động vốn.</w:t>
      </w:r>
    </w:p>
    <w:p w14:paraId="1BD82AE2" w14:textId="77777777" w:rsidR="0042797D" w:rsidRPr="00A16946" w:rsidRDefault="0042797D" w:rsidP="0042797D">
      <w:pPr>
        <w:spacing w:line="360" w:lineRule="auto"/>
        <w:jc w:val="both"/>
        <w:rPr>
          <w:rFonts w:ascii="Times New Roman" w:hAnsi="Times New Roman" w:cs="Times New Roman"/>
          <w:sz w:val="26"/>
          <w:szCs w:val="26"/>
        </w:rPr>
      </w:pPr>
      <w:r w:rsidRPr="00A16946">
        <w:rPr>
          <w:rFonts w:ascii="Times New Roman" w:hAnsi="Times New Roman" w:cs="Times New Roman"/>
          <w:sz w:val="26"/>
          <w:szCs w:val="26"/>
        </w:rPr>
        <w:t>Ngoài ra, cơ quan quản lý cần tiếp tục hoàn thiện các quy định liên quan đến bảo vệ quyền lợi khách hàng, bảo mật thông tin và an toàn giao dịch điện tử nhằm tạo niềm tin cho khách hàng khi sử dụng các sản phẩm ngân hàng số và dịch vụ gửi tiết kiệm trực tuyến.</w:t>
      </w:r>
    </w:p>
    <w:p w14:paraId="4EF1E290" w14:textId="77777777" w:rsidR="0042797D" w:rsidRPr="00FD294B" w:rsidRDefault="0042797D" w:rsidP="0042797D">
      <w:pPr>
        <w:spacing w:line="360" w:lineRule="auto"/>
        <w:jc w:val="both"/>
        <w:rPr>
          <w:rFonts w:ascii="Times New Roman" w:hAnsi="Times New Roman" w:cs="Times New Roman"/>
          <w:b/>
          <w:bCs/>
          <w:sz w:val="26"/>
          <w:szCs w:val="26"/>
        </w:rPr>
      </w:pPr>
      <w:r w:rsidRPr="00FD294B">
        <w:rPr>
          <w:rFonts w:ascii="Times New Roman" w:hAnsi="Times New Roman" w:cs="Times New Roman"/>
          <w:b/>
          <w:bCs/>
          <w:sz w:val="26"/>
          <w:szCs w:val="26"/>
        </w:rPr>
        <w:t>3.3.3. Kiến nghị đối với chính quyền địa phương</w:t>
      </w:r>
    </w:p>
    <w:p w14:paraId="308D8C93"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Chính quyền địa phương cần tạo điều kiện thuận lợi cho các ngân hàng thương mại trong quá trình mở rộng hoạt động kinh doanh và phát triển dịch vụ ngân hàng trên địa bàn.</w:t>
      </w:r>
    </w:p>
    <w:p w14:paraId="4156AA36"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lastRenderedPageBreak/>
        <w:t>Trước hết, địa phương cần phối hợp với các ngân hàng trong việc triển khai các chương trình tuyên truyền về thanh toán không dùng tiền mặt và nâng cao hiểu biết tài chính cho người dân. Điều này sẽ góp phần thay đổi thói quen sử dụng tiền mặt và tạo điều kiện thuận lợi cho hoạt động huy động vốn của ngân hàng.</w:t>
      </w:r>
    </w:p>
    <w:p w14:paraId="34CCA60C"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Bên cạnh đó, chính quyền địa phương có thể hỗ trợ kết nối giữa ngân hàng với các doanh nghiệp, hộ kinh doanh và tổ chức trên địa bàn nhằm tạo điều kiện cho ngân hàng mở rộng tệp khách hàng và phát triển các sản phẩm dịch vụ tài chính.</w:t>
      </w:r>
    </w:p>
    <w:p w14:paraId="2A0AD854"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Ngoài ra, địa phương cần tiếp tục thúc đẩy phát triển kinh tế – xã hội, nâng cao thu nhập và mức sống của người dân, từ đó góp phần gia tăng nguồn vốn nhàn rỗi trong dân cư và tạo điều kiện thuận lợi cho hoạt động huy động vốn của các ngân hàng thương mại.</w:t>
      </w:r>
    </w:p>
    <w:p w14:paraId="7D19CA4E"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Đồng thời, địa phương cũng cần hỗ trợ xây dựng môi trường kinh doanh ổn định, minh bạch và an toàn nhằm tạo điều kiện cho các ngân hàng thương mại hoạt động hiệu quả và phát triển bền vững trên địa bàn.</w:t>
      </w:r>
    </w:p>
    <w:p w14:paraId="61731097"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Bên cạnh đó, chính quyền địa phương có thể phối hợp với các ngân hàng trong việc tổ chức các chương trình hội thảo, tư vấn tài chính cá nhân hoặc các hoạt động cộng đồng nhằm nâng cao nhận thức tài chính của người dân và tạo điều kiện để ngân hàng tiếp cận khách hàng tiềm năng.</w:t>
      </w:r>
    </w:p>
    <w:p w14:paraId="16504D3F"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Ngoài ra, địa phương cần tiếp tục đầu tư phát triển cơ sở hạ tầng, thúc đẩy hoạt động thương mại – dịch vụ và thu hút đầu tư trên địa bàn. Khi kinh tế địa phương phát triển, thu nhập của người dân được cải thiện sẽ góp phần làm gia tăng lượng tiền nhàn rỗi trong dân cư, từ đó tạo điều kiện thuận lợi cho các ngân hàng mở rộng hoạt động huy động vốn.</w:t>
      </w:r>
    </w:p>
    <w:p w14:paraId="21B01BF1" w14:textId="77777777" w:rsidR="0042797D" w:rsidRDefault="0042797D" w:rsidP="0042797D">
      <w:pPr>
        <w:spacing w:line="360" w:lineRule="auto"/>
        <w:jc w:val="both"/>
        <w:rPr>
          <w:rFonts w:ascii="Times New Roman" w:hAnsi="Times New Roman" w:cs="Times New Roman"/>
          <w:b/>
          <w:bCs/>
          <w:sz w:val="26"/>
          <w:szCs w:val="26"/>
        </w:rPr>
      </w:pPr>
    </w:p>
    <w:p w14:paraId="7C2CACE9" w14:textId="77777777" w:rsidR="0042797D" w:rsidRDefault="0042797D" w:rsidP="0042797D">
      <w:pPr>
        <w:spacing w:line="360" w:lineRule="auto"/>
        <w:jc w:val="both"/>
        <w:rPr>
          <w:rFonts w:ascii="Times New Roman" w:hAnsi="Times New Roman" w:cs="Times New Roman"/>
          <w:b/>
          <w:bCs/>
          <w:sz w:val="26"/>
          <w:szCs w:val="26"/>
        </w:rPr>
      </w:pPr>
    </w:p>
    <w:p w14:paraId="58F267F8" w14:textId="77777777" w:rsidR="0042797D" w:rsidRDefault="0042797D" w:rsidP="0042797D">
      <w:pPr>
        <w:spacing w:line="360" w:lineRule="auto"/>
        <w:jc w:val="both"/>
        <w:rPr>
          <w:rFonts w:ascii="Times New Roman" w:hAnsi="Times New Roman" w:cs="Times New Roman"/>
          <w:b/>
          <w:bCs/>
          <w:sz w:val="26"/>
          <w:szCs w:val="26"/>
        </w:rPr>
      </w:pPr>
    </w:p>
    <w:p w14:paraId="668B82B6" w14:textId="77777777" w:rsidR="0042797D" w:rsidRDefault="0042797D" w:rsidP="0042797D">
      <w:pPr>
        <w:spacing w:line="360" w:lineRule="auto"/>
        <w:jc w:val="both"/>
        <w:rPr>
          <w:rFonts w:ascii="Times New Roman" w:hAnsi="Times New Roman" w:cs="Times New Roman"/>
          <w:b/>
          <w:bCs/>
          <w:sz w:val="26"/>
          <w:szCs w:val="26"/>
        </w:rPr>
      </w:pPr>
    </w:p>
    <w:p w14:paraId="71465BC8" w14:textId="77777777" w:rsidR="0042797D" w:rsidRPr="008C0237" w:rsidRDefault="0042797D" w:rsidP="0042797D">
      <w:pPr>
        <w:spacing w:line="360" w:lineRule="auto"/>
        <w:jc w:val="center"/>
        <w:rPr>
          <w:rFonts w:ascii="Times New Roman" w:hAnsi="Times New Roman" w:cs="Times New Roman"/>
          <w:b/>
          <w:bCs/>
          <w:sz w:val="26"/>
          <w:szCs w:val="26"/>
        </w:rPr>
      </w:pPr>
      <w:r w:rsidRPr="008C0237">
        <w:rPr>
          <w:rFonts w:ascii="Times New Roman" w:hAnsi="Times New Roman" w:cs="Times New Roman"/>
          <w:b/>
          <w:bCs/>
          <w:sz w:val="26"/>
          <w:szCs w:val="26"/>
        </w:rPr>
        <w:lastRenderedPageBreak/>
        <w:t>KẾT LUẬN CHƯƠNG 3</w:t>
      </w:r>
    </w:p>
    <w:p w14:paraId="333C0B4E"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Trên cơ sở phân tích thực trạng hoạt động huy động vốn đối với khách hàng cá nhân tại Nam A Bank – Chi nhánh Đà Nẵng – PGD Cẩm Lệ trong giai đoạn 2023–2025, chương 3 đã đề xuất một số định hướng, giải pháp và kiến nghị nhằm nâng cao hiệu quả hoạt động huy động vốn của đơn vị trong thời gian tới.</w:t>
      </w:r>
    </w:p>
    <w:p w14:paraId="218A8EB9"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Các giải pháp được đưa ra tập trung vào việc đa dạng hóa sản phẩm huy động vốn, xây dựng chính sách lãi suất linh hoạt, đẩy mạnh ứng dụng công nghệ số, nâng cao chất lượng dịch vụ khách hàng, tăng cường hoạt động marketing, phát triển nguồn nhân lực và kiểm soát hiệu quả chi phí huy động vốn. Đồng thời, khóa luận cũng đưa ra một số kiến nghị đối với Hội sở Nam A Bank, Ngân hàng Nhà nước và chính quyền địa phương nhằm tạo điều kiện thuận lợi cho hoạt động huy động vốn của PGD Cẩm Lệ.</w:t>
      </w:r>
    </w:p>
    <w:p w14:paraId="5B920B73" w14:textId="77777777" w:rsidR="0042797D" w:rsidRPr="008C0237" w:rsidRDefault="0042797D" w:rsidP="0042797D">
      <w:pPr>
        <w:spacing w:line="360" w:lineRule="auto"/>
        <w:jc w:val="both"/>
        <w:rPr>
          <w:rFonts w:ascii="Times New Roman" w:hAnsi="Times New Roman" w:cs="Times New Roman"/>
          <w:sz w:val="26"/>
          <w:szCs w:val="26"/>
        </w:rPr>
      </w:pPr>
      <w:r w:rsidRPr="008C0237">
        <w:rPr>
          <w:rFonts w:ascii="Times New Roman" w:hAnsi="Times New Roman" w:cs="Times New Roman"/>
          <w:sz w:val="26"/>
          <w:szCs w:val="26"/>
        </w:rPr>
        <w:t>Nếu các giải pháp trên được triển khai đồng bộ và hiệu quả, PGD Cẩm Lệ sẽ có điều kiện nâng cao khả năng cạnh tranh, mở rộng quy mô nguồn vốn huy động, nâng cao chất lượng dịch vụ và góp phần phát triển hoạt động kinh doanh một cách ổn định, bền vững trong thời gian tới.</w:t>
      </w:r>
    </w:p>
    <w:p w14:paraId="0CCE161E" w14:textId="77777777" w:rsidR="0042797D" w:rsidRPr="009A2325" w:rsidRDefault="0042797D" w:rsidP="0042797D">
      <w:pPr>
        <w:spacing w:line="360" w:lineRule="auto"/>
        <w:jc w:val="both"/>
        <w:rPr>
          <w:rFonts w:ascii="Times New Roman" w:hAnsi="Times New Roman" w:cs="Times New Roman"/>
          <w:sz w:val="26"/>
          <w:szCs w:val="26"/>
        </w:rPr>
      </w:pPr>
    </w:p>
    <w:p w14:paraId="773E04C9" w14:textId="77777777" w:rsidR="00F20D78" w:rsidRDefault="00F20D78" w:rsidP="0042797D">
      <w:pPr>
        <w:ind w:left="-90"/>
        <w:rPr>
          <w:rFonts w:ascii="Times New Roman" w:hAnsi="Times New Roman" w:cs="Times New Roman"/>
          <w:b/>
          <w:bCs/>
          <w:sz w:val="26"/>
          <w:szCs w:val="26"/>
        </w:rPr>
      </w:pPr>
    </w:p>
    <w:p w14:paraId="464C3474" w14:textId="77777777" w:rsidR="00F20D78" w:rsidRDefault="00F20D78" w:rsidP="00935A3C">
      <w:pPr>
        <w:ind w:left="-90"/>
        <w:jc w:val="center"/>
        <w:rPr>
          <w:rFonts w:ascii="Times New Roman" w:hAnsi="Times New Roman" w:cs="Times New Roman"/>
          <w:b/>
          <w:bCs/>
          <w:sz w:val="26"/>
          <w:szCs w:val="26"/>
        </w:rPr>
      </w:pPr>
    </w:p>
    <w:p w14:paraId="307C6520" w14:textId="77777777" w:rsidR="00F20D78" w:rsidRDefault="00F20D78" w:rsidP="00935A3C">
      <w:pPr>
        <w:ind w:left="-90"/>
        <w:jc w:val="center"/>
        <w:rPr>
          <w:rFonts w:ascii="Times New Roman" w:hAnsi="Times New Roman" w:cs="Times New Roman"/>
          <w:b/>
          <w:bCs/>
          <w:sz w:val="26"/>
          <w:szCs w:val="26"/>
        </w:rPr>
      </w:pPr>
    </w:p>
    <w:p w14:paraId="523C2529" w14:textId="77777777" w:rsidR="00F20D78" w:rsidRDefault="00F20D78" w:rsidP="00935A3C">
      <w:pPr>
        <w:ind w:left="-90"/>
        <w:jc w:val="center"/>
        <w:rPr>
          <w:rFonts w:ascii="Times New Roman" w:hAnsi="Times New Roman" w:cs="Times New Roman"/>
          <w:b/>
          <w:bCs/>
          <w:sz w:val="26"/>
          <w:szCs w:val="26"/>
        </w:rPr>
      </w:pPr>
    </w:p>
    <w:p w14:paraId="57784385" w14:textId="77777777" w:rsidR="00F20D78" w:rsidRDefault="00F20D78" w:rsidP="00935A3C">
      <w:pPr>
        <w:ind w:left="-90"/>
        <w:jc w:val="center"/>
        <w:rPr>
          <w:rFonts w:ascii="Times New Roman" w:hAnsi="Times New Roman" w:cs="Times New Roman"/>
          <w:b/>
          <w:bCs/>
          <w:sz w:val="26"/>
          <w:szCs w:val="26"/>
        </w:rPr>
      </w:pPr>
    </w:p>
    <w:p w14:paraId="4680DF5C" w14:textId="77777777" w:rsidR="00F20D78" w:rsidRDefault="00F20D78" w:rsidP="00935A3C">
      <w:pPr>
        <w:ind w:left="-90"/>
        <w:jc w:val="center"/>
        <w:rPr>
          <w:rFonts w:ascii="Times New Roman" w:hAnsi="Times New Roman" w:cs="Times New Roman"/>
          <w:b/>
          <w:bCs/>
          <w:sz w:val="26"/>
          <w:szCs w:val="26"/>
        </w:rPr>
      </w:pPr>
    </w:p>
    <w:p w14:paraId="4946A452" w14:textId="77777777" w:rsidR="00F20D78" w:rsidRDefault="00F20D78" w:rsidP="00935A3C">
      <w:pPr>
        <w:ind w:left="-90"/>
        <w:jc w:val="center"/>
        <w:rPr>
          <w:rFonts w:ascii="Times New Roman" w:hAnsi="Times New Roman" w:cs="Times New Roman"/>
          <w:b/>
          <w:bCs/>
          <w:sz w:val="26"/>
          <w:szCs w:val="26"/>
        </w:rPr>
      </w:pPr>
    </w:p>
    <w:p w14:paraId="3B849BD5" w14:textId="77777777" w:rsidR="00F20D78" w:rsidRDefault="00F20D78" w:rsidP="00935A3C">
      <w:pPr>
        <w:ind w:left="-90"/>
        <w:jc w:val="center"/>
        <w:rPr>
          <w:rFonts w:ascii="Times New Roman" w:hAnsi="Times New Roman" w:cs="Times New Roman"/>
          <w:b/>
          <w:bCs/>
          <w:sz w:val="26"/>
          <w:szCs w:val="26"/>
        </w:rPr>
      </w:pPr>
    </w:p>
    <w:p w14:paraId="63CD94EA" w14:textId="77777777" w:rsidR="00F20D78" w:rsidRDefault="00F20D78" w:rsidP="00935A3C">
      <w:pPr>
        <w:ind w:left="-90"/>
        <w:jc w:val="center"/>
        <w:rPr>
          <w:rFonts w:ascii="Times New Roman" w:hAnsi="Times New Roman" w:cs="Times New Roman"/>
          <w:b/>
          <w:bCs/>
          <w:sz w:val="26"/>
          <w:szCs w:val="26"/>
        </w:rPr>
      </w:pPr>
    </w:p>
    <w:p w14:paraId="28E73685" w14:textId="77777777" w:rsidR="00F20D78" w:rsidRDefault="00F20D78" w:rsidP="00935A3C">
      <w:pPr>
        <w:ind w:left="-90"/>
        <w:jc w:val="center"/>
        <w:rPr>
          <w:rFonts w:ascii="Times New Roman" w:hAnsi="Times New Roman" w:cs="Times New Roman"/>
          <w:b/>
          <w:bCs/>
          <w:sz w:val="26"/>
          <w:szCs w:val="26"/>
        </w:rPr>
      </w:pPr>
    </w:p>
    <w:p w14:paraId="6C80704E" w14:textId="251814B1" w:rsidR="00F20D78" w:rsidRDefault="0042797D"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lastRenderedPageBreak/>
        <w:t>KẾT LUẬN</w:t>
      </w:r>
    </w:p>
    <w:p w14:paraId="2071AB9A" w14:textId="43D0F0E9" w:rsidR="0042797D" w:rsidRDefault="0042797D">
      <w:pPr>
        <w:rPr>
          <w:rFonts w:ascii="Times New Roman" w:hAnsi="Times New Roman" w:cs="Times New Roman"/>
          <w:b/>
          <w:bCs/>
          <w:sz w:val="26"/>
          <w:szCs w:val="26"/>
        </w:rPr>
      </w:pPr>
      <w:r>
        <w:rPr>
          <w:rFonts w:ascii="Times New Roman" w:hAnsi="Times New Roman" w:cs="Times New Roman"/>
          <w:b/>
          <w:bCs/>
          <w:sz w:val="26"/>
          <w:szCs w:val="26"/>
        </w:rPr>
        <w:br w:type="page"/>
      </w:r>
    </w:p>
    <w:p w14:paraId="41B6FCCD" w14:textId="12E59FE4" w:rsidR="0042797D" w:rsidRDefault="0042797D" w:rsidP="00935A3C">
      <w:pPr>
        <w:ind w:left="-90"/>
        <w:jc w:val="center"/>
        <w:rPr>
          <w:rFonts w:ascii="Times New Roman" w:hAnsi="Times New Roman" w:cs="Times New Roman"/>
          <w:b/>
          <w:bCs/>
          <w:sz w:val="26"/>
          <w:szCs w:val="26"/>
        </w:rPr>
      </w:pPr>
      <w:r>
        <w:rPr>
          <w:rFonts w:ascii="Times New Roman" w:hAnsi="Times New Roman" w:cs="Times New Roman"/>
          <w:b/>
          <w:bCs/>
          <w:sz w:val="26"/>
          <w:szCs w:val="26"/>
        </w:rPr>
        <w:lastRenderedPageBreak/>
        <w:t>TÀI LIỆU THAM KHẢO</w:t>
      </w:r>
    </w:p>
    <w:p w14:paraId="30E99E12" w14:textId="77777777" w:rsidR="00F20D78" w:rsidRDefault="00F20D78" w:rsidP="00935A3C">
      <w:pPr>
        <w:ind w:left="-90"/>
        <w:jc w:val="center"/>
        <w:rPr>
          <w:rFonts w:ascii="Times New Roman" w:hAnsi="Times New Roman" w:cs="Times New Roman"/>
          <w:b/>
          <w:bCs/>
          <w:sz w:val="26"/>
          <w:szCs w:val="26"/>
        </w:rPr>
      </w:pPr>
    </w:p>
    <w:p w14:paraId="7FB0BB05" w14:textId="77777777" w:rsidR="00F20D78" w:rsidRDefault="00F20D78" w:rsidP="00935A3C">
      <w:pPr>
        <w:ind w:left="-90"/>
        <w:jc w:val="center"/>
        <w:rPr>
          <w:rFonts w:ascii="Times New Roman" w:hAnsi="Times New Roman" w:cs="Times New Roman"/>
          <w:b/>
          <w:bCs/>
          <w:sz w:val="26"/>
          <w:szCs w:val="26"/>
        </w:rPr>
      </w:pPr>
    </w:p>
    <w:p w14:paraId="3C6C2CF9" w14:textId="77777777" w:rsidR="00F20D78" w:rsidRDefault="00F20D78" w:rsidP="00935A3C">
      <w:pPr>
        <w:ind w:left="-90"/>
        <w:jc w:val="center"/>
        <w:rPr>
          <w:rFonts w:ascii="Times New Roman" w:hAnsi="Times New Roman" w:cs="Times New Roman"/>
          <w:b/>
          <w:bCs/>
          <w:sz w:val="26"/>
          <w:szCs w:val="26"/>
        </w:rPr>
      </w:pPr>
    </w:p>
    <w:p w14:paraId="0E34B797" w14:textId="77777777" w:rsidR="00F20D78" w:rsidRDefault="00F20D78" w:rsidP="00935A3C">
      <w:pPr>
        <w:ind w:left="-90"/>
        <w:jc w:val="center"/>
        <w:rPr>
          <w:rFonts w:ascii="Times New Roman" w:hAnsi="Times New Roman" w:cs="Times New Roman"/>
          <w:b/>
          <w:bCs/>
          <w:sz w:val="26"/>
          <w:szCs w:val="26"/>
        </w:rPr>
      </w:pPr>
    </w:p>
    <w:p w14:paraId="500E2B40" w14:textId="77777777" w:rsidR="00F20D78" w:rsidRDefault="00F20D78" w:rsidP="00935A3C">
      <w:pPr>
        <w:ind w:left="-90"/>
        <w:jc w:val="center"/>
        <w:rPr>
          <w:rFonts w:ascii="Times New Roman" w:hAnsi="Times New Roman" w:cs="Times New Roman"/>
          <w:b/>
          <w:bCs/>
          <w:sz w:val="26"/>
          <w:szCs w:val="26"/>
        </w:rPr>
      </w:pPr>
    </w:p>
    <w:p w14:paraId="2D1E310E" w14:textId="77777777" w:rsidR="00F20D78" w:rsidRDefault="00F20D78" w:rsidP="00935A3C">
      <w:pPr>
        <w:ind w:left="-90"/>
        <w:jc w:val="center"/>
        <w:rPr>
          <w:rFonts w:ascii="Times New Roman" w:hAnsi="Times New Roman" w:cs="Times New Roman"/>
          <w:b/>
          <w:bCs/>
          <w:sz w:val="26"/>
          <w:szCs w:val="26"/>
        </w:rPr>
      </w:pPr>
    </w:p>
    <w:p w14:paraId="6769E4F4" w14:textId="77777777" w:rsidR="006D768B" w:rsidRDefault="006D768B" w:rsidP="00935A3C">
      <w:pPr>
        <w:ind w:left="-90"/>
        <w:jc w:val="center"/>
        <w:rPr>
          <w:rFonts w:ascii="Times New Roman" w:hAnsi="Times New Roman" w:cs="Times New Roman"/>
          <w:b/>
          <w:bCs/>
          <w:sz w:val="26"/>
          <w:szCs w:val="26"/>
        </w:rPr>
      </w:pPr>
    </w:p>
    <w:p w14:paraId="4EF8D2D4" w14:textId="77777777" w:rsidR="006D768B" w:rsidRDefault="006D768B" w:rsidP="00935A3C">
      <w:pPr>
        <w:ind w:left="-90"/>
        <w:jc w:val="center"/>
        <w:rPr>
          <w:rFonts w:ascii="Times New Roman" w:hAnsi="Times New Roman" w:cs="Times New Roman"/>
          <w:b/>
          <w:bCs/>
          <w:sz w:val="26"/>
          <w:szCs w:val="26"/>
        </w:rPr>
      </w:pPr>
    </w:p>
    <w:p w14:paraId="7AE7DA9E" w14:textId="77777777" w:rsidR="006D768B" w:rsidRDefault="006D768B" w:rsidP="00935A3C">
      <w:pPr>
        <w:ind w:left="-90"/>
        <w:jc w:val="center"/>
        <w:rPr>
          <w:rFonts w:ascii="Times New Roman" w:hAnsi="Times New Roman" w:cs="Times New Roman"/>
          <w:b/>
          <w:bCs/>
          <w:sz w:val="26"/>
          <w:szCs w:val="26"/>
        </w:rPr>
      </w:pPr>
    </w:p>
    <w:p w14:paraId="39D097E6" w14:textId="77777777" w:rsidR="006D768B" w:rsidRDefault="006D768B" w:rsidP="00935A3C">
      <w:pPr>
        <w:ind w:left="-90"/>
        <w:jc w:val="center"/>
        <w:rPr>
          <w:rFonts w:ascii="Times New Roman" w:hAnsi="Times New Roman" w:cs="Times New Roman"/>
          <w:b/>
          <w:bCs/>
          <w:sz w:val="26"/>
          <w:szCs w:val="26"/>
        </w:rPr>
      </w:pPr>
    </w:p>
    <w:p w14:paraId="0E1E15AB" w14:textId="77777777" w:rsidR="006D768B" w:rsidRDefault="006D768B" w:rsidP="00935A3C">
      <w:pPr>
        <w:ind w:left="-90"/>
        <w:jc w:val="center"/>
        <w:rPr>
          <w:rFonts w:ascii="Times New Roman" w:hAnsi="Times New Roman" w:cs="Times New Roman"/>
          <w:b/>
          <w:bCs/>
          <w:sz w:val="26"/>
          <w:szCs w:val="26"/>
        </w:rPr>
      </w:pPr>
    </w:p>
    <w:p w14:paraId="20C32943" w14:textId="77777777" w:rsidR="006D768B" w:rsidRDefault="006D768B" w:rsidP="00935A3C">
      <w:pPr>
        <w:ind w:left="-90"/>
        <w:jc w:val="center"/>
        <w:rPr>
          <w:rFonts w:ascii="Times New Roman" w:hAnsi="Times New Roman" w:cs="Times New Roman"/>
          <w:b/>
          <w:bCs/>
          <w:sz w:val="26"/>
          <w:szCs w:val="26"/>
        </w:rPr>
      </w:pPr>
    </w:p>
    <w:p w14:paraId="3A448358" w14:textId="77777777" w:rsidR="006D768B" w:rsidRDefault="006D768B" w:rsidP="00935A3C">
      <w:pPr>
        <w:ind w:left="-90"/>
        <w:jc w:val="center"/>
        <w:rPr>
          <w:rFonts w:ascii="Times New Roman" w:hAnsi="Times New Roman" w:cs="Times New Roman"/>
          <w:b/>
          <w:bCs/>
          <w:sz w:val="26"/>
          <w:szCs w:val="26"/>
        </w:rPr>
      </w:pPr>
    </w:p>
    <w:p w14:paraId="63872AB6" w14:textId="77777777" w:rsidR="006D768B" w:rsidRDefault="006D768B" w:rsidP="00935A3C">
      <w:pPr>
        <w:ind w:left="-90"/>
        <w:jc w:val="center"/>
        <w:rPr>
          <w:rFonts w:ascii="Times New Roman" w:hAnsi="Times New Roman" w:cs="Times New Roman"/>
          <w:b/>
          <w:bCs/>
          <w:sz w:val="26"/>
          <w:szCs w:val="26"/>
        </w:rPr>
      </w:pPr>
    </w:p>
    <w:p w14:paraId="379F8AB4" w14:textId="77777777" w:rsidR="006D768B" w:rsidRDefault="006D768B" w:rsidP="00935A3C">
      <w:pPr>
        <w:ind w:left="-90"/>
        <w:jc w:val="center"/>
        <w:rPr>
          <w:rFonts w:ascii="Times New Roman" w:hAnsi="Times New Roman" w:cs="Times New Roman"/>
          <w:b/>
          <w:bCs/>
          <w:sz w:val="26"/>
          <w:szCs w:val="26"/>
        </w:rPr>
      </w:pPr>
    </w:p>
    <w:p w14:paraId="4D0A69D9" w14:textId="77777777" w:rsidR="006D768B" w:rsidRDefault="006D768B" w:rsidP="00935A3C">
      <w:pPr>
        <w:ind w:left="-90"/>
        <w:jc w:val="center"/>
        <w:rPr>
          <w:rFonts w:ascii="Times New Roman" w:hAnsi="Times New Roman" w:cs="Times New Roman"/>
          <w:b/>
          <w:bCs/>
          <w:sz w:val="26"/>
          <w:szCs w:val="26"/>
        </w:rPr>
      </w:pPr>
    </w:p>
    <w:p w14:paraId="38F9BE29" w14:textId="77777777" w:rsidR="006D768B" w:rsidRDefault="006D768B" w:rsidP="00935A3C">
      <w:pPr>
        <w:ind w:left="-90"/>
        <w:jc w:val="center"/>
        <w:rPr>
          <w:rFonts w:ascii="Times New Roman" w:hAnsi="Times New Roman" w:cs="Times New Roman"/>
          <w:b/>
          <w:bCs/>
          <w:sz w:val="26"/>
          <w:szCs w:val="26"/>
        </w:rPr>
      </w:pPr>
    </w:p>
    <w:p w14:paraId="1EF4D671" w14:textId="77777777" w:rsidR="006D768B" w:rsidRPr="006D768B" w:rsidRDefault="006D768B" w:rsidP="00935A3C">
      <w:pPr>
        <w:ind w:left="-90"/>
        <w:jc w:val="center"/>
        <w:rPr>
          <w:rFonts w:ascii="Times New Roman" w:hAnsi="Times New Roman" w:cs="Times New Roman"/>
          <w:b/>
          <w:bCs/>
          <w:sz w:val="26"/>
          <w:szCs w:val="26"/>
        </w:rPr>
      </w:pPr>
    </w:p>
    <w:sectPr w:rsidR="006D768B" w:rsidRPr="006D768B" w:rsidSect="004363A3">
      <w:pgSz w:w="12240" w:h="15840"/>
      <w:pgMar w:top="1440" w:right="1440" w:bottom="1440" w:left="1440" w:header="720" w:footer="720" w:gutter="0"/>
      <w:pgBorders w:display="firstPage" w:offsetFrom="page">
        <w:top w:val="single" w:sz="24" w:space="24" w:color="auto"/>
        <w:left w:val="single" w:sz="24" w:space="24" w:color="auto"/>
        <w:bottom w:val="single" w:sz="24" w:space="24" w:color="auto"/>
        <w:right w:val="single"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44338"/>
    <w:multiLevelType w:val="multilevel"/>
    <w:tmpl w:val="FB5A6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A01D9"/>
    <w:multiLevelType w:val="multilevel"/>
    <w:tmpl w:val="2F1A8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BDC7CC8"/>
    <w:multiLevelType w:val="multilevel"/>
    <w:tmpl w:val="C3261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3C08AA"/>
    <w:multiLevelType w:val="multilevel"/>
    <w:tmpl w:val="21C4A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FC1BD1"/>
    <w:multiLevelType w:val="multilevel"/>
    <w:tmpl w:val="D3F85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D04E5D"/>
    <w:multiLevelType w:val="hybridMultilevel"/>
    <w:tmpl w:val="9B7EBB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8BF36BF"/>
    <w:multiLevelType w:val="multilevel"/>
    <w:tmpl w:val="E61EC29E"/>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3405D83"/>
    <w:multiLevelType w:val="hybridMultilevel"/>
    <w:tmpl w:val="D812BB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3F3F69"/>
    <w:multiLevelType w:val="multilevel"/>
    <w:tmpl w:val="E0023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9F22ED"/>
    <w:multiLevelType w:val="multilevel"/>
    <w:tmpl w:val="5A222B92"/>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979415088">
    <w:abstractNumId w:val="5"/>
  </w:num>
  <w:num w:numId="2" w16cid:durableId="761528858">
    <w:abstractNumId w:val="9"/>
  </w:num>
  <w:num w:numId="3" w16cid:durableId="1803645015">
    <w:abstractNumId w:val="6"/>
  </w:num>
  <w:num w:numId="4" w16cid:durableId="653871344">
    <w:abstractNumId w:val="7"/>
  </w:num>
  <w:num w:numId="5" w16cid:durableId="1404841198">
    <w:abstractNumId w:val="3"/>
  </w:num>
  <w:num w:numId="6" w16cid:durableId="1058625716">
    <w:abstractNumId w:val="8"/>
  </w:num>
  <w:num w:numId="7" w16cid:durableId="1373726181">
    <w:abstractNumId w:val="2"/>
  </w:num>
  <w:num w:numId="8" w16cid:durableId="1480459654">
    <w:abstractNumId w:val="1"/>
  </w:num>
  <w:num w:numId="9" w16cid:durableId="646738621">
    <w:abstractNumId w:val="0"/>
  </w:num>
  <w:num w:numId="10" w16cid:durableId="4847072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63A3"/>
    <w:rsid w:val="0025193F"/>
    <w:rsid w:val="0042797D"/>
    <w:rsid w:val="004363A3"/>
    <w:rsid w:val="0043677B"/>
    <w:rsid w:val="00490B2C"/>
    <w:rsid w:val="00566007"/>
    <w:rsid w:val="006D6414"/>
    <w:rsid w:val="006D768B"/>
    <w:rsid w:val="00766A84"/>
    <w:rsid w:val="00935A3C"/>
    <w:rsid w:val="00C4456F"/>
    <w:rsid w:val="00CC0706"/>
    <w:rsid w:val="00D26AB8"/>
    <w:rsid w:val="00EC67BB"/>
    <w:rsid w:val="00F14950"/>
    <w:rsid w:val="00F20D78"/>
    <w:rsid w:val="00F373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C55D9F"/>
  <w15:chartTrackingRefBased/>
  <w15:docId w15:val="{7736032A-A029-45BD-8DB5-2F22A26F1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63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363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363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363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363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363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63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63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63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63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363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363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363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363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363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63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63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63A3"/>
    <w:rPr>
      <w:rFonts w:eastAsiaTheme="majorEastAsia" w:cstheme="majorBidi"/>
      <w:color w:val="272727" w:themeColor="text1" w:themeTint="D8"/>
    </w:rPr>
  </w:style>
  <w:style w:type="paragraph" w:styleId="Title">
    <w:name w:val="Title"/>
    <w:basedOn w:val="Normal"/>
    <w:next w:val="Normal"/>
    <w:link w:val="TitleChar"/>
    <w:uiPriority w:val="10"/>
    <w:qFormat/>
    <w:rsid w:val="004363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63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63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63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63A3"/>
    <w:pPr>
      <w:spacing w:before="160"/>
      <w:jc w:val="center"/>
    </w:pPr>
    <w:rPr>
      <w:i/>
      <w:iCs/>
      <w:color w:val="404040" w:themeColor="text1" w:themeTint="BF"/>
    </w:rPr>
  </w:style>
  <w:style w:type="character" w:customStyle="1" w:styleId="QuoteChar">
    <w:name w:val="Quote Char"/>
    <w:basedOn w:val="DefaultParagraphFont"/>
    <w:link w:val="Quote"/>
    <w:uiPriority w:val="29"/>
    <w:rsid w:val="004363A3"/>
    <w:rPr>
      <w:i/>
      <w:iCs/>
      <w:color w:val="404040" w:themeColor="text1" w:themeTint="BF"/>
    </w:rPr>
  </w:style>
  <w:style w:type="paragraph" w:styleId="ListParagraph">
    <w:name w:val="List Paragraph"/>
    <w:basedOn w:val="Normal"/>
    <w:uiPriority w:val="34"/>
    <w:qFormat/>
    <w:rsid w:val="004363A3"/>
    <w:pPr>
      <w:ind w:left="720"/>
      <w:contextualSpacing/>
    </w:pPr>
  </w:style>
  <w:style w:type="character" w:styleId="IntenseEmphasis">
    <w:name w:val="Intense Emphasis"/>
    <w:basedOn w:val="DefaultParagraphFont"/>
    <w:uiPriority w:val="21"/>
    <w:qFormat/>
    <w:rsid w:val="004363A3"/>
    <w:rPr>
      <w:i/>
      <w:iCs/>
      <w:color w:val="0F4761" w:themeColor="accent1" w:themeShade="BF"/>
    </w:rPr>
  </w:style>
  <w:style w:type="paragraph" w:styleId="IntenseQuote">
    <w:name w:val="Intense Quote"/>
    <w:basedOn w:val="Normal"/>
    <w:next w:val="Normal"/>
    <w:link w:val="IntenseQuoteChar"/>
    <w:uiPriority w:val="30"/>
    <w:qFormat/>
    <w:rsid w:val="004363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363A3"/>
    <w:rPr>
      <w:i/>
      <w:iCs/>
      <w:color w:val="0F4761" w:themeColor="accent1" w:themeShade="BF"/>
    </w:rPr>
  </w:style>
  <w:style w:type="character" w:styleId="IntenseReference">
    <w:name w:val="Intense Reference"/>
    <w:basedOn w:val="DefaultParagraphFont"/>
    <w:uiPriority w:val="32"/>
    <w:qFormat/>
    <w:rsid w:val="004363A3"/>
    <w:rPr>
      <w:b/>
      <w:bCs/>
      <w:smallCaps/>
      <w:color w:val="0F4761" w:themeColor="accent1" w:themeShade="BF"/>
      <w:spacing w:val="5"/>
    </w:rPr>
  </w:style>
  <w:style w:type="table" w:styleId="TableGrid">
    <w:name w:val="Table Grid"/>
    <w:basedOn w:val="TableNormal"/>
    <w:uiPriority w:val="39"/>
    <w:rsid w:val="006D768B"/>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3677B"/>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3677B"/>
    <w:rPr>
      <w:b/>
      <w:bCs/>
    </w:rPr>
  </w:style>
  <w:style w:type="paragraph" w:styleId="Header">
    <w:name w:val="header"/>
    <w:basedOn w:val="Normal"/>
    <w:link w:val="HeaderChar"/>
    <w:uiPriority w:val="99"/>
    <w:unhideWhenUsed/>
    <w:rsid w:val="004279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97D"/>
  </w:style>
  <w:style w:type="paragraph" w:styleId="Footer">
    <w:name w:val="footer"/>
    <w:basedOn w:val="Normal"/>
    <w:link w:val="FooterChar"/>
    <w:uiPriority w:val="99"/>
    <w:unhideWhenUsed/>
    <w:rsid w:val="004279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97D"/>
  </w:style>
  <w:style w:type="table" w:customStyle="1" w:styleId="TableGrid1">
    <w:name w:val="Table Grid1"/>
    <w:basedOn w:val="TableNormal"/>
    <w:next w:val="TableGrid"/>
    <w:uiPriority w:val="39"/>
    <w:rsid w:val="0042797D"/>
    <w:pPr>
      <w:widowControl w:val="0"/>
      <w:autoSpaceDE w:val="0"/>
      <w:autoSpaceDN w:val="0"/>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chart" Target="charts/chart2.xml"/><Relationship Id="rId18" Type="http://schemas.openxmlformats.org/officeDocument/2006/relationships/chart" Target="charts/chart6.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chart" Target="charts/chart1.xml"/><Relationship Id="rId17" Type="http://schemas.openxmlformats.org/officeDocument/2006/relationships/chart" Target="charts/chart5.xml"/><Relationship Id="rId2" Type="http://schemas.openxmlformats.org/officeDocument/2006/relationships/styles" Target="styles.xml"/><Relationship Id="rId16" Type="http://schemas.openxmlformats.org/officeDocument/2006/relationships/chart" Target="charts/chart4.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microsoft.com/office/2007/relationships/diagramDrawing" Target="diagrams/drawing1.xml"/><Relationship Id="rId5" Type="http://schemas.openxmlformats.org/officeDocument/2006/relationships/image" Target="media/image1.png"/><Relationship Id="rId15" Type="http://schemas.openxmlformats.org/officeDocument/2006/relationships/image" Target="media/image3.png"/><Relationship Id="rId10" Type="http://schemas.openxmlformats.org/officeDocument/2006/relationships/diagramColors" Target="diagrams/colors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1502-4021-A73A-78CE26A30DE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1502-4021-A73A-78CE26A30DE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1502-4021-A73A-78CE26A30DE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1502-4021-A73A-78CE26A30DE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1502-4021-A73A-78CE26A30DEB}"/>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1502-4021-A73A-78CE26A30DEB}"/>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1502-4021-A73A-78CE26A30DEB}"/>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Tiền gửi tiết kiệm thông thường</c:v>
                </c:pt>
                <c:pt idx="1">
                  <c:v>Tiết kiệm lợi ích nhân đôi</c:v>
                </c:pt>
                <c:pt idx="2">
                  <c:v>Happy future</c:v>
                </c:pt>
                <c:pt idx="3">
                  <c:v>Tài khoản thanh toán</c:v>
                </c:pt>
                <c:pt idx="4">
                  <c:v>Happy combo</c:v>
                </c:pt>
                <c:pt idx="5">
                  <c:v>Happy lady</c:v>
                </c:pt>
                <c:pt idx="6">
                  <c:v>Chứng chỉ tiền gửi</c:v>
                </c:pt>
              </c:strCache>
            </c:strRef>
          </c:cat>
          <c:val>
            <c:numRef>
              <c:f>Sheet1!$B$2:$B$8</c:f>
              <c:numCache>
                <c:formatCode>General</c:formatCode>
                <c:ptCount val="7"/>
                <c:pt idx="0">
                  <c:v>37.1</c:v>
                </c:pt>
                <c:pt idx="1">
                  <c:v>11.13</c:v>
                </c:pt>
                <c:pt idx="2">
                  <c:v>4.7</c:v>
                </c:pt>
                <c:pt idx="3">
                  <c:v>33.5</c:v>
                </c:pt>
                <c:pt idx="4">
                  <c:v>6.37</c:v>
                </c:pt>
                <c:pt idx="5">
                  <c:v>7.2</c:v>
                </c:pt>
                <c:pt idx="6">
                  <c:v>0</c:v>
                </c:pt>
              </c:numCache>
            </c:numRef>
          </c:val>
          <c:extLst>
            <c:ext xmlns:c16="http://schemas.microsoft.com/office/drawing/2014/chart" uri="{C3380CC4-5D6E-409C-BE32-E72D297353CC}">
              <c16:uniqueId val="{0000000E-1502-4021-A73A-78CE26A30DEB}"/>
            </c:ext>
          </c:extLst>
        </c:ser>
        <c:dLbls>
          <c:dLblPos val="outEnd"/>
          <c:showLegendKey val="0"/>
          <c:showVal val="1"/>
          <c:showCatName val="0"/>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2024</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929-4585-B3BC-67B9EC3458FC}"/>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929-4585-B3BC-67B9EC3458FC}"/>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929-4585-B3BC-67B9EC3458FC}"/>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929-4585-B3BC-67B9EC3458FC}"/>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6929-4585-B3BC-67B9EC3458FC}"/>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6929-4585-B3BC-67B9EC3458FC}"/>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6929-4585-B3BC-67B9EC3458FC}"/>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Tiền gửi tiết kiệm thông thường</c:v>
                </c:pt>
                <c:pt idx="1">
                  <c:v>Tiết kiệm lợi ích nhân đôi</c:v>
                </c:pt>
                <c:pt idx="2">
                  <c:v>Happy future</c:v>
                </c:pt>
                <c:pt idx="3">
                  <c:v>Tài khoản thanh toán</c:v>
                </c:pt>
                <c:pt idx="4">
                  <c:v>Happy combo</c:v>
                </c:pt>
                <c:pt idx="5">
                  <c:v>Happy lady</c:v>
                </c:pt>
                <c:pt idx="6">
                  <c:v>Chứng chỉ tiền gửi</c:v>
                </c:pt>
              </c:strCache>
            </c:strRef>
          </c:cat>
          <c:val>
            <c:numRef>
              <c:f>Sheet1!$B$2:$B$8</c:f>
              <c:numCache>
                <c:formatCode>General</c:formatCode>
                <c:ptCount val="7"/>
                <c:pt idx="0">
                  <c:v>42.14</c:v>
                </c:pt>
                <c:pt idx="1">
                  <c:v>12.27</c:v>
                </c:pt>
                <c:pt idx="2">
                  <c:v>5.91</c:v>
                </c:pt>
                <c:pt idx="3">
                  <c:v>29.54</c:v>
                </c:pt>
                <c:pt idx="4">
                  <c:v>4.95</c:v>
                </c:pt>
                <c:pt idx="5">
                  <c:v>5.2</c:v>
                </c:pt>
                <c:pt idx="6">
                  <c:v>0</c:v>
                </c:pt>
              </c:numCache>
            </c:numRef>
          </c:val>
          <c:extLst>
            <c:ext xmlns:c16="http://schemas.microsoft.com/office/drawing/2014/chart" uri="{C3380CC4-5D6E-409C-BE32-E72D297353CC}">
              <c16:uniqueId val="{0000000E-6929-4585-B3BC-67B9EC3458FC}"/>
            </c:ext>
          </c:extLst>
        </c:ser>
        <c:dLbls>
          <c:dLblPos val="outEnd"/>
          <c:showLegendKey val="0"/>
          <c:showVal val="1"/>
          <c:showCatName val="0"/>
          <c:showSerName val="0"/>
          <c:showPercent val="0"/>
          <c:showBubbleSize val="0"/>
          <c:showLeaderLines val="1"/>
        </c:dLbls>
      </c:pie3D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2025</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8FE2-4B3C-9282-5EDF7A1E49CF}"/>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8FE2-4B3C-9282-5EDF7A1E49CF}"/>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8FE2-4B3C-9282-5EDF7A1E49CF}"/>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8FE2-4B3C-9282-5EDF7A1E49CF}"/>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8FE2-4B3C-9282-5EDF7A1E49CF}"/>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8FE2-4B3C-9282-5EDF7A1E49CF}"/>
              </c:ext>
            </c:extLst>
          </c:dPt>
          <c:dPt>
            <c:idx val="6"/>
            <c:bubble3D val="0"/>
            <c:spPr>
              <a:solidFill>
                <a:schemeClr val="accent1">
                  <a:lumMod val="6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D-8FE2-4B3C-9282-5EDF7A1E49C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Sheet1!$A$2:$A$8</c:f>
              <c:strCache>
                <c:ptCount val="7"/>
                <c:pt idx="0">
                  <c:v>Tiền gửi tiết kiệm thông thường</c:v>
                </c:pt>
                <c:pt idx="1">
                  <c:v>Tiết kiệm lợi ích nhân đôi</c:v>
                </c:pt>
                <c:pt idx="2">
                  <c:v>Happy future</c:v>
                </c:pt>
                <c:pt idx="3">
                  <c:v>Tài khoản thanh toán</c:v>
                </c:pt>
                <c:pt idx="4">
                  <c:v>Happy combo</c:v>
                </c:pt>
                <c:pt idx="5">
                  <c:v>Happy lady</c:v>
                </c:pt>
                <c:pt idx="6">
                  <c:v>Chứng chỉ tiền gửi</c:v>
                </c:pt>
              </c:strCache>
            </c:strRef>
          </c:cat>
          <c:val>
            <c:numRef>
              <c:f>Sheet1!$B$2:$B$8</c:f>
              <c:numCache>
                <c:formatCode>General</c:formatCode>
                <c:ptCount val="7"/>
                <c:pt idx="0">
                  <c:v>39.56</c:v>
                </c:pt>
                <c:pt idx="1">
                  <c:v>10.72</c:v>
                </c:pt>
                <c:pt idx="2">
                  <c:v>5.63</c:v>
                </c:pt>
                <c:pt idx="3">
                  <c:v>29.22</c:v>
                </c:pt>
                <c:pt idx="4">
                  <c:v>7.07</c:v>
                </c:pt>
                <c:pt idx="5">
                  <c:v>7.81</c:v>
                </c:pt>
                <c:pt idx="6">
                  <c:v>0</c:v>
                </c:pt>
              </c:numCache>
            </c:numRef>
          </c:val>
          <c:extLst>
            <c:ext xmlns:c16="http://schemas.microsoft.com/office/drawing/2014/chart" uri="{C3380CC4-5D6E-409C-BE32-E72D297353CC}">
              <c16:uniqueId val="{0000000E-8FE2-4B3C-9282-5EDF7A1E49CF}"/>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Lãi suất</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Sheet1!$A$2:$A$7</c:f>
              <c:strCache>
                <c:ptCount val="6"/>
                <c:pt idx="0">
                  <c:v>T6/2023</c:v>
                </c:pt>
                <c:pt idx="1">
                  <c:v>T12/2023</c:v>
                </c:pt>
                <c:pt idx="2">
                  <c:v>T6/2024</c:v>
                </c:pt>
                <c:pt idx="3">
                  <c:v>T12/2024</c:v>
                </c:pt>
                <c:pt idx="4">
                  <c:v>T6/2025</c:v>
                </c:pt>
                <c:pt idx="5">
                  <c:v>T12/2025</c:v>
                </c:pt>
              </c:strCache>
            </c:strRef>
          </c:cat>
          <c:val>
            <c:numRef>
              <c:f>Sheet1!$B$2:$B$7</c:f>
              <c:numCache>
                <c:formatCode>General</c:formatCode>
                <c:ptCount val="6"/>
                <c:pt idx="0">
                  <c:v>5</c:v>
                </c:pt>
                <c:pt idx="1">
                  <c:v>3.6</c:v>
                </c:pt>
                <c:pt idx="2">
                  <c:v>3.1</c:v>
                </c:pt>
                <c:pt idx="3">
                  <c:v>3.6</c:v>
                </c:pt>
                <c:pt idx="4">
                  <c:v>3.7</c:v>
                </c:pt>
                <c:pt idx="5">
                  <c:v>3.9</c:v>
                </c:pt>
              </c:numCache>
            </c:numRef>
          </c:val>
          <c:smooth val="0"/>
          <c:extLst>
            <c:ext xmlns:c16="http://schemas.microsoft.com/office/drawing/2014/chart" uri="{C3380CC4-5D6E-409C-BE32-E72D297353CC}">
              <c16:uniqueId val="{00000000-C3C3-4631-875E-E6DF634D4236}"/>
            </c:ext>
          </c:extLst>
        </c:ser>
        <c:ser>
          <c:idx val="1"/>
          <c:order val="1"/>
          <c:tx>
            <c:strRef>
              <c:f>Sheet1!$C$1</c:f>
              <c:strCache>
                <c:ptCount val="1"/>
                <c:pt idx="0">
                  <c:v>Column1</c:v>
                </c:pt>
              </c:strCache>
            </c:strRef>
          </c:tx>
          <c:spPr>
            <a:ln w="31750" cap="rnd">
              <a:solidFill>
                <a:schemeClr val="accent2"/>
              </a:solidFill>
              <a:round/>
            </a:ln>
            <a:effectLst/>
          </c:spPr>
          <c:marker>
            <c:symbol val="none"/>
          </c:marker>
          <c:dLbls>
            <c:delete val="1"/>
          </c:dLbls>
          <c:cat>
            <c:strRef>
              <c:f>Sheet1!$A$2:$A$7</c:f>
              <c:strCache>
                <c:ptCount val="6"/>
                <c:pt idx="0">
                  <c:v>T6/2023</c:v>
                </c:pt>
                <c:pt idx="1">
                  <c:v>T12/2023</c:v>
                </c:pt>
                <c:pt idx="2">
                  <c:v>T6/2024</c:v>
                </c:pt>
                <c:pt idx="3">
                  <c:v>T12/2024</c:v>
                </c:pt>
                <c:pt idx="4">
                  <c:v>T6/2025</c:v>
                </c:pt>
                <c:pt idx="5">
                  <c:v>T12/2025</c:v>
                </c:pt>
              </c:strCache>
            </c:strRef>
          </c:cat>
          <c:val>
            <c:numRef>
              <c:f>Sheet1!$C$2:$C$7</c:f>
              <c:numCache>
                <c:formatCode>General</c:formatCode>
                <c:ptCount val="6"/>
              </c:numCache>
            </c:numRef>
          </c:val>
          <c:smooth val="0"/>
          <c:extLst>
            <c:ext xmlns:c16="http://schemas.microsoft.com/office/drawing/2014/chart" uri="{C3380CC4-5D6E-409C-BE32-E72D297353CC}">
              <c16:uniqueId val="{00000001-C3C3-4631-875E-E6DF634D4236}"/>
            </c:ext>
          </c:extLst>
        </c:ser>
        <c:ser>
          <c:idx val="2"/>
          <c:order val="2"/>
          <c:tx>
            <c:strRef>
              <c:f>Sheet1!$D$1</c:f>
              <c:strCache>
                <c:ptCount val="1"/>
                <c:pt idx="0">
                  <c:v>Column2</c:v>
                </c:pt>
              </c:strCache>
            </c:strRef>
          </c:tx>
          <c:spPr>
            <a:ln w="31750" cap="rnd">
              <a:solidFill>
                <a:schemeClr val="accent3"/>
              </a:solidFill>
              <a:round/>
            </a:ln>
            <a:effectLst/>
          </c:spPr>
          <c:marker>
            <c:symbol val="none"/>
          </c:marker>
          <c:dLbls>
            <c:delete val="1"/>
          </c:dLbls>
          <c:cat>
            <c:strRef>
              <c:f>Sheet1!$A$2:$A$7</c:f>
              <c:strCache>
                <c:ptCount val="6"/>
                <c:pt idx="0">
                  <c:v>T6/2023</c:v>
                </c:pt>
                <c:pt idx="1">
                  <c:v>T12/2023</c:v>
                </c:pt>
                <c:pt idx="2">
                  <c:v>T6/2024</c:v>
                </c:pt>
                <c:pt idx="3">
                  <c:v>T12/2024</c:v>
                </c:pt>
                <c:pt idx="4">
                  <c:v>T6/2025</c:v>
                </c:pt>
                <c:pt idx="5">
                  <c:v>T12/2025</c:v>
                </c:pt>
              </c:strCache>
            </c:strRef>
          </c:cat>
          <c:val>
            <c:numRef>
              <c:f>Sheet1!$D$2:$D$7</c:f>
              <c:numCache>
                <c:formatCode>General</c:formatCode>
                <c:ptCount val="6"/>
              </c:numCache>
            </c:numRef>
          </c:val>
          <c:smooth val="0"/>
          <c:extLst>
            <c:ext xmlns:c16="http://schemas.microsoft.com/office/drawing/2014/chart" uri="{C3380CC4-5D6E-409C-BE32-E72D297353CC}">
              <c16:uniqueId val="{00000002-C3C3-4631-875E-E6DF634D4236}"/>
            </c:ext>
          </c:extLst>
        </c:ser>
        <c:dLbls>
          <c:dLblPos val="t"/>
          <c:showLegendKey val="0"/>
          <c:showVal val="1"/>
          <c:showCatName val="0"/>
          <c:showSerName val="0"/>
          <c:showPercent val="0"/>
          <c:showBubbleSize val="0"/>
        </c:dLbls>
        <c:smooth val="0"/>
        <c:axId val="1426839056"/>
        <c:axId val="1081842704"/>
      </c:lineChart>
      <c:catAx>
        <c:axId val="1426839056"/>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81842704"/>
        <c:crosses val="autoZero"/>
        <c:auto val="1"/>
        <c:lblAlgn val="ctr"/>
        <c:lblOffset val="100"/>
        <c:noMultiLvlLbl val="0"/>
      </c:catAx>
      <c:valAx>
        <c:axId val="108184270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26839056"/>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Series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Sheet1!$A$2:$A$7</c:f>
              <c:strCache>
                <c:ptCount val="6"/>
                <c:pt idx="0">
                  <c:v>T6/2023</c:v>
                </c:pt>
                <c:pt idx="1">
                  <c:v>T12/2023</c:v>
                </c:pt>
                <c:pt idx="2">
                  <c:v>T6/2024</c:v>
                </c:pt>
                <c:pt idx="3">
                  <c:v>T12/2024</c:v>
                </c:pt>
                <c:pt idx="4">
                  <c:v>T6/2025</c:v>
                </c:pt>
                <c:pt idx="5">
                  <c:v>T12/2025</c:v>
                </c:pt>
              </c:strCache>
            </c:strRef>
          </c:cat>
          <c:val>
            <c:numRef>
              <c:f>Sheet1!$B$2:$B$7</c:f>
              <c:numCache>
                <c:formatCode>General</c:formatCode>
                <c:ptCount val="6"/>
                <c:pt idx="0">
                  <c:v>7.45</c:v>
                </c:pt>
                <c:pt idx="1">
                  <c:v>4.7</c:v>
                </c:pt>
                <c:pt idx="2">
                  <c:v>4.5</c:v>
                </c:pt>
                <c:pt idx="3">
                  <c:v>4.7</c:v>
                </c:pt>
                <c:pt idx="4">
                  <c:v>4.7</c:v>
                </c:pt>
                <c:pt idx="5">
                  <c:v>5</c:v>
                </c:pt>
              </c:numCache>
            </c:numRef>
          </c:val>
          <c:smooth val="0"/>
          <c:extLst>
            <c:ext xmlns:c16="http://schemas.microsoft.com/office/drawing/2014/chart" uri="{C3380CC4-5D6E-409C-BE32-E72D297353CC}">
              <c16:uniqueId val="{00000000-7FF0-45D4-8372-00BE0BEC495F}"/>
            </c:ext>
          </c:extLst>
        </c:ser>
        <c:ser>
          <c:idx val="1"/>
          <c:order val="1"/>
          <c:tx>
            <c:strRef>
              <c:f>Sheet1!$C$1</c:f>
              <c:strCache>
                <c:ptCount val="1"/>
                <c:pt idx="0">
                  <c:v>Column1</c:v>
                </c:pt>
              </c:strCache>
            </c:strRef>
          </c:tx>
          <c:spPr>
            <a:ln w="31750" cap="rnd">
              <a:solidFill>
                <a:schemeClr val="accent2"/>
              </a:solidFill>
              <a:round/>
            </a:ln>
            <a:effectLst/>
          </c:spPr>
          <c:marker>
            <c:symbol val="none"/>
          </c:marker>
          <c:dLbls>
            <c:delete val="1"/>
          </c:dLbls>
          <c:cat>
            <c:strRef>
              <c:f>Sheet1!$A$2:$A$7</c:f>
              <c:strCache>
                <c:ptCount val="6"/>
                <c:pt idx="0">
                  <c:v>T6/2023</c:v>
                </c:pt>
                <c:pt idx="1">
                  <c:v>T12/2023</c:v>
                </c:pt>
                <c:pt idx="2">
                  <c:v>T6/2024</c:v>
                </c:pt>
                <c:pt idx="3">
                  <c:v>T12/2024</c:v>
                </c:pt>
                <c:pt idx="4">
                  <c:v>T6/2025</c:v>
                </c:pt>
                <c:pt idx="5">
                  <c:v>T12/2025</c:v>
                </c:pt>
              </c:strCache>
            </c:strRef>
          </c:cat>
          <c:val>
            <c:numRef>
              <c:f>Sheet1!$C$2:$C$7</c:f>
              <c:numCache>
                <c:formatCode>General</c:formatCode>
                <c:ptCount val="6"/>
              </c:numCache>
            </c:numRef>
          </c:val>
          <c:smooth val="0"/>
          <c:extLst>
            <c:ext xmlns:c16="http://schemas.microsoft.com/office/drawing/2014/chart" uri="{C3380CC4-5D6E-409C-BE32-E72D297353CC}">
              <c16:uniqueId val="{00000001-7FF0-45D4-8372-00BE0BEC495F}"/>
            </c:ext>
          </c:extLst>
        </c:ser>
        <c:ser>
          <c:idx val="2"/>
          <c:order val="2"/>
          <c:tx>
            <c:strRef>
              <c:f>Sheet1!$D$1</c:f>
              <c:strCache>
                <c:ptCount val="1"/>
                <c:pt idx="0">
                  <c:v>Column2</c:v>
                </c:pt>
              </c:strCache>
            </c:strRef>
          </c:tx>
          <c:spPr>
            <a:ln w="31750" cap="rnd">
              <a:solidFill>
                <a:schemeClr val="accent3"/>
              </a:solidFill>
              <a:round/>
            </a:ln>
            <a:effectLst/>
          </c:spPr>
          <c:marker>
            <c:symbol val="none"/>
          </c:marker>
          <c:dLbls>
            <c:delete val="1"/>
          </c:dLbls>
          <c:cat>
            <c:strRef>
              <c:f>Sheet1!$A$2:$A$7</c:f>
              <c:strCache>
                <c:ptCount val="6"/>
                <c:pt idx="0">
                  <c:v>T6/2023</c:v>
                </c:pt>
                <c:pt idx="1">
                  <c:v>T12/2023</c:v>
                </c:pt>
                <c:pt idx="2">
                  <c:v>T6/2024</c:v>
                </c:pt>
                <c:pt idx="3">
                  <c:v>T12/2024</c:v>
                </c:pt>
                <c:pt idx="4">
                  <c:v>T6/2025</c:v>
                </c:pt>
                <c:pt idx="5">
                  <c:v>T12/2025</c:v>
                </c:pt>
              </c:strCache>
            </c:strRef>
          </c:cat>
          <c:val>
            <c:numRef>
              <c:f>Sheet1!$D$2:$D$7</c:f>
              <c:numCache>
                <c:formatCode>General</c:formatCode>
                <c:ptCount val="6"/>
              </c:numCache>
            </c:numRef>
          </c:val>
          <c:smooth val="0"/>
          <c:extLst>
            <c:ext xmlns:c16="http://schemas.microsoft.com/office/drawing/2014/chart" uri="{C3380CC4-5D6E-409C-BE32-E72D297353CC}">
              <c16:uniqueId val="{00000002-7FF0-45D4-8372-00BE0BEC495F}"/>
            </c:ext>
          </c:extLst>
        </c:ser>
        <c:dLbls>
          <c:dLblPos val="t"/>
          <c:showLegendKey val="0"/>
          <c:showVal val="1"/>
          <c:showCatName val="0"/>
          <c:showSerName val="0"/>
          <c:showPercent val="0"/>
          <c:showBubbleSize val="0"/>
        </c:dLbls>
        <c:smooth val="0"/>
        <c:axId val="1156368960"/>
        <c:axId val="1081805264"/>
      </c:lineChart>
      <c:catAx>
        <c:axId val="1156368960"/>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81805264"/>
        <c:crosses val="autoZero"/>
        <c:auto val="1"/>
        <c:lblAlgn val="ctr"/>
        <c:lblOffset val="100"/>
        <c:noMultiLvlLbl val="0"/>
      </c:catAx>
      <c:valAx>
        <c:axId val="108180526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156368960"/>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Series 1</c:v>
                </c:pt>
              </c:strCache>
            </c:strRef>
          </c:tx>
          <c:spPr>
            <a:ln w="31750" cap="rnd">
              <a:solidFill>
                <a:schemeClr val="accent1"/>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Sheet1!$A$2:$A$7</c:f>
              <c:strCache>
                <c:ptCount val="6"/>
                <c:pt idx="0">
                  <c:v>T6/2023</c:v>
                </c:pt>
                <c:pt idx="1">
                  <c:v>T12/2023</c:v>
                </c:pt>
                <c:pt idx="2">
                  <c:v>T6/2024</c:v>
                </c:pt>
                <c:pt idx="3">
                  <c:v>T12/2024</c:v>
                </c:pt>
                <c:pt idx="4">
                  <c:v>T6/2025</c:v>
                </c:pt>
                <c:pt idx="5">
                  <c:v>T12/2025</c:v>
                </c:pt>
              </c:strCache>
            </c:strRef>
          </c:cat>
          <c:val>
            <c:numRef>
              <c:f>Sheet1!$B$2:$B$7</c:f>
              <c:numCache>
                <c:formatCode>General</c:formatCode>
                <c:ptCount val="6"/>
                <c:pt idx="0">
                  <c:v>7.3</c:v>
                </c:pt>
                <c:pt idx="1">
                  <c:v>5.5</c:v>
                </c:pt>
                <c:pt idx="2">
                  <c:v>5.3</c:v>
                </c:pt>
                <c:pt idx="3">
                  <c:v>5.3</c:v>
                </c:pt>
                <c:pt idx="4">
                  <c:v>5.3</c:v>
                </c:pt>
                <c:pt idx="5">
                  <c:v>5.5</c:v>
                </c:pt>
              </c:numCache>
            </c:numRef>
          </c:val>
          <c:smooth val="0"/>
          <c:extLst>
            <c:ext xmlns:c16="http://schemas.microsoft.com/office/drawing/2014/chart" uri="{C3380CC4-5D6E-409C-BE32-E72D297353CC}">
              <c16:uniqueId val="{00000000-4B86-4066-B237-6A94454E7442}"/>
            </c:ext>
          </c:extLst>
        </c:ser>
        <c:ser>
          <c:idx val="1"/>
          <c:order val="1"/>
          <c:tx>
            <c:strRef>
              <c:f>Sheet1!$C$1</c:f>
              <c:strCache>
                <c:ptCount val="1"/>
                <c:pt idx="0">
                  <c:v>Column1</c:v>
                </c:pt>
              </c:strCache>
            </c:strRef>
          </c:tx>
          <c:spPr>
            <a:ln w="31750" cap="rnd">
              <a:solidFill>
                <a:schemeClr val="accent2"/>
              </a:solidFill>
              <a:round/>
            </a:ln>
            <a:effectLst/>
          </c:spPr>
          <c:marker>
            <c:symbol val="none"/>
          </c:marker>
          <c:dLbls>
            <c:delete val="1"/>
          </c:dLbls>
          <c:cat>
            <c:strRef>
              <c:f>Sheet1!$A$2:$A$7</c:f>
              <c:strCache>
                <c:ptCount val="6"/>
                <c:pt idx="0">
                  <c:v>T6/2023</c:v>
                </c:pt>
                <c:pt idx="1">
                  <c:v>T12/2023</c:v>
                </c:pt>
                <c:pt idx="2">
                  <c:v>T6/2024</c:v>
                </c:pt>
                <c:pt idx="3">
                  <c:v>T12/2024</c:v>
                </c:pt>
                <c:pt idx="4">
                  <c:v>T6/2025</c:v>
                </c:pt>
                <c:pt idx="5">
                  <c:v>T12/2025</c:v>
                </c:pt>
              </c:strCache>
            </c:strRef>
          </c:cat>
          <c:val>
            <c:numRef>
              <c:f>Sheet1!$C$2:$C$7</c:f>
              <c:numCache>
                <c:formatCode>General</c:formatCode>
                <c:ptCount val="6"/>
              </c:numCache>
            </c:numRef>
          </c:val>
          <c:smooth val="0"/>
          <c:extLst>
            <c:ext xmlns:c16="http://schemas.microsoft.com/office/drawing/2014/chart" uri="{C3380CC4-5D6E-409C-BE32-E72D297353CC}">
              <c16:uniqueId val="{00000001-4B86-4066-B237-6A94454E7442}"/>
            </c:ext>
          </c:extLst>
        </c:ser>
        <c:ser>
          <c:idx val="2"/>
          <c:order val="2"/>
          <c:tx>
            <c:strRef>
              <c:f>Sheet1!$D$1</c:f>
              <c:strCache>
                <c:ptCount val="1"/>
                <c:pt idx="0">
                  <c:v>Column2</c:v>
                </c:pt>
              </c:strCache>
            </c:strRef>
          </c:tx>
          <c:spPr>
            <a:ln w="31750" cap="rnd">
              <a:solidFill>
                <a:schemeClr val="accent3"/>
              </a:solidFill>
              <a:round/>
            </a:ln>
            <a:effectLst/>
          </c:spPr>
          <c:marker>
            <c:symbol val="none"/>
          </c:marker>
          <c:dLbls>
            <c:delete val="1"/>
          </c:dLbls>
          <c:cat>
            <c:strRef>
              <c:f>Sheet1!$A$2:$A$7</c:f>
              <c:strCache>
                <c:ptCount val="6"/>
                <c:pt idx="0">
                  <c:v>T6/2023</c:v>
                </c:pt>
                <c:pt idx="1">
                  <c:v>T12/2023</c:v>
                </c:pt>
                <c:pt idx="2">
                  <c:v>T6/2024</c:v>
                </c:pt>
                <c:pt idx="3">
                  <c:v>T12/2024</c:v>
                </c:pt>
                <c:pt idx="4">
                  <c:v>T6/2025</c:v>
                </c:pt>
                <c:pt idx="5">
                  <c:v>T12/2025</c:v>
                </c:pt>
              </c:strCache>
            </c:strRef>
          </c:cat>
          <c:val>
            <c:numRef>
              <c:f>Sheet1!$D$2:$D$7</c:f>
              <c:numCache>
                <c:formatCode>General</c:formatCode>
                <c:ptCount val="6"/>
              </c:numCache>
            </c:numRef>
          </c:val>
          <c:smooth val="0"/>
          <c:extLst>
            <c:ext xmlns:c16="http://schemas.microsoft.com/office/drawing/2014/chart" uri="{C3380CC4-5D6E-409C-BE32-E72D297353CC}">
              <c16:uniqueId val="{00000002-4B86-4066-B237-6A94454E7442}"/>
            </c:ext>
          </c:extLst>
        </c:ser>
        <c:dLbls>
          <c:dLblPos val="t"/>
          <c:showLegendKey val="0"/>
          <c:showVal val="1"/>
          <c:showCatName val="0"/>
          <c:showSerName val="0"/>
          <c:showPercent val="0"/>
          <c:showBubbleSize val="0"/>
        </c:dLbls>
        <c:smooth val="0"/>
        <c:axId val="1439927952"/>
        <c:axId val="1081829744"/>
      </c:lineChart>
      <c:catAx>
        <c:axId val="1439927952"/>
        <c:scaling>
          <c:orientation val="minMax"/>
        </c:scaling>
        <c:delete val="0"/>
        <c:axPos val="b"/>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81829744"/>
        <c:crosses val="autoZero"/>
        <c:auto val="1"/>
        <c:lblAlgn val="ctr"/>
        <c:lblOffset val="100"/>
        <c:noMultiLvlLbl val="0"/>
      </c:catAx>
      <c:valAx>
        <c:axId val="1081829744"/>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439927952"/>
        <c:crosses val="autoZero"/>
        <c:crossBetween val="between"/>
      </c:valAx>
      <c:spPr>
        <a:noFill/>
        <a:ln>
          <a:noFill/>
        </a:ln>
        <a:effectLst/>
      </c:spPr>
    </c:plotArea>
    <c:plotVisOnly val="1"/>
    <c:dispBlanksAs val="zero"/>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B0E3EE9-2028-144D-B951-30C07D70A18F}" type="doc">
      <dgm:prSet loTypeId="urn:microsoft.com/office/officeart/2005/8/layout/orgChart1" loCatId="" qsTypeId="urn:microsoft.com/office/officeart/2005/8/quickstyle/simple1" qsCatId="simple" csTypeId="urn:microsoft.com/office/officeart/2005/8/colors/accent1_2" csCatId="accent1" phldr="1"/>
      <dgm:spPr/>
      <dgm:t>
        <a:bodyPr/>
        <a:lstStyle/>
        <a:p>
          <a:endParaRPr lang="en-US"/>
        </a:p>
      </dgm:t>
    </dgm:pt>
    <dgm:pt modelId="{21BFD234-67AB-C549-8107-299609FB23B4}">
      <dgm:prSet phldrT="[Text]" custT="1"/>
      <dgm:spPr>
        <a:solidFill>
          <a:schemeClr val="accent5">
            <a:lumMod val="75000"/>
          </a:schemeClr>
        </a:solidFill>
      </dgm:spPr>
      <dgm:t>
        <a:bodyPr/>
        <a:lstStyle/>
        <a:p>
          <a:r>
            <a:rPr lang="vi-VN" sz="1400" i="1">
              <a:latin typeface="Times New Roman" panose="02020603050405020304" pitchFamily="18" charset="0"/>
              <a:cs typeface="Times New Roman" panose="02020603050405020304" pitchFamily="18" charset="0"/>
            </a:rPr>
            <a:t>Giám đốc</a:t>
          </a:r>
          <a:endParaRPr lang="en-US" sz="1400">
            <a:latin typeface="Times New Roman" panose="02020603050405020304" pitchFamily="18" charset="0"/>
            <a:cs typeface="Times New Roman" panose="02020603050405020304" pitchFamily="18" charset="0"/>
          </a:endParaRPr>
        </a:p>
      </dgm:t>
    </dgm:pt>
    <dgm:pt modelId="{CBC89E7C-B673-1641-A2F5-9C713ABEB492}" type="parTrans" cxnId="{6EE278D0-F88A-A84C-8F8B-5C2D650B555E}">
      <dgm:prSet/>
      <dgm:spPr/>
      <dgm:t>
        <a:bodyPr/>
        <a:lstStyle/>
        <a:p>
          <a:endParaRPr lang="en-US"/>
        </a:p>
      </dgm:t>
    </dgm:pt>
    <dgm:pt modelId="{234D5F70-5FFC-F24D-8C05-7C180D7B07C4}" type="sibTrans" cxnId="{6EE278D0-F88A-A84C-8F8B-5C2D650B555E}">
      <dgm:prSet/>
      <dgm:spPr/>
      <dgm:t>
        <a:bodyPr/>
        <a:lstStyle/>
        <a:p>
          <a:endParaRPr lang="en-US"/>
        </a:p>
      </dgm:t>
    </dgm:pt>
    <dgm:pt modelId="{0FBC8B71-2FF1-C149-A87E-3F5A5F7AADCB}">
      <dgm:prSet custT="1"/>
      <dgm:spPr/>
      <dgm:t>
        <a:bodyPr/>
        <a:lstStyle/>
        <a:p>
          <a:r>
            <a:rPr lang="vi-VN" sz="1400" i="1">
              <a:latin typeface="Times New Roman" panose="02020603050405020304" pitchFamily="18" charset="0"/>
              <a:cs typeface="Times New Roman" panose="02020603050405020304" pitchFamily="18" charset="0"/>
            </a:rPr>
            <a:t>Trưởng bộ phận KHCN</a:t>
          </a:r>
          <a:endParaRPr lang="en-VN" sz="1400">
            <a:latin typeface="Times New Roman" panose="02020603050405020304" pitchFamily="18" charset="0"/>
            <a:cs typeface="Times New Roman" panose="02020603050405020304" pitchFamily="18" charset="0"/>
          </a:endParaRPr>
        </a:p>
      </dgm:t>
    </dgm:pt>
    <dgm:pt modelId="{4E88D2BB-24C1-3647-8F66-A9824A403D64}" type="parTrans" cxnId="{624875B2-0909-2C4D-876F-29A860A523B1}">
      <dgm:prSet/>
      <dgm:spPr/>
      <dgm:t>
        <a:bodyPr/>
        <a:lstStyle/>
        <a:p>
          <a:endParaRPr lang="en-US" sz="1400">
            <a:latin typeface="Times New Roman" panose="02020603050405020304" pitchFamily="18" charset="0"/>
            <a:cs typeface="Times New Roman" panose="02020603050405020304" pitchFamily="18" charset="0"/>
          </a:endParaRPr>
        </a:p>
      </dgm:t>
    </dgm:pt>
    <dgm:pt modelId="{AB5A175E-E7B5-2748-A118-4B3001937AE6}" type="sibTrans" cxnId="{624875B2-0909-2C4D-876F-29A860A523B1}">
      <dgm:prSet/>
      <dgm:spPr/>
      <dgm:t>
        <a:bodyPr/>
        <a:lstStyle/>
        <a:p>
          <a:endParaRPr lang="en-US"/>
        </a:p>
      </dgm:t>
    </dgm:pt>
    <dgm:pt modelId="{825D3B2D-B9C1-4341-BCE0-79F595009B94}">
      <dgm:prSet custT="1"/>
      <dgm:spPr/>
      <dgm:t>
        <a:bodyPr/>
        <a:lstStyle/>
        <a:p>
          <a:r>
            <a:rPr lang="vi-VN" sz="1400" i="1">
              <a:latin typeface="Times New Roman" panose="02020603050405020304" pitchFamily="18" charset="0"/>
              <a:cs typeface="Times New Roman" panose="02020603050405020304" pitchFamily="18" charset="0"/>
            </a:rPr>
            <a:t>Chuyên viên QHKH</a:t>
          </a:r>
          <a:r>
            <a:rPr lang="en-US" sz="1400" i="1">
              <a:latin typeface="Times New Roman" panose="02020603050405020304" pitchFamily="18" charset="0"/>
              <a:cs typeface="Times New Roman" panose="02020603050405020304" pitchFamily="18" charset="0"/>
            </a:rPr>
            <a:t>CN 1</a:t>
          </a:r>
          <a:endParaRPr lang="en-VN" sz="1400">
            <a:latin typeface="Times New Roman" panose="02020603050405020304" pitchFamily="18" charset="0"/>
            <a:cs typeface="Times New Roman" panose="02020603050405020304" pitchFamily="18" charset="0"/>
          </a:endParaRPr>
        </a:p>
      </dgm:t>
    </dgm:pt>
    <dgm:pt modelId="{007B3EB4-EE1E-0A48-8003-250E08384272}" type="parTrans" cxnId="{EDB373F7-BF1B-DA45-8D72-94421B1A4962}">
      <dgm:prSet/>
      <dgm:spPr/>
      <dgm:t>
        <a:bodyPr/>
        <a:lstStyle/>
        <a:p>
          <a:endParaRPr lang="en-US" sz="1400">
            <a:latin typeface="Times New Roman" panose="02020603050405020304" pitchFamily="18" charset="0"/>
            <a:cs typeface="Times New Roman" panose="02020603050405020304" pitchFamily="18" charset="0"/>
          </a:endParaRPr>
        </a:p>
      </dgm:t>
    </dgm:pt>
    <dgm:pt modelId="{EAD9C012-6887-8C43-BA5B-A6F3B27E7BF3}" type="sibTrans" cxnId="{EDB373F7-BF1B-DA45-8D72-94421B1A4962}">
      <dgm:prSet/>
      <dgm:spPr/>
      <dgm:t>
        <a:bodyPr/>
        <a:lstStyle/>
        <a:p>
          <a:endParaRPr lang="en-US"/>
        </a:p>
      </dgm:t>
    </dgm:pt>
    <dgm:pt modelId="{9A3CDAEF-BC70-6B42-91A2-463278476304}">
      <dgm:prSet custT="1"/>
      <dgm:spPr/>
      <dgm:t>
        <a:bodyPr/>
        <a:lstStyle/>
        <a:p>
          <a:r>
            <a:rPr lang="vi-VN" sz="1400" i="1">
              <a:latin typeface="Times New Roman" panose="02020603050405020304" pitchFamily="18" charset="0"/>
              <a:cs typeface="Times New Roman" panose="02020603050405020304" pitchFamily="18" charset="0"/>
            </a:rPr>
            <a:t>Chuyên viên QHKH</a:t>
          </a:r>
          <a:r>
            <a:rPr lang="en-US" sz="1400" i="1">
              <a:latin typeface="Times New Roman" panose="02020603050405020304" pitchFamily="18" charset="0"/>
              <a:cs typeface="Times New Roman" panose="02020603050405020304" pitchFamily="18" charset="0"/>
            </a:rPr>
            <a:t>CN 2</a:t>
          </a:r>
          <a:endParaRPr lang="en-VN" sz="1400">
            <a:latin typeface="Times New Roman" panose="02020603050405020304" pitchFamily="18" charset="0"/>
            <a:cs typeface="Times New Roman" panose="02020603050405020304" pitchFamily="18" charset="0"/>
          </a:endParaRPr>
        </a:p>
      </dgm:t>
    </dgm:pt>
    <dgm:pt modelId="{EED91401-A8B0-534E-878D-D76EDBE83667}" type="parTrans" cxnId="{3DA678AB-C0A7-A940-A78C-1A9721546782}">
      <dgm:prSet/>
      <dgm:spPr/>
      <dgm:t>
        <a:bodyPr/>
        <a:lstStyle/>
        <a:p>
          <a:endParaRPr lang="en-US" sz="1400">
            <a:latin typeface="Times New Roman" panose="02020603050405020304" pitchFamily="18" charset="0"/>
            <a:cs typeface="Times New Roman" panose="02020603050405020304" pitchFamily="18" charset="0"/>
          </a:endParaRPr>
        </a:p>
      </dgm:t>
    </dgm:pt>
    <dgm:pt modelId="{90F9832D-F1BF-F649-8FBC-8BA93D212999}" type="sibTrans" cxnId="{3DA678AB-C0A7-A940-A78C-1A9721546782}">
      <dgm:prSet/>
      <dgm:spPr/>
      <dgm:t>
        <a:bodyPr/>
        <a:lstStyle/>
        <a:p>
          <a:endParaRPr lang="en-US"/>
        </a:p>
      </dgm:t>
    </dgm:pt>
    <dgm:pt modelId="{950516C8-2E1E-4C4A-8ECF-852EAD116BBC}">
      <dgm:prSet custT="1"/>
      <dgm:spPr/>
      <dgm:t>
        <a:bodyPr/>
        <a:lstStyle/>
        <a:p>
          <a:r>
            <a:rPr lang="vi-VN" sz="1400" i="1">
              <a:latin typeface="Times New Roman" panose="02020603050405020304" pitchFamily="18" charset="0"/>
              <a:cs typeface="Times New Roman" panose="02020603050405020304" pitchFamily="18" charset="0"/>
            </a:rPr>
            <a:t>Trưởng bộ phận KH</a:t>
          </a:r>
          <a:r>
            <a:rPr lang="en-US" sz="1400" i="1">
              <a:latin typeface="Times New Roman" panose="02020603050405020304" pitchFamily="18" charset="0"/>
              <a:cs typeface="Times New Roman" panose="02020603050405020304" pitchFamily="18" charset="0"/>
            </a:rPr>
            <a:t>DN</a:t>
          </a:r>
          <a:endParaRPr lang="en-VN" sz="1400">
            <a:latin typeface="Times New Roman" panose="02020603050405020304" pitchFamily="18" charset="0"/>
            <a:cs typeface="Times New Roman" panose="02020603050405020304" pitchFamily="18" charset="0"/>
          </a:endParaRPr>
        </a:p>
      </dgm:t>
    </dgm:pt>
    <dgm:pt modelId="{336B3EA8-24B0-9540-9A14-B02A8F15C2D0}" type="parTrans" cxnId="{366F8FA9-6635-4B47-846C-7CA888E4E06B}">
      <dgm:prSet/>
      <dgm:spPr/>
      <dgm:t>
        <a:bodyPr/>
        <a:lstStyle/>
        <a:p>
          <a:endParaRPr lang="en-US" sz="1400">
            <a:latin typeface="Times New Roman" panose="02020603050405020304" pitchFamily="18" charset="0"/>
            <a:cs typeface="Times New Roman" panose="02020603050405020304" pitchFamily="18" charset="0"/>
          </a:endParaRPr>
        </a:p>
      </dgm:t>
    </dgm:pt>
    <dgm:pt modelId="{C7924D6D-9B07-9F4D-9333-B31DCED94E21}" type="sibTrans" cxnId="{366F8FA9-6635-4B47-846C-7CA888E4E06B}">
      <dgm:prSet/>
      <dgm:spPr/>
      <dgm:t>
        <a:bodyPr/>
        <a:lstStyle/>
        <a:p>
          <a:endParaRPr lang="en-US"/>
        </a:p>
      </dgm:t>
    </dgm:pt>
    <dgm:pt modelId="{E671EAAF-771F-9349-A74C-4461CD3D58C2}">
      <dgm:prSet custT="1"/>
      <dgm:spPr/>
      <dgm:t>
        <a:bodyPr/>
        <a:lstStyle/>
        <a:p>
          <a:r>
            <a:rPr lang="vi-VN" sz="1400" i="1">
              <a:latin typeface="Times New Roman" panose="02020603050405020304" pitchFamily="18" charset="0"/>
              <a:cs typeface="Times New Roman" panose="02020603050405020304" pitchFamily="18" charset="0"/>
            </a:rPr>
            <a:t>Chuyên viên QHKH</a:t>
          </a:r>
          <a:r>
            <a:rPr lang="en-US" sz="1400" i="1">
              <a:latin typeface="Times New Roman" panose="02020603050405020304" pitchFamily="18" charset="0"/>
              <a:cs typeface="Times New Roman" panose="02020603050405020304" pitchFamily="18" charset="0"/>
            </a:rPr>
            <a:t>DN 1</a:t>
          </a:r>
          <a:endParaRPr lang="en-VN" sz="1400">
            <a:latin typeface="Times New Roman" panose="02020603050405020304" pitchFamily="18" charset="0"/>
            <a:cs typeface="Times New Roman" panose="02020603050405020304" pitchFamily="18" charset="0"/>
          </a:endParaRPr>
        </a:p>
      </dgm:t>
    </dgm:pt>
    <dgm:pt modelId="{A1B00780-37F7-8E4B-A0D6-AC3BDAAF78FE}" type="parTrans" cxnId="{E5A00B7C-9114-4C46-8196-36C89CDE2A7D}">
      <dgm:prSet/>
      <dgm:spPr/>
      <dgm:t>
        <a:bodyPr/>
        <a:lstStyle/>
        <a:p>
          <a:endParaRPr lang="en-US" sz="1400">
            <a:latin typeface="Times New Roman" panose="02020603050405020304" pitchFamily="18" charset="0"/>
            <a:cs typeface="Times New Roman" panose="02020603050405020304" pitchFamily="18" charset="0"/>
          </a:endParaRPr>
        </a:p>
      </dgm:t>
    </dgm:pt>
    <dgm:pt modelId="{160C01AB-892E-D843-9508-5428309CB6C0}" type="sibTrans" cxnId="{E5A00B7C-9114-4C46-8196-36C89CDE2A7D}">
      <dgm:prSet/>
      <dgm:spPr/>
      <dgm:t>
        <a:bodyPr/>
        <a:lstStyle/>
        <a:p>
          <a:endParaRPr lang="en-US"/>
        </a:p>
      </dgm:t>
    </dgm:pt>
    <dgm:pt modelId="{53EB8C1C-CD3D-684B-A435-E78BAB7AC099}">
      <dgm:prSet custT="1"/>
      <dgm:spPr/>
      <dgm:t>
        <a:bodyPr/>
        <a:lstStyle/>
        <a:p>
          <a:r>
            <a:rPr lang="vi-VN" sz="1400" i="1">
              <a:latin typeface="Times New Roman" panose="02020603050405020304" pitchFamily="18" charset="0"/>
              <a:cs typeface="Times New Roman" panose="02020603050405020304" pitchFamily="18" charset="0"/>
            </a:rPr>
            <a:t>Chuyên viên QHKH</a:t>
          </a:r>
          <a:r>
            <a:rPr lang="en-US" sz="1400" i="1">
              <a:latin typeface="Times New Roman" panose="02020603050405020304" pitchFamily="18" charset="0"/>
              <a:cs typeface="Times New Roman" panose="02020603050405020304" pitchFamily="18" charset="0"/>
            </a:rPr>
            <a:t>DN 2</a:t>
          </a:r>
          <a:endParaRPr lang="en-VN" sz="1400">
            <a:latin typeface="Times New Roman" panose="02020603050405020304" pitchFamily="18" charset="0"/>
            <a:cs typeface="Times New Roman" panose="02020603050405020304" pitchFamily="18" charset="0"/>
          </a:endParaRPr>
        </a:p>
      </dgm:t>
    </dgm:pt>
    <dgm:pt modelId="{6D2D6C7A-22B5-0347-9677-83E06D0DF615}" type="parTrans" cxnId="{3618EE3F-D06B-7C41-9DBA-5F219851FC31}">
      <dgm:prSet/>
      <dgm:spPr/>
      <dgm:t>
        <a:bodyPr/>
        <a:lstStyle/>
        <a:p>
          <a:endParaRPr lang="en-US" sz="1400">
            <a:latin typeface="Times New Roman" panose="02020603050405020304" pitchFamily="18" charset="0"/>
            <a:cs typeface="Times New Roman" panose="02020603050405020304" pitchFamily="18" charset="0"/>
          </a:endParaRPr>
        </a:p>
      </dgm:t>
    </dgm:pt>
    <dgm:pt modelId="{9CBABD98-E0F3-774A-9131-1317F7BD15B9}" type="sibTrans" cxnId="{3618EE3F-D06B-7C41-9DBA-5F219851FC31}">
      <dgm:prSet/>
      <dgm:spPr/>
      <dgm:t>
        <a:bodyPr/>
        <a:lstStyle/>
        <a:p>
          <a:endParaRPr lang="en-US"/>
        </a:p>
      </dgm:t>
    </dgm:pt>
    <dgm:pt modelId="{72DBBD9C-7A12-C547-8182-FBF521E9453E}">
      <dgm:prSet custT="1"/>
      <dgm:spPr/>
      <dgm:t>
        <a:bodyPr/>
        <a:lstStyle/>
        <a:p>
          <a:r>
            <a:rPr lang="vi-VN" sz="1400" i="1">
              <a:latin typeface="Times New Roman" panose="02020603050405020304" pitchFamily="18" charset="0"/>
              <a:cs typeface="Times New Roman" panose="02020603050405020304" pitchFamily="18" charset="0"/>
            </a:rPr>
            <a:t>Kiểm soát viên</a:t>
          </a:r>
          <a:endParaRPr lang="en-VN" sz="1400">
            <a:latin typeface="Times New Roman" panose="02020603050405020304" pitchFamily="18" charset="0"/>
            <a:cs typeface="Times New Roman" panose="02020603050405020304" pitchFamily="18" charset="0"/>
          </a:endParaRPr>
        </a:p>
      </dgm:t>
    </dgm:pt>
    <dgm:pt modelId="{CF888900-AE39-7D44-AF11-70C41180C2E4}" type="parTrans" cxnId="{4FD76AE3-C89D-A643-B57B-F0F69A688DC2}">
      <dgm:prSet/>
      <dgm:spPr/>
      <dgm:t>
        <a:bodyPr/>
        <a:lstStyle/>
        <a:p>
          <a:endParaRPr lang="en-US" sz="1400">
            <a:latin typeface="Times New Roman" panose="02020603050405020304" pitchFamily="18" charset="0"/>
            <a:cs typeface="Times New Roman" panose="02020603050405020304" pitchFamily="18" charset="0"/>
          </a:endParaRPr>
        </a:p>
      </dgm:t>
    </dgm:pt>
    <dgm:pt modelId="{5F85C5CE-6776-C043-A52A-81E5D3A5B764}" type="sibTrans" cxnId="{4FD76AE3-C89D-A643-B57B-F0F69A688DC2}">
      <dgm:prSet/>
      <dgm:spPr/>
      <dgm:t>
        <a:bodyPr/>
        <a:lstStyle/>
        <a:p>
          <a:endParaRPr lang="en-US"/>
        </a:p>
      </dgm:t>
    </dgm:pt>
    <dgm:pt modelId="{3797E749-9216-F24A-96A3-BEE6FA2F182E}">
      <dgm:prSet custT="1"/>
      <dgm:spPr/>
      <dgm:t>
        <a:bodyPr/>
        <a:lstStyle/>
        <a:p>
          <a:r>
            <a:rPr lang="vi-VN" sz="1400" i="1">
              <a:latin typeface="Times New Roman" panose="02020603050405020304" pitchFamily="18" charset="0"/>
              <a:cs typeface="Times New Roman" panose="02020603050405020304" pitchFamily="18" charset="0"/>
            </a:rPr>
            <a:t>Giao dịch viên</a:t>
          </a:r>
          <a:r>
            <a:rPr lang="en-US" sz="1400" i="1">
              <a:latin typeface="Times New Roman" panose="02020603050405020304" pitchFamily="18" charset="0"/>
              <a:cs typeface="Times New Roman" panose="02020603050405020304" pitchFamily="18" charset="0"/>
            </a:rPr>
            <a:t> 1</a:t>
          </a:r>
          <a:endParaRPr lang="en-VN" sz="1400">
            <a:latin typeface="Times New Roman" panose="02020603050405020304" pitchFamily="18" charset="0"/>
            <a:cs typeface="Times New Roman" panose="02020603050405020304" pitchFamily="18" charset="0"/>
          </a:endParaRPr>
        </a:p>
      </dgm:t>
    </dgm:pt>
    <dgm:pt modelId="{9800E844-61C7-DA4E-80C5-B292B96218BB}" type="parTrans" cxnId="{CC5E1C52-3226-6F4B-B078-CF428891D603}">
      <dgm:prSet/>
      <dgm:spPr/>
      <dgm:t>
        <a:bodyPr/>
        <a:lstStyle/>
        <a:p>
          <a:endParaRPr lang="en-US" sz="1400">
            <a:latin typeface="Times New Roman" panose="02020603050405020304" pitchFamily="18" charset="0"/>
            <a:cs typeface="Times New Roman" panose="02020603050405020304" pitchFamily="18" charset="0"/>
          </a:endParaRPr>
        </a:p>
      </dgm:t>
    </dgm:pt>
    <dgm:pt modelId="{7515B55F-994E-EA43-9B75-08FED1FD4C14}" type="sibTrans" cxnId="{CC5E1C52-3226-6F4B-B078-CF428891D603}">
      <dgm:prSet/>
      <dgm:spPr/>
      <dgm:t>
        <a:bodyPr/>
        <a:lstStyle/>
        <a:p>
          <a:endParaRPr lang="en-US"/>
        </a:p>
      </dgm:t>
    </dgm:pt>
    <dgm:pt modelId="{F173BD44-E597-314D-8154-24C5A4DA8277}">
      <dgm:prSet custT="1"/>
      <dgm:spPr/>
      <dgm:t>
        <a:bodyPr/>
        <a:lstStyle/>
        <a:p>
          <a:r>
            <a:rPr lang="vi-VN" sz="1400" i="1">
              <a:latin typeface="Times New Roman" panose="02020603050405020304" pitchFamily="18" charset="0"/>
              <a:cs typeface="Times New Roman" panose="02020603050405020304" pitchFamily="18" charset="0"/>
            </a:rPr>
            <a:t>Giao dịch viên</a:t>
          </a:r>
          <a:r>
            <a:rPr lang="en-US" sz="1400" i="1">
              <a:latin typeface="Times New Roman" panose="02020603050405020304" pitchFamily="18" charset="0"/>
              <a:cs typeface="Times New Roman" panose="02020603050405020304" pitchFamily="18" charset="0"/>
            </a:rPr>
            <a:t> 2</a:t>
          </a:r>
          <a:endParaRPr lang="en-VN" sz="1400">
            <a:latin typeface="Times New Roman" panose="02020603050405020304" pitchFamily="18" charset="0"/>
            <a:cs typeface="Times New Roman" panose="02020603050405020304" pitchFamily="18" charset="0"/>
          </a:endParaRPr>
        </a:p>
      </dgm:t>
    </dgm:pt>
    <dgm:pt modelId="{11C28A24-7DEC-9746-BB5C-4929806F947A}" type="parTrans" cxnId="{A9552C36-1B19-3B45-933F-D4CDD70DC535}">
      <dgm:prSet/>
      <dgm:spPr/>
      <dgm:t>
        <a:bodyPr/>
        <a:lstStyle/>
        <a:p>
          <a:endParaRPr lang="en-US" sz="1400">
            <a:latin typeface="Times New Roman" panose="02020603050405020304" pitchFamily="18" charset="0"/>
            <a:cs typeface="Times New Roman" panose="02020603050405020304" pitchFamily="18" charset="0"/>
          </a:endParaRPr>
        </a:p>
      </dgm:t>
    </dgm:pt>
    <dgm:pt modelId="{4BA8E805-8CAF-BC4F-BA84-2971C8E7A7E3}" type="sibTrans" cxnId="{A9552C36-1B19-3B45-933F-D4CDD70DC535}">
      <dgm:prSet/>
      <dgm:spPr/>
      <dgm:t>
        <a:bodyPr/>
        <a:lstStyle/>
        <a:p>
          <a:endParaRPr lang="en-US"/>
        </a:p>
      </dgm:t>
    </dgm:pt>
    <dgm:pt modelId="{2F9B3BC3-05EB-7A4D-8EB7-6D1B29310826}">
      <dgm:prSet custT="1"/>
      <dgm:spPr/>
      <dgm:t>
        <a:bodyPr/>
        <a:lstStyle/>
        <a:p>
          <a:r>
            <a:rPr lang="vi-VN" sz="1400" i="1">
              <a:latin typeface="Times New Roman" panose="02020603050405020304" pitchFamily="18" charset="0"/>
              <a:cs typeface="Times New Roman" panose="02020603050405020304" pitchFamily="18" charset="0"/>
            </a:rPr>
            <a:t>Thủ Quỹ</a:t>
          </a:r>
          <a:endParaRPr lang="en-VN" sz="1400">
            <a:latin typeface="Times New Roman" panose="02020603050405020304" pitchFamily="18" charset="0"/>
            <a:cs typeface="Times New Roman" panose="02020603050405020304" pitchFamily="18" charset="0"/>
          </a:endParaRPr>
        </a:p>
      </dgm:t>
    </dgm:pt>
    <dgm:pt modelId="{4A09FE22-A180-AC4E-8B3B-F5169FC32854}" type="parTrans" cxnId="{8CD77AA9-EBCB-9545-9206-D7299B9743AE}">
      <dgm:prSet/>
      <dgm:spPr/>
      <dgm:t>
        <a:bodyPr/>
        <a:lstStyle/>
        <a:p>
          <a:endParaRPr lang="en-US" sz="1400">
            <a:latin typeface="Times New Roman" panose="02020603050405020304" pitchFamily="18" charset="0"/>
            <a:cs typeface="Times New Roman" panose="02020603050405020304" pitchFamily="18" charset="0"/>
          </a:endParaRPr>
        </a:p>
      </dgm:t>
    </dgm:pt>
    <dgm:pt modelId="{A962E8D6-6589-5E40-B567-B7A6975EA9E9}" type="sibTrans" cxnId="{8CD77AA9-EBCB-9545-9206-D7299B9743AE}">
      <dgm:prSet/>
      <dgm:spPr/>
      <dgm:t>
        <a:bodyPr/>
        <a:lstStyle/>
        <a:p>
          <a:endParaRPr lang="en-US"/>
        </a:p>
      </dgm:t>
    </dgm:pt>
    <dgm:pt modelId="{DDDFB7F5-3B95-1541-964F-57E8F60773CD}">
      <dgm:prSet custT="1"/>
      <dgm:spPr/>
      <dgm:t>
        <a:bodyPr/>
        <a:lstStyle/>
        <a:p>
          <a:r>
            <a:rPr lang="vi-VN" sz="1400" i="1">
              <a:latin typeface="Times New Roman" panose="02020603050405020304" pitchFamily="18" charset="0"/>
              <a:cs typeface="Times New Roman" panose="02020603050405020304" pitchFamily="18" charset="0"/>
            </a:rPr>
            <a:t>Trưởng đại diện One bank</a:t>
          </a:r>
          <a:endParaRPr lang="en-VN" sz="1400">
            <a:latin typeface="Times New Roman" panose="02020603050405020304" pitchFamily="18" charset="0"/>
            <a:cs typeface="Times New Roman" panose="02020603050405020304" pitchFamily="18" charset="0"/>
          </a:endParaRPr>
        </a:p>
      </dgm:t>
    </dgm:pt>
    <dgm:pt modelId="{705B1D32-86C2-994D-BB6A-969804E4B26D}" type="parTrans" cxnId="{93EC4E80-4DB3-4644-81F6-79DEAEE152D3}">
      <dgm:prSet/>
      <dgm:spPr/>
      <dgm:t>
        <a:bodyPr/>
        <a:lstStyle/>
        <a:p>
          <a:endParaRPr lang="en-US" sz="1400">
            <a:latin typeface="Times New Roman" panose="02020603050405020304" pitchFamily="18" charset="0"/>
            <a:cs typeface="Times New Roman" panose="02020603050405020304" pitchFamily="18" charset="0"/>
          </a:endParaRPr>
        </a:p>
      </dgm:t>
    </dgm:pt>
    <dgm:pt modelId="{3841E8FA-804C-1746-A0CC-CDA8E977C2D7}" type="sibTrans" cxnId="{93EC4E80-4DB3-4644-81F6-79DEAEE152D3}">
      <dgm:prSet/>
      <dgm:spPr/>
      <dgm:t>
        <a:bodyPr/>
        <a:lstStyle/>
        <a:p>
          <a:endParaRPr lang="en-US"/>
        </a:p>
      </dgm:t>
    </dgm:pt>
    <dgm:pt modelId="{68B1DF88-CD63-E24B-BA80-303ACD80CD61}">
      <dgm:prSet custT="1"/>
      <dgm:spPr/>
      <dgm:t>
        <a:bodyPr/>
        <a:lstStyle/>
        <a:p>
          <a:r>
            <a:rPr lang="vi-VN" sz="1400" i="1">
              <a:latin typeface="Times New Roman" panose="02020603050405020304" pitchFamily="18" charset="0"/>
              <a:cs typeface="Times New Roman" panose="02020603050405020304" pitchFamily="18" charset="0"/>
            </a:rPr>
            <a:t>Chuyên viên QHKH One Bank</a:t>
          </a:r>
          <a:r>
            <a:rPr lang="en-US" sz="1400" i="1">
              <a:latin typeface="Times New Roman" panose="02020603050405020304" pitchFamily="18" charset="0"/>
              <a:cs typeface="Times New Roman" panose="02020603050405020304" pitchFamily="18" charset="0"/>
            </a:rPr>
            <a:t> 1</a:t>
          </a:r>
          <a:endParaRPr lang="en-VN" sz="1400">
            <a:latin typeface="Times New Roman" panose="02020603050405020304" pitchFamily="18" charset="0"/>
            <a:cs typeface="Times New Roman" panose="02020603050405020304" pitchFamily="18" charset="0"/>
          </a:endParaRPr>
        </a:p>
      </dgm:t>
    </dgm:pt>
    <dgm:pt modelId="{E8447F94-66DB-3340-929A-EA0627C5ECD8}" type="parTrans" cxnId="{B92CFB70-3407-8C4E-9A7D-EEC0B8484A38}">
      <dgm:prSet/>
      <dgm:spPr/>
      <dgm:t>
        <a:bodyPr/>
        <a:lstStyle/>
        <a:p>
          <a:endParaRPr lang="en-US" sz="1400">
            <a:latin typeface="Times New Roman" panose="02020603050405020304" pitchFamily="18" charset="0"/>
            <a:cs typeface="Times New Roman" panose="02020603050405020304" pitchFamily="18" charset="0"/>
          </a:endParaRPr>
        </a:p>
      </dgm:t>
    </dgm:pt>
    <dgm:pt modelId="{E5C6F289-4753-A94F-92D9-4ACA67FA5824}" type="sibTrans" cxnId="{B92CFB70-3407-8C4E-9A7D-EEC0B8484A38}">
      <dgm:prSet/>
      <dgm:spPr/>
      <dgm:t>
        <a:bodyPr/>
        <a:lstStyle/>
        <a:p>
          <a:endParaRPr lang="en-US"/>
        </a:p>
      </dgm:t>
    </dgm:pt>
    <dgm:pt modelId="{EBEA52A4-B222-DE41-AAE0-C269F38A91E5}">
      <dgm:prSet custT="1"/>
      <dgm:spPr/>
      <dgm:t>
        <a:bodyPr/>
        <a:lstStyle/>
        <a:p>
          <a:r>
            <a:rPr lang="vi-VN" sz="1400" i="1">
              <a:latin typeface="Times New Roman" panose="02020603050405020304" pitchFamily="18" charset="0"/>
              <a:cs typeface="Times New Roman" panose="02020603050405020304" pitchFamily="18" charset="0"/>
            </a:rPr>
            <a:t>Chuyên viên QHKH One Bank</a:t>
          </a:r>
          <a:r>
            <a:rPr lang="en-US" sz="1400" i="1">
              <a:latin typeface="Times New Roman" panose="02020603050405020304" pitchFamily="18" charset="0"/>
              <a:cs typeface="Times New Roman" panose="02020603050405020304" pitchFamily="18" charset="0"/>
            </a:rPr>
            <a:t> 2</a:t>
          </a:r>
          <a:endParaRPr lang="en-VN" sz="1400">
            <a:latin typeface="Times New Roman" panose="02020603050405020304" pitchFamily="18" charset="0"/>
            <a:cs typeface="Times New Roman" panose="02020603050405020304" pitchFamily="18" charset="0"/>
          </a:endParaRPr>
        </a:p>
      </dgm:t>
    </dgm:pt>
    <dgm:pt modelId="{813C6543-D9E1-EE4C-8932-3617BD877C98}" type="parTrans" cxnId="{25327BCB-C031-3044-9F90-344ABA16267E}">
      <dgm:prSet/>
      <dgm:spPr/>
      <dgm:t>
        <a:bodyPr/>
        <a:lstStyle/>
        <a:p>
          <a:endParaRPr lang="en-US" sz="1400">
            <a:latin typeface="Times New Roman" panose="02020603050405020304" pitchFamily="18" charset="0"/>
            <a:cs typeface="Times New Roman" panose="02020603050405020304" pitchFamily="18" charset="0"/>
          </a:endParaRPr>
        </a:p>
      </dgm:t>
    </dgm:pt>
    <dgm:pt modelId="{77D39CE7-81B0-F94C-9FB7-B778072A5667}" type="sibTrans" cxnId="{25327BCB-C031-3044-9F90-344ABA16267E}">
      <dgm:prSet/>
      <dgm:spPr/>
      <dgm:t>
        <a:bodyPr/>
        <a:lstStyle/>
        <a:p>
          <a:endParaRPr lang="en-US"/>
        </a:p>
      </dgm:t>
    </dgm:pt>
    <dgm:pt modelId="{F57DC40E-5DE2-B249-8FBA-321A37A63F89}" type="pres">
      <dgm:prSet presAssocID="{FB0E3EE9-2028-144D-B951-30C07D70A18F}" presName="hierChild1" presStyleCnt="0">
        <dgm:presLayoutVars>
          <dgm:orgChart val="1"/>
          <dgm:chPref val="1"/>
          <dgm:dir/>
          <dgm:animOne val="branch"/>
          <dgm:animLvl val="lvl"/>
          <dgm:resizeHandles/>
        </dgm:presLayoutVars>
      </dgm:prSet>
      <dgm:spPr/>
    </dgm:pt>
    <dgm:pt modelId="{7151C45C-2685-A444-8284-12B024C8418D}" type="pres">
      <dgm:prSet presAssocID="{21BFD234-67AB-C549-8107-299609FB23B4}" presName="hierRoot1" presStyleCnt="0">
        <dgm:presLayoutVars>
          <dgm:hierBranch val="init"/>
        </dgm:presLayoutVars>
      </dgm:prSet>
      <dgm:spPr/>
    </dgm:pt>
    <dgm:pt modelId="{88E06DB5-5631-1248-8449-F3D69402AEC6}" type="pres">
      <dgm:prSet presAssocID="{21BFD234-67AB-C549-8107-299609FB23B4}" presName="rootComposite1" presStyleCnt="0"/>
      <dgm:spPr/>
    </dgm:pt>
    <dgm:pt modelId="{2C70D8C7-BB40-AF41-AF4E-4F46327B7BA5}" type="pres">
      <dgm:prSet presAssocID="{21BFD234-67AB-C549-8107-299609FB23B4}" presName="rootText1" presStyleLbl="node0" presStyleIdx="0" presStyleCnt="1" custScaleX="198784" custScaleY="109575" custLinFactNeighborX="1289" custLinFactNeighborY="-284">
        <dgm:presLayoutVars>
          <dgm:chPref val="3"/>
        </dgm:presLayoutVars>
      </dgm:prSet>
      <dgm:spPr/>
    </dgm:pt>
    <dgm:pt modelId="{AEAE9285-E718-0D4F-9ED6-4D6BBDAB213A}" type="pres">
      <dgm:prSet presAssocID="{21BFD234-67AB-C549-8107-299609FB23B4}" presName="rootConnector1" presStyleLbl="node1" presStyleIdx="0" presStyleCnt="0"/>
      <dgm:spPr/>
    </dgm:pt>
    <dgm:pt modelId="{040D3988-2E03-FF49-BF77-5D256ACAE909}" type="pres">
      <dgm:prSet presAssocID="{21BFD234-67AB-C549-8107-299609FB23B4}" presName="hierChild2" presStyleCnt="0"/>
      <dgm:spPr/>
    </dgm:pt>
    <dgm:pt modelId="{4DD0592C-EDEF-914F-988A-48459D59952D}" type="pres">
      <dgm:prSet presAssocID="{4E88D2BB-24C1-3647-8F66-A9824A403D64}" presName="Name37" presStyleLbl="parChTrans1D2" presStyleIdx="0" presStyleCnt="4"/>
      <dgm:spPr/>
    </dgm:pt>
    <dgm:pt modelId="{6CB8E51C-7027-944D-852C-2B17EA70190E}" type="pres">
      <dgm:prSet presAssocID="{0FBC8B71-2FF1-C149-A87E-3F5A5F7AADCB}" presName="hierRoot2" presStyleCnt="0">
        <dgm:presLayoutVars>
          <dgm:hierBranch val="init"/>
        </dgm:presLayoutVars>
      </dgm:prSet>
      <dgm:spPr/>
    </dgm:pt>
    <dgm:pt modelId="{13D7F678-54A3-1240-AB11-A204CCD84A1E}" type="pres">
      <dgm:prSet presAssocID="{0FBC8B71-2FF1-C149-A87E-3F5A5F7AADCB}" presName="rootComposite" presStyleCnt="0"/>
      <dgm:spPr/>
    </dgm:pt>
    <dgm:pt modelId="{37032329-FAA5-0A4D-8C3B-60AEAD87C962}" type="pres">
      <dgm:prSet presAssocID="{0FBC8B71-2FF1-C149-A87E-3F5A5F7AADCB}" presName="rootText" presStyleLbl="node2" presStyleIdx="0" presStyleCnt="4" custScaleX="132216" custScaleY="147852" custLinFactNeighborX="5636" custLinFactNeighborY="-5636">
        <dgm:presLayoutVars>
          <dgm:chPref val="3"/>
        </dgm:presLayoutVars>
      </dgm:prSet>
      <dgm:spPr/>
    </dgm:pt>
    <dgm:pt modelId="{1F419004-5924-7E48-8770-D3778C72AF20}" type="pres">
      <dgm:prSet presAssocID="{0FBC8B71-2FF1-C149-A87E-3F5A5F7AADCB}" presName="rootConnector" presStyleLbl="node2" presStyleIdx="0" presStyleCnt="4"/>
      <dgm:spPr/>
    </dgm:pt>
    <dgm:pt modelId="{98E2C00D-0AA2-594D-B8E2-01EF962EEFA5}" type="pres">
      <dgm:prSet presAssocID="{0FBC8B71-2FF1-C149-A87E-3F5A5F7AADCB}" presName="hierChild4" presStyleCnt="0"/>
      <dgm:spPr/>
    </dgm:pt>
    <dgm:pt modelId="{E9F616D0-1C9F-FE41-9865-38AD43D523CF}" type="pres">
      <dgm:prSet presAssocID="{007B3EB4-EE1E-0A48-8003-250E08384272}" presName="Name37" presStyleLbl="parChTrans1D3" presStyleIdx="0" presStyleCnt="9"/>
      <dgm:spPr/>
    </dgm:pt>
    <dgm:pt modelId="{9A57C91F-B74B-AC4B-B3B3-32DB0993A3C9}" type="pres">
      <dgm:prSet presAssocID="{825D3B2D-B9C1-4341-BCE0-79F595009B94}" presName="hierRoot2" presStyleCnt="0">
        <dgm:presLayoutVars>
          <dgm:hierBranch val="init"/>
        </dgm:presLayoutVars>
      </dgm:prSet>
      <dgm:spPr/>
    </dgm:pt>
    <dgm:pt modelId="{A41643AB-5880-B345-B3CD-CF7759873734}" type="pres">
      <dgm:prSet presAssocID="{825D3B2D-B9C1-4341-BCE0-79F595009B94}" presName="rootComposite" presStyleCnt="0"/>
      <dgm:spPr/>
    </dgm:pt>
    <dgm:pt modelId="{9341E5F0-7F06-B442-8C33-AAD2010073F9}" type="pres">
      <dgm:prSet presAssocID="{825D3B2D-B9C1-4341-BCE0-79F595009B94}" presName="rootText" presStyleLbl="node3" presStyleIdx="0" presStyleCnt="9" custScaleX="138214" custScaleY="194611">
        <dgm:presLayoutVars>
          <dgm:chPref val="3"/>
        </dgm:presLayoutVars>
      </dgm:prSet>
      <dgm:spPr/>
    </dgm:pt>
    <dgm:pt modelId="{CB76B45A-E907-2C40-AE3B-96DF06E18B31}" type="pres">
      <dgm:prSet presAssocID="{825D3B2D-B9C1-4341-BCE0-79F595009B94}" presName="rootConnector" presStyleLbl="node3" presStyleIdx="0" presStyleCnt="9"/>
      <dgm:spPr/>
    </dgm:pt>
    <dgm:pt modelId="{169E766D-AC99-664B-811B-C91DBE8AD59A}" type="pres">
      <dgm:prSet presAssocID="{825D3B2D-B9C1-4341-BCE0-79F595009B94}" presName="hierChild4" presStyleCnt="0"/>
      <dgm:spPr/>
    </dgm:pt>
    <dgm:pt modelId="{7A28BEF2-B391-F049-914D-9D928BC1BD8D}" type="pres">
      <dgm:prSet presAssocID="{825D3B2D-B9C1-4341-BCE0-79F595009B94}" presName="hierChild5" presStyleCnt="0"/>
      <dgm:spPr/>
    </dgm:pt>
    <dgm:pt modelId="{5A60EE96-96E0-2044-A484-8FC2BA0E1E57}" type="pres">
      <dgm:prSet presAssocID="{EED91401-A8B0-534E-878D-D76EDBE83667}" presName="Name37" presStyleLbl="parChTrans1D3" presStyleIdx="1" presStyleCnt="9"/>
      <dgm:spPr/>
    </dgm:pt>
    <dgm:pt modelId="{85FD7664-7204-AF40-A51E-864C29D4A468}" type="pres">
      <dgm:prSet presAssocID="{9A3CDAEF-BC70-6B42-91A2-463278476304}" presName="hierRoot2" presStyleCnt="0">
        <dgm:presLayoutVars>
          <dgm:hierBranch val="init"/>
        </dgm:presLayoutVars>
      </dgm:prSet>
      <dgm:spPr/>
    </dgm:pt>
    <dgm:pt modelId="{6A6AC43D-35C4-8041-A57B-D42090440C50}" type="pres">
      <dgm:prSet presAssocID="{9A3CDAEF-BC70-6B42-91A2-463278476304}" presName="rootComposite" presStyleCnt="0"/>
      <dgm:spPr/>
    </dgm:pt>
    <dgm:pt modelId="{30D70AB0-6BA7-214F-87AE-7069D484B93F}" type="pres">
      <dgm:prSet presAssocID="{9A3CDAEF-BC70-6B42-91A2-463278476304}" presName="rootText" presStyleLbl="node3" presStyleIdx="1" presStyleCnt="9" custScaleX="130416" custScaleY="138084">
        <dgm:presLayoutVars>
          <dgm:chPref val="3"/>
        </dgm:presLayoutVars>
      </dgm:prSet>
      <dgm:spPr/>
    </dgm:pt>
    <dgm:pt modelId="{BBCF19FF-AB65-C147-9426-B85BA88E56D1}" type="pres">
      <dgm:prSet presAssocID="{9A3CDAEF-BC70-6B42-91A2-463278476304}" presName="rootConnector" presStyleLbl="node3" presStyleIdx="1" presStyleCnt="9"/>
      <dgm:spPr/>
    </dgm:pt>
    <dgm:pt modelId="{9F468E24-AEF6-C94B-B1D8-6D873ED2088B}" type="pres">
      <dgm:prSet presAssocID="{9A3CDAEF-BC70-6B42-91A2-463278476304}" presName="hierChild4" presStyleCnt="0"/>
      <dgm:spPr/>
    </dgm:pt>
    <dgm:pt modelId="{80B3EA73-E948-8F45-BCD8-D11B18C52E9A}" type="pres">
      <dgm:prSet presAssocID="{9A3CDAEF-BC70-6B42-91A2-463278476304}" presName="hierChild5" presStyleCnt="0"/>
      <dgm:spPr/>
    </dgm:pt>
    <dgm:pt modelId="{4B40BFB7-2687-0845-BD25-0A25D939A87B}" type="pres">
      <dgm:prSet presAssocID="{0FBC8B71-2FF1-C149-A87E-3F5A5F7AADCB}" presName="hierChild5" presStyleCnt="0"/>
      <dgm:spPr/>
    </dgm:pt>
    <dgm:pt modelId="{EAB5B2F7-F8E6-7249-91C9-32A992429C95}" type="pres">
      <dgm:prSet presAssocID="{336B3EA8-24B0-9540-9A14-B02A8F15C2D0}" presName="Name37" presStyleLbl="parChTrans1D2" presStyleIdx="1" presStyleCnt="4"/>
      <dgm:spPr/>
    </dgm:pt>
    <dgm:pt modelId="{D181E97A-4584-8447-8C42-6CD29F2C9ADD}" type="pres">
      <dgm:prSet presAssocID="{950516C8-2E1E-4C4A-8ECF-852EAD116BBC}" presName="hierRoot2" presStyleCnt="0">
        <dgm:presLayoutVars>
          <dgm:hierBranch val="init"/>
        </dgm:presLayoutVars>
      </dgm:prSet>
      <dgm:spPr/>
    </dgm:pt>
    <dgm:pt modelId="{0205E38A-4EB9-534D-9DEA-7C00F5243CA6}" type="pres">
      <dgm:prSet presAssocID="{950516C8-2E1E-4C4A-8ECF-852EAD116BBC}" presName="rootComposite" presStyleCnt="0"/>
      <dgm:spPr/>
    </dgm:pt>
    <dgm:pt modelId="{0DF2E39F-FA74-824F-9FC6-328061C95ED6}" type="pres">
      <dgm:prSet presAssocID="{950516C8-2E1E-4C4A-8ECF-852EAD116BBC}" presName="rootText" presStyleLbl="node2" presStyleIdx="1" presStyleCnt="4" custScaleX="147396" custScaleY="179791" custLinFactNeighborX="4227" custLinFactNeighborY="-11273">
        <dgm:presLayoutVars>
          <dgm:chPref val="3"/>
        </dgm:presLayoutVars>
      </dgm:prSet>
      <dgm:spPr/>
    </dgm:pt>
    <dgm:pt modelId="{05955587-F835-2441-866A-C8FB8BAEF16F}" type="pres">
      <dgm:prSet presAssocID="{950516C8-2E1E-4C4A-8ECF-852EAD116BBC}" presName="rootConnector" presStyleLbl="node2" presStyleIdx="1" presStyleCnt="4"/>
      <dgm:spPr/>
    </dgm:pt>
    <dgm:pt modelId="{B7DC5ADA-C54F-574C-8191-AC6A0447377A}" type="pres">
      <dgm:prSet presAssocID="{950516C8-2E1E-4C4A-8ECF-852EAD116BBC}" presName="hierChild4" presStyleCnt="0"/>
      <dgm:spPr/>
    </dgm:pt>
    <dgm:pt modelId="{AC36BF05-40B9-2849-AC4C-B1ED2B171AEF}" type="pres">
      <dgm:prSet presAssocID="{A1B00780-37F7-8E4B-A0D6-AC3BDAAF78FE}" presName="Name37" presStyleLbl="parChTrans1D3" presStyleIdx="2" presStyleCnt="9"/>
      <dgm:spPr/>
    </dgm:pt>
    <dgm:pt modelId="{8F0A1537-B753-1348-8B8E-287949E153AB}" type="pres">
      <dgm:prSet presAssocID="{E671EAAF-771F-9349-A74C-4461CD3D58C2}" presName="hierRoot2" presStyleCnt="0">
        <dgm:presLayoutVars>
          <dgm:hierBranch val="init"/>
        </dgm:presLayoutVars>
      </dgm:prSet>
      <dgm:spPr/>
    </dgm:pt>
    <dgm:pt modelId="{A8F017ED-BB6F-DD43-80F7-2E1FEA49D9F2}" type="pres">
      <dgm:prSet presAssocID="{E671EAAF-771F-9349-A74C-4461CD3D58C2}" presName="rootComposite" presStyleCnt="0"/>
      <dgm:spPr/>
    </dgm:pt>
    <dgm:pt modelId="{5DC95B7A-DB44-D343-8421-BB0748754277}" type="pres">
      <dgm:prSet presAssocID="{E671EAAF-771F-9349-A74C-4461CD3D58C2}" presName="rootText" presStyleLbl="node3" presStyleIdx="2" presStyleCnt="9" custScaleX="137059" custScaleY="170816">
        <dgm:presLayoutVars>
          <dgm:chPref val="3"/>
        </dgm:presLayoutVars>
      </dgm:prSet>
      <dgm:spPr/>
    </dgm:pt>
    <dgm:pt modelId="{79CE1D33-596C-F048-A4CF-F6995D8FA8B1}" type="pres">
      <dgm:prSet presAssocID="{E671EAAF-771F-9349-A74C-4461CD3D58C2}" presName="rootConnector" presStyleLbl="node3" presStyleIdx="2" presStyleCnt="9"/>
      <dgm:spPr/>
    </dgm:pt>
    <dgm:pt modelId="{A367C35B-DA0C-B54C-AA1B-A44B9E8F80AB}" type="pres">
      <dgm:prSet presAssocID="{E671EAAF-771F-9349-A74C-4461CD3D58C2}" presName="hierChild4" presStyleCnt="0"/>
      <dgm:spPr/>
    </dgm:pt>
    <dgm:pt modelId="{62E859E5-7288-E748-A868-428D9A51FC9E}" type="pres">
      <dgm:prSet presAssocID="{E671EAAF-771F-9349-A74C-4461CD3D58C2}" presName="hierChild5" presStyleCnt="0"/>
      <dgm:spPr/>
    </dgm:pt>
    <dgm:pt modelId="{CD336976-1DFB-684E-AF65-7A609EBFD679}" type="pres">
      <dgm:prSet presAssocID="{6D2D6C7A-22B5-0347-9677-83E06D0DF615}" presName="Name37" presStyleLbl="parChTrans1D3" presStyleIdx="3" presStyleCnt="9"/>
      <dgm:spPr/>
    </dgm:pt>
    <dgm:pt modelId="{4A6712B4-7D9D-C040-9F2E-E481C66A102B}" type="pres">
      <dgm:prSet presAssocID="{53EB8C1C-CD3D-684B-A435-E78BAB7AC099}" presName="hierRoot2" presStyleCnt="0">
        <dgm:presLayoutVars>
          <dgm:hierBranch val="init"/>
        </dgm:presLayoutVars>
      </dgm:prSet>
      <dgm:spPr/>
    </dgm:pt>
    <dgm:pt modelId="{2508AFA8-09C3-E14C-90DB-172CBF1849E5}" type="pres">
      <dgm:prSet presAssocID="{53EB8C1C-CD3D-684B-A435-E78BAB7AC099}" presName="rootComposite" presStyleCnt="0"/>
      <dgm:spPr/>
    </dgm:pt>
    <dgm:pt modelId="{823A8912-31B6-C442-AC7E-22939F0D72B8}" type="pres">
      <dgm:prSet presAssocID="{53EB8C1C-CD3D-684B-A435-E78BAB7AC099}" presName="rootText" presStyleLbl="node3" presStyleIdx="3" presStyleCnt="9" custScaleX="138570" custScaleY="176367">
        <dgm:presLayoutVars>
          <dgm:chPref val="3"/>
        </dgm:presLayoutVars>
      </dgm:prSet>
      <dgm:spPr/>
    </dgm:pt>
    <dgm:pt modelId="{A2066269-BE41-144F-A269-B3BD2D32AD51}" type="pres">
      <dgm:prSet presAssocID="{53EB8C1C-CD3D-684B-A435-E78BAB7AC099}" presName="rootConnector" presStyleLbl="node3" presStyleIdx="3" presStyleCnt="9"/>
      <dgm:spPr/>
    </dgm:pt>
    <dgm:pt modelId="{22089567-B5A5-6642-876F-73FE54673541}" type="pres">
      <dgm:prSet presAssocID="{53EB8C1C-CD3D-684B-A435-E78BAB7AC099}" presName="hierChild4" presStyleCnt="0"/>
      <dgm:spPr/>
    </dgm:pt>
    <dgm:pt modelId="{14CA212F-C0EC-AC48-A8D9-04E304E76968}" type="pres">
      <dgm:prSet presAssocID="{53EB8C1C-CD3D-684B-A435-E78BAB7AC099}" presName="hierChild5" presStyleCnt="0"/>
      <dgm:spPr/>
    </dgm:pt>
    <dgm:pt modelId="{82DDF645-7172-A14F-AD8E-89A5D9B80D03}" type="pres">
      <dgm:prSet presAssocID="{950516C8-2E1E-4C4A-8ECF-852EAD116BBC}" presName="hierChild5" presStyleCnt="0"/>
      <dgm:spPr/>
    </dgm:pt>
    <dgm:pt modelId="{619B1921-4DD8-DC4A-A8A7-406742E951EE}" type="pres">
      <dgm:prSet presAssocID="{CF888900-AE39-7D44-AF11-70C41180C2E4}" presName="Name37" presStyleLbl="parChTrans1D2" presStyleIdx="2" presStyleCnt="4"/>
      <dgm:spPr/>
    </dgm:pt>
    <dgm:pt modelId="{8F217FA8-84A7-AE42-B86A-1E2F6DD213FA}" type="pres">
      <dgm:prSet presAssocID="{72DBBD9C-7A12-C547-8182-FBF521E9453E}" presName="hierRoot2" presStyleCnt="0">
        <dgm:presLayoutVars>
          <dgm:hierBranch val="init"/>
        </dgm:presLayoutVars>
      </dgm:prSet>
      <dgm:spPr/>
    </dgm:pt>
    <dgm:pt modelId="{C76933F8-2821-5D44-B8CE-F9795D20AB3B}" type="pres">
      <dgm:prSet presAssocID="{72DBBD9C-7A12-C547-8182-FBF521E9453E}" presName="rootComposite" presStyleCnt="0"/>
      <dgm:spPr/>
    </dgm:pt>
    <dgm:pt modelId="{6BB05B7D-660F-414D-94CF-F8C488B13F7D}" type="pres">
      <dgm:prSet presAssocID="{72DBBD9C-7A12-C547-8182-FBF521E9453E}" presName="rootText" presStyleLbl="node2" presStyleIdx="2" presStyleCnt="4" custScaleY="148653">
        <dgm:presLayoutVars>
          <dgm:chPref val="3"/>
        </dgm:presLayoutVars>
      </dgm:prSet>
      <dgm:spPr/>
    </dgm:pt>
    <dgm:pt modelId="{F54306A8-663E-334A-B7C1-26DBF82D53A4}" type="pres">
      <dgm:prSet presAssocID="{72DBBD9C-7A12-C547-8182-FBF521E9453E}" presName="rootConnector" presStyleLbl="node2" presStyleIdx="2" presStyleCnt="4"/>
      <dgm:spPr/>
    </dgm:pt>
    <dgm:pt modelId="{D97E65DB-CAAD-7D40-BE5D-5C91A974C1D9}" type="pres">
      <dgm:prSet presAssocID="{72DBBD9C-7A12-C547-8182-FBF521E9453E}" presName="hierChild4" presStyleCnt="0"/>
      <dgm:spPr/>
    </dgm:pt>
    <dgm:pt modelId="{889D64BD-E4A1-F940-B8F6-326698AE0652}" type="pres">
      <dgm:prSet presAssocID="{9800E844-61C7-DA4E-80C5-B292B96218BB}" presName="Name37" presStyleLbl="parChTrans1D3" presStyleIdx="4" presStyleCnt="9"/>
      <dgm:spPr/>
    </dgm:pt>
    <dgm:pt modelId="{36356079-5F56-D44B-A0D3-2C862D2B5B0B}" type="pres">
      <dgm:prSet presAssocID="{3797E749-9216-F24A-96A3-BEE6FA2F182E}" presName="hierRoot2" presStyleCnt="0">
        <dgm:presLayoutVars>
          <dgm:hierBranch val="init"/>
        </dgm:presLayoutVars>
      </dgm:prSet>
      <dgm:spPr/>
    </dgm:pt>
    <dgm:pt modelId="{AE40EA92-628D-BA44-8F69-4AFDCAF9A015}" type="pres">
      <dgm:prSet presAssocID="{3797E749-9216-F24A-96A3-BEE6FA2F182E}" presName="rootComposite" presStyleCnt="0"/>
      <dgm:spPr/>
    </dgm:pt>
    <dgm:pt modelId="{6ABC0011-0064-ED45-BC46-ADD68F36D845}" type="pres">
      <dgm:prSet presAssocID="{3797E749-9216-F24A-96A3-BEE6FA2F182E}" presName="rootText" presStyleLbl="node3" presStyleIdx="4" presStyleCnt="9" custScaleY="203024" custLinFactNeighborX="1023" custLinFactNeighborY="-2045">
        <dgm:presLayoutVars>
          <dgm:chPref val="3"/>
        </dgm:presLayoutVars>
      </dgm:prSet>
      <dgm:spPr/>
    </dgm:pt>
    <dgm:pt modelId="{13CBC474-EB48-014C-9AA7-F0024F7F802B}" type="pres">
      <dgm:prSet presAssocID="{3797E749-9216-F24A-96A3-BEE6FA2F182E}" presName="rootConnector" presStyleLbl="node3" presStyleIdx="4" presStyleCnt="9"/>
      <dgm:spPr/>
    </dgm:pt>
    <dgm:pt modelId="{7361F462-0B54-C641-9DCD-98ACACF9B761}" type="pres">
      <dgm:prSet presAssocID="{3797E749-9216-F24A-96A3-BEE6FA2F182E}" presName="hierChild4" presStyleCnt="0"/>
      <dgm:spPr/>
    </dgm:pt>
    <dgm:pt modelId="{C17EA259-D649-044F-B2B9-04443DD30018}" type="pres">
      <dgm:prSet presAssocID="{3797E749-9216-F24A-96A3-BEE6FA2F182E}" presName="hierChild5" presStyleCnt="0"/>
      <dgm:spPr/>
    </dgm:pt>
    <dgm:pt modelId="{71C37951-ACEF-A940-8468-B864FA47DC35}" type="pres">
      <dgm:prSet presAssocID="{11C28A24-7DEC-9746-BB5C-4929806F947A}" presName="Name37" presStyleLbl="parChTrans1D3" presStyleIdx="5" presStyleCnt="9"/>
      <dgm:spPr/>
    </dgm:pt>
    <dgm:pt modelId="{FDA6B6A0-5107-3B40-AA7E-F53C4C048AB9}" type="pres">
      <dgm:prSet presAssocID="{F173BD44-E597-314D-8154-24C5A4DA8277}" presName="hierRoot2" presStyleCnt="0">
        <dgm:presLayoutVars>
          <dgm:hierBranch val="init"/>
        </dgm:presLayoutVars>
      </dgm:prSet>
      <dgm:spPr/>
    </dgm:pt>
    <dgm:pt modelId="{696F08B8-BC30-C643-8865-1F7E388AB532}" type="pres">
      <dgm:prSet presAssocID="{F173BD44-E597-314D-8154-24C5A4DA8277}" presName="rootComposite" presStyleCnt="0"/>
      <dgm:spPr/>
    </dgm:pt>
    <dgm:pt modelId="{6DFACFA0-FC22-FE4F-97C1-B1E56D07D634}" type="pres">
      <dgm:prSet presAssocID="{F173BD44-E597-314D-8154-24C5A4DA8277}" presName="rootText" presStyleLbl="node3" presStyleIdx="5" presStyleCnt="9" custScaleY="160117" custLinFactNeighborX="9106" custLinFactNeighborY="10928">
        <dgm:presLayoutVars>
          <dgm:chPref val="3"/>
        </dgm:presLayoutVars>
      </dgm:prSet>
      <dgm:spPr/>
    </dgm:pt>
    <dgm:pt modelId="{FC3925FE-2697-B64B-BD02-BD10E4796C1E}" type="pres">
      <dgm:prSet presAssocID="{F173BD44-E597-314D-8154-24C5A4DA8277}" presName="rootConnector" presStyleLbl="node3" presStyleIdx="5" presStyleCnt="9"/>
      <dgm:spPr/>
    </dgm:pt>
    <dgm:pt modelId="{4A4ADBBD-D7C4-9F40-B748-29B837F4A754}" type="pres">
      <dgm:prSet presAssocID="{F173BD44-E597-314D-8154-24C5A4DA8277}" presName="hierChild4" presStyleCnt="0"/>
      <dgm:spPr/>
    </dgm:pt>
    <dgm:pt modelId="{09CE0EDC-5F9D-5F49-AE99-341184E09218}" type="pres">
      <dgm:prSet presAssocID="{F173BD44-E597-314D-8154-24C5A4DA8277}" presName="hierChild5" presStyleCnt="0"/>
      <dgm:spPr/>
    </dgm:pt>
    <dgm:pt modelId="{03645598-44E0-F44A-8333-0582B7F36BDD}" type="pres">
      <dgm:prSet presAssocID="{4A09FE22-A180-AC4E-8B3B-F5169FC32854}" presName="Name37" presStyleLbl="parChTrans1D3" presStyleIdx="6" presStyleCnt="9"/>
      <dgm:spPr/>
    </dgm:pt>
    <dgm:pt modelId="{38BB6844-D61F-FC44-9F17-93849E06B0DF}" type="pres">
      <dgm:prSet presAssocID="{2F9B3BC3-05EB-7A4D-8EB7-6D1B29310826}" presName="hierRoot2" presStyleCnt="0">
        <dgm:presLayoutVars>
          <dgm:hierBranch val="init"/>
        </dgm:presLayoutVars>
      </dgm:prSet>
      <dgm:spPr/>
    </dgm:pt>
    <dgm:pt modelId="{D487B30C-9A7B-0249-AA51-78C04CEBF429}" type="pres">
      <dgm:prSet presAssocID="{2F9B3BC3-05EB-7A4D-8EB7-6D1B29310826}" presName="rootComposite" presStyleCnt="0"/>
      <dgm:spPr/>
    </dgm:pt>
    <dgm:pt modelId="{49261832-479C-6941-BF4A-87FB72492552}" type="pres">
      <dgm:prSet presAssocID="{2F9B3BC3-05EB-7A4D-8EB7-6D1B29310826}" presName="rootText" presStyleLbl="node3" presStyleIdx="6" presStyleCnt="9" custScaleY="109388">
        <dgm:presLayoutVars>
          <dgm:chPref val="3"/>
        </dgm:presLayoutVars>
      </dgm:prSet>
      <dgm:spPr/>
    </dgm:pt>
    <dgm:pt modelId="{1783B758-535A-8445-9701-F610148CA587}" type="pres">
      <dgm:prSet presAssocID="{2F9B3BC3-05EB-7A4D-8EB7-6D1B29310826}" presName="rootConnector" presStyleLbl="node3" presStyleIdx="6" presStyleCnt="9"/>
      <dgm:spPr/>
    </dgm:pt>
    <dgm:pt modelId="{3C42D653-7F56-B341-81E1-03D977E55F29}" type="pres">
      <dgm:prSet presAssocID="{2F9B3BC3-05EB-7A4D-8EB7-6D1B29310826}" presName="hierChild4" presStyleCnt="0"/>
      <dgm:spPr/>
    </dgm:pt>
    <dgm:pt modelId="{984C6D2E-D94F-6846-B438-5C6A3FAAFF96}" type="pres">
      <dgm:prSet presAssocID="{2F9B3BC3-05EB-7A4D-8EB7-6D1B29310826}" presName="hierChild5" presStyleCnt="0"/>
      <dgm:spPr/>
    </dgm:pt>
    <dgm:pt modelId="{5BFC41C5-F764-DD45-87CB-B73014B41B86}" type="pres">
      <dgm:prSet presAssocID="{72DBBD9C-7A12-C547-8182-FBF521E9453E}" presName="hierChild5" presStyleCnt="0"/>
      <dgm:spPr/>
    </dgm:pt>
    <dgm:pt modelId="{E1A13BB3-CA2D-AA4D-9A88-436D9935C689}" type="pres">
      <dgm:prSet presAssocID="{705B1D32-86C2-994D-BB6A-969804E4B26D}" presName="Name37" presStyleLbl="parChTrans1D2" presStyleIdx="3" presStyleCnt="4"/>
      <dgm:spPr/>
    </dgm:pt>
    <dgm:pt modelId="{B6F9EDBC-4B5A-5045-B82A-E857FC8D858B}" type="pres">
      <dgm:prSet presAssocID="{DDDFB7F5-3B95-1541-964F-57E8F60773CD}" presName="hierRoot2" presStyleCnt="0">
        <dgm:presLayoutVars>
          <dgm:hierBranch val="init"/>
        </dgm:presLayoutVars>
      </dgm:prSet>
      <dgm:spPr/>
    </dgm:pt>
    <dgm:pt modelId="{1BDF0A03-919E-3A47-AB76-557452D4C701}" type="pres">
      <dgm:prSet presAssocID="{DDDFB7F5-3B95-1541-964F-57E8F60773CD}" presName="rootComposite" presStyleCnt="0"/>
      <dgm:spPr/>
    </dgm:pt>
    <dgm:pt modelId="{B0155956-9BC9-B04E-BD49-FFB002592758}" type="pres">
      <dgm:prSet presAssocID="{DDDFB7F5-3B95-1541-964F-57E8F60773CD}" presName="rootText" presStyleLbl="node2" presStyleIdx="3" presStyleCnt="4" custScaleX="171324" custScaleY="149625" custLinFactNeighborX="-3642">
        <dgm:presLayoutVars>
          <dgm:chPref val="3"/>
        </dgm:presLayoutVars>
      </dgm:prSet>
      <dgm:spPr/>
    </dgm:pt>
    <dgm:pt modelId="{8F9DB9B6-81A4-9F48-A2BF-55E66DBBE2D9}" type="pres">
      <dgm:prSet presAssocID="{DDDFB7F5-3B95-1541-964F-57E8F60773CD}" presName="rootConnector" presStyleLbl="node2" presStyleIdx="3" presStyleCnt="4"/>
      <dgm:spPr/>
    </dgm:pt>
    <dgm:pt modelId="{50C74B33-6A18-B642-9FC3-C65AB574D8FB}" type="pres">
      <dgm:prSet presAssocID="{DDDFB7F5-3B95-1541-964F-57E8F60773CD}" presName="hierChild4" presStyleCnt="0"/>
      <dgm:spPr/>
    </dgm:pt>
    <dgm:pt modelId="{F4FAA928-A952-7643-8937-906C4306D261}" type="pres">
      <dgm:prSet presAssocID="{E8447F94-66DB-3340-929A-EA0627C5ECD8}" presName="Name37" presStyleLbl="parChTrans1D3" presStyleIdx="7" presStyleCnt="9"/>
      <dgm:spPr/>
    </dgm:pt>
    <dgm:pt modelId="{83A815A0-F3FF-544C-BE1E-0E478E9EEC44}" type="pres">
      <dgm:prSet presAssocID="{68B1DF88-CD63-E24B-BA80-303ACD80CD61}" presName="hierRoot2" presStyleCnt="0">
        <dgm:presLayoutVars>
          <dgm:hierBranch val="init"/>
        </dgm:presLayoutVars>
      </dgm:prSet>
      <dgm:spPr/>
    </dgm:pt>
    <dgm:pt modelId="{C153F5DE-AF4C-8E43-81F7-A471377F1B7E}" type="pres">
      <dgm:prSet presAssocID="{68B1DF88-CD63-E24B-BA80-303ACD80CD61}" presName="rootComposite" presStyleCnt="0"/>
      <dgm:spPr/>
    </dgm:pt>
    <dgm:pt modelId="{52483007-8518-6944-95F0-93DDD0B34256}" type="pres">
      <dgm:prSet presAssocID="{68B1DF88-CD63-E24B-BA80-303ACD80CD61}" presName="rootText" presStyleLbl="node3" presStyleIdx="7" presStyleCnt="9" custScaleX="194940" custScaleY="150074">
        <dgm:presLayoutVars>
          <dgm:chPref val="3"/>
        </dgm:presLayoutVars>
      </dgm:prSet>
      <dgm:spPr/>
    </dgm:pt>
    <dgm:pt modelId="{5E960B41-8673-9D46-A0AE-7455E969A085}" type="pres">
      <dgm:prSet presAssocID="{68B1DF88-CD63-E24B-BA80-303ACD80CD61}" presName="rootConnector" presStyleLbl="node3" presStyleIdx="7" presStyleCnt="9"/>
      <dgm:spPr/>
    </dgm:pt>
    <dgm:pt modelId="{7D45B5B8-82B0-B244-B21A-B4F370B3E185}" type="pres">
      <dgm:prSet presAssocID="{68B1DF88-CD63-E24B-BA80-303ACD80CD61}" presName="hierChild4" presStyleCnt="0"/>
      <dgm:spPr/>
    </dgm:pt>
    <dgm:pt modelId="{7C3B0413-7665-1E46-972E-C7EC3AB2DA58}" type="pres">
      <dgm:prSet presAssocID="{68B1DF88-CD63-E24B-BA80-303ACD80CD61}" presName="hierChild5" presStyleCnt="0"/>
      <dgm:spPr/>
    </dgm:pt>
    <dgm:pt modelId="{3612ADEE-0B63-9A47-8BE3-C261FEBFD9A3}" type="pres">
      <dgm:prSet presAssocID="{813C6543-D9E1-EE4C-8932-3617BD877C98}" presName="Name37" presStyleLbl="parChTrans1D3" presStyleIdx="8" presStyleCnt="9"/>
      <dgm:spPr/>
    </dgm:pt>
    <dgm:pt modelId="{16319C0B-1F70-1044-9BCE-A0DF6B759BD5}" type="pres">
      <dgm:prSet presAssocID="{EBEA52A4-B222-DE41-AAE0-C269F38A91E5}" presName="hierRoot2" presStyleCnt="0">
        <dgm:presLayoutVars>
          <dgm:hierBranch val="init"/>
        </dgm:presLayoutVars>
      </dgm:prSet>
      <dgm:spPr/>
    </dgm:pt>
    <dgm:pt modelId="{DCA55970-F643-EE4E-946E-56C84BCD02C2}" type="pres">
      <dgm:prSet presAssocID="{EBEA52A4-B222-DE41-AAE0-C269F38A91E5}" presName="rootComposite" presStyleCnt="0"/>
      <dgm:spPr/>
    </dgm:pt>
    <dgm:pt modelId="{4C944FD1-9268-F54B-BF92-C1E2B8EF6AC3}" type="pres">
      <dgm:prSet presAssocID="{EBEA52A4-B222-DE41-AAE0-C269F38A91E5}" presName="rootText" presStyleLbl="node3" presStyleIdx="8" presStyleCnt="9" custScaleX="186999" custScaleY="136547">
        <dgm:presLayoutVars>
          <dgm:chPref val="3"/>
        </dgm:presLayoutVars>
      </dgm:prSet>
      <dgm:spPr/>
    </dgm:pt>
    <dgm:pt modelId="{6129122A-B67C-CD49-9554-1FFA45D2FDE1}" type="pres">
      <dgm:prSet presAssocID="{EBEA52A4-B222-DE41-AAE0-C269F38A91E5}" presName="rootConnector" presStyleLbl="node3" presStyleIdx="8" presStyleCnt="9"/>
      <dgm:spPr/>
    </dgm:pt>
    <dgm:pt modelId="{D678F4AD-BCBF-5F4B-8109-4450F638C9D1}" type="pres">
      <dgm:prSet presAssocID="{EBEA52A4-B222-DE41-AAE0-C269F38A91E5}" presName="hierChild4" presStyleCnt="0"/>
      <dgm:spPr/>
    </dgm:pt>
    <dgm:pt modelId="{1DA8A8FB-184F-DB4F-B7D2-1FCB3BA3A7F2}" type="pres">
      <dgm:prSet presAssocID="{EBEA52A4-B222-DE41-AAE0-C269F38A91E5}" presName="hierChild5" presStyleCnt="0"/>
      <dgm:spPr/>
    </dgm:pt>
    <dgm:pt modelId="{07D459D6-EDCD-3F48-9295-3CEAF06BAF3C}" type="pres">
      <dgm:prSet presAssocID="{DDDFB7F5-3B95-1541-964F-57E8F60773CD}" presName="hierChild5" presStyleCnt="0"/>
      <dgm:spPr/>
    </dgm:pt>
    <dgm:pt modelId="{31AF0E92-4687-B34D-876E-ECF43B57ECA7}" type="pres">
      <dgm:prSet presAssocID="{21BFD234-67AB-C549-8107-299609FB23B4}" presName="hierChild3" presStyleCnt="0"/>
      <dgm:spPr/>
    </dgm:pt>
  </dgm:ptLst>
  <dgm:cxnLst>
    <dgm:cxn modelId="{C799400E-4BD2-D243-A81C-7DEA2A6693AB}" type="presOf" srcId="{3797E749-9216-F24A-96A3-BEE6FA2F182E}" destId="{6ABC0011-0064-ED45-BC46-ADD68F36D845}" srcOrd="0" destOrd="0" presId="urn:microsoft.com/office/officeart/2005/8/layout/orgChart1"/>
    <dgm:cxn modelId="{2672CD10-AA58-B24D-97AE-34437B80946F}" type="presOf" srcId="{53EB8C1C-CD3D-684B-A435-E78BAB7AC099}" destId="{A2066269-BE41-144F-A269-B3BD2D32AD51}" srcOrd="1" destOrd="0" presId="urn:microsoft.com/office/officeart/2005/8/layout/orgChart1"/>
    <dgm:cxn modelId="{D2BDF111-A24B-1F48-9A8C-0557886BA261}" type="presOf" srcId="{A1B00780-37F7-8E4B-A0D6-AC3BDAAF78FE}" destId="{AC36BF05-40B9-2849-AC4C-B1ED2B171AEF}" srcOrd="0" destOrd="0" presId="urn:microsoft.com/office/officeart/2005/8/layout/orgChart1"/>
    <dgm:cxn modelId="{AAF31F23-A9E9-B144-8BF9-861A5ACD8B90}" type="presOf" srcId="{825D3B2D-B9C1-4341-BCE0-79F595009B94}" destId="{CB76B45A-E907-2C40-AE3B-96DF06E18B31}" srcOrd="1" destOrd="0" presId="urn:microsoft.com/office/officeart/2005/8/layout/orgChart1"/>
    <dgm:cxn modelId="{ED453E28-817E-3C48-8CFF-0387A1DFBBF0}" type="presOf" srcId="{2F9B3BC3-05EB-7A4D-8EB7-6D1B29310826}" destId="{49261832-479C-6941-BF4A-87FB72492552}" srcOrd="0" destOrd="0" presId="urn:microsoft.com/office/officeart/2005/8/layout/orgChart1"/>
    <dgm:cxn modelId="{EADDAE28-DCAB-A94C-9A81-86E3DB1867E7}" type="presOf" srcId="{21BFD234-67AB-C549-8107-299609FB23B4}" destId="{2C70D8C7-BB40-AF41-AF4E-4F46327B7BA5}" srcOrd="0" destOrd="0" presId="urn:microsoft.com/office/officeart/2005/8/layout/orgChart1"/>
    <dgm:cxn modelId="{A2777931-5EDB-A040-B093-7A646345C626}" type="presOf" srcId="{CF888900-AE39-7D44-AF11-70C41180C2E4}" destId="{619B1921-4DD8-DC4A-A8A7-406742E951EE}" srcOrd="0" destOrd="0" presId="urn:microsoft.com/office/officeart/2005/8/layout/orgChart1"/>
    <dgm:cxn modelId="{A286C835-3769-6645-AD41-385E106C4C19}" type="presOf" srcId="{E671EAAF-771F-9349-A74C-4461CD3D58C2}" destId="{5DC95B7A-DB44-D343-8421-BB0748754277}" srcOrd="0" destOrd="0" presId="urn:microsoft.com/office/officeart/2005/8/layout/orgChart1"/>
    <dgm:cxn modelId="{A769FA35-203B-994E-97E5-3C1490CD88AB}" type="presOf" srcId="{F173BD44-E597-314D-8154-24C5A4DA8277}" destId="{FC3925FE-2697-B64B-BD02-BD10E4796C1E}" srcOrd="1" destOrd="0" presId="urn:microsoft.com/office/officeart/2005/8/layout/orgChart1"/>
    <dgm:cxn modelId="{A9552C36-1B19-3B45-933F-D4CDD70DC535}" srcId="{72DBBD9C-7A12-C547-8182-FBF521E9453E}" destId="{F173BD44-E597-314D-8154-24C5A4DA8277}" srcOrd="1" destOrd="0" parTransId="{11C28A24-7DEC-9746-BB5C-4929806F947A}" sibTransId="{4BA8E805-8CAF-BC4F-BA84-2971C8E7A7E3}"/>
    <dgm:cxn modelId="{261D5838-A877-CA4E-8F63-1B2527A7148D}" type="presOf" srcId="{4E88D2BB-24C1-3647-8F66-A9824A403D64}" destId="{4DD0592C-EDEF-914F-988A-48459D59952D}" srcOrd="0" destOrd="0" presId="urn:microsoft.com/office/officeart/2005/8/layout/orgChart1"/>
    <dgm:cxn modelId="{A429033D-FE53-7446-AF49-DF4762EF89DA}" type="presOf" srcId="{6D2D6C7A-22B5-0347-9677-83E06D0DF615}" destId="{CD336976-1DFB-684E-AF65-7A609EBFD679}" srcOrd="0" destOrd="0" presId="urn:microsoft.com/office/officeart/2005/8/layout/orgChart1"/>
    <dgm:cxn modelId="{3618EE3F-D06B-7C41-9DBA-5F219851FC31}" srcId="{950516C8-2E1E-4C4A-8ECF-852EAD116BBC}" destId="{53EB8C1C-CD3D-684B-A435-E78BAB7AC099}" srcOrd="1" destOrd="0" parTransId="{6D2D6C7A-22B5-0347-9677-83E06D0DF615}" sibTransId="{9CBABD98-E0F3-774A-9131-1317F7BD15B9}"/>
    <dgm:cxn modelId="{5177A762-19AF-DA46-9490-16A427197E15}" type="presOf" srcId="{68B1DF88-CD63-E24B-BA80-303ACD80CD61}" destId="{52483007-8518-6944-95F0-93DDD0B34256}" srcOrd="0" destOrd="0" presId="urn:microsoft.com/office/officeart/2005/8/layout/orgChart1"/>
    <dgm:cxn modelId="{7A78D165-CAB0-0B43-BD2B-DD3C90F4B19D}" type="presOf" srcId="{21BFD234-67AB-C549-8107-299609FB23B4}" destId="{AEAE9285-E718-0D4F-9ED6-4D6BBDAB213A}" srcOrd="1" destOrd="0" presId="urn:microsoft.com/office/officeart/2005/8/layout/orgChart1"/>
    <dgm:cxn modelId="{89C3AD66-A801-CE47-A4BE-FFC4F0C165F4}" type="presOf" srcId="{68B1DF88-CD63-E24B-BA80-303ACD80CD61}" destId="{5E960B41-8673-9D46-A0AE-7455E969A085}" srcOrd="1" destOrd="0" presId="urn:microsoft.com/office/officeart/2005/8/layout/orgChart1"/>
    <dgm:cxn modelId="{36E39147-DF60-554E-837C-52FBA45707F3}" type="presOf" srcId="{DDDFB7F5-3B95-1541-964F-57E8F60773CD}" destId="{8F9DB9B6-81A4-9F48-A2BF-55E66DBBE2D9}" srcOrd="1" destOrd="0" presId="urn:microsoft.com/office/officeart/2005/8/layout/orgChart1"/>
    <dgm:cxn modelId="{00251B6F-5851-CA49-88F5-EADCA766BAE1}" type="presOf" srcId="{3797E749-9216-F24A-96A3-BEE6FA2F182E}" destId="{13CBC474-EB48-014C-9AA7-F0024F7F802B}" srcOrd="1" destOrd="0" presId="urn:microsoft.com/office/officeart/2005/8/layout/orgChart1"/>
    <dgm:cxn modelId="{B92CFB70-3407-8C4E-9A7D-EEC0B8484A38}" srcId="{DDDFB7F5-3B95-1541-964F-57E8F60773CD}" destId="{68B1DF88-CD63-E24B-BA80-303ACD80CD61}" srcOrd="0" destOrd="0" parTransId="{E8447F94-66DB-3340-929A-EA0627C5ECD8}" sibTransId="{E5C6F289-4753-A94F-92D9-4ACA67FA5824}"/>
    <dgm:cxn modelId="{CC5E1C52-3226-6F4B-B078-CF428891D603}" srcId="{72DBBD9C-7A12-C547-8182-FBF521E9453E}" destId="{3797E749-9216-F24A-96A3-BEE6FA2F182E}" srcOrd="0" destOrd="0" parTransId="{9800E844-61C7-DA4E-80C5-B292B96218BB}" sibTransId="{7515B55F-994E-EA43-9B75-08FED1FD4C14}"/>
    <dgm:cxn modelId="{B2C93153-52BE-6B42-AADA-F4D47D12FAAD}" type="presOf" srcId="{950516C8-2E1E-4C4A-8ECF-852EAD116BBC}" destId="{0DF2E39F-FA74-824F-9FC6-328061C95ED6}" srcOrd="0" destOrd="0" presId="urn:microsoft.com/office/officeart/2005/8/layout/orgChart1"/>
    <dgm:cxn modelId="{06807574-1245-E14F-AFB7-F8403095465F}" type="presOf" srcId="{72DBBD9C-7A12-C547-8182-FBF521E9453E}" destId="{6BB05B7D-660F-414D-94CF-F8C488B13F7D}" srcOrd="0" destOrd="0" presId="urn:microsoft.com/office/officeart/2005/8/layout/orgChart1"/>
    <dgm:cxn modelId="{E5A00B7C-9114-4C46-8196-36C89CDE2A7D}" srcId="{950516C8-2E1E-4C4A-8ECF-852EAD116BBC}" destId="{E671EAAF-771F-9349-A74C-4461CD3D58C2}" srcOrd="0" destOrd="0" parTransId="{A1B00780-37F7-8E4B-A0D6-AC3BDAAF78FE}" sibTransId="{160C01AB-892E-D843-9508-5428309CB6C0}"/>
    <dgm:cxn modelId="{93EC4E80-4DB3-4644-81F6-79DEAEE152D3}" srcId="{21BFD234-67AB-C549-8107-299609FB23B4}" destId="{DDDFB7F5-3B95-1541-964F-57E8F60773CD}" srcOrd="3" destOrd="0" parTransId="{705B1D32-86C2-994D-BB6A-969804E4B26D}" sibTransId="{3841E8FA-804C-1746-A0CC-CDA8E977C2D7}"/>
    <dgm:cxn modelId="{BEC29481-B3B4-DF43-BC6A-28F0BA065A7F}" type="presOf" srcId="{F173BD44-E597-314D-8154-24C5A4DA8277}" destId="{6DFACFA0-FC22-FE4F-97C1-B1E56D07D634}" srcOrd="0" destOrd="0" presId="urn:microsoft.com/office/officeart/2005/8/layout/orgChart1"/>
    <dgm:cxn modelId="{39E2288C-CD73-1040-99D1-E7A4D375B856}" type="presOf" srcId="{0FBC8B71-2FF1-C149-A87E-3F5A5F7AADCB}" destId="{37032329-FAA5-0A4D-8C3B-60AEAD87C962}" srcOrd="0" destOrd="0" presId="urn:microsoft.com/office/officeart/2005/8/layout/orgChart1"/>
    <dgm:cxn modelId="{9DAE0390-8421-0343-A574-18E188ADB9EB}" type="presOf" srcId="{EBEA52A4-B222-DE41-AAE0-C269F38A91E5}" destId="{4C944FD1-9268-F54B-BF92-C1E2B8EF6AC3}" srcOrd="0" destOrd="0" presId="urn:microsoft.com/office/officeart/2005/8/layout/orgChart1"/>
    <dgm:cxn modelId="{31DE4695-50D3-8041-A48D-C834B3579F50}" type="presOf" srcId="{9A3CDAEF-BC70-6B42-91A2-463278476304}" destId="{BBCF19FF-AB65-C147-9426-B85BA88E56D1}" srcOrd="1" destOrd="0" presId="urn:microsoft.com/office/officeart/2005/8/layout/orgChart1"/>
    <dgm:cxn modelId="{47A69595-EDA1-6C4A-9CDD-D9F93F79B711}" type="presOf" srcId="{9A3CDAEF-BC70-6B42-91A2-463278476304}" destId="{30D70AB0-6BA7-214F-87AE-7069D484B93F}" srcOrd="0" destOrd="0" presId="urn:microsoft.com/office/officeart/2005/8/layout/orgChart1"/>
    <dgm:cxn modelId="{C2938AA6-E5DC-0946-8A9C-DEAB52059DFB}" type="presOf" srcId="{0FBC8B71-2FF1-C149-A87E-3F5A5F7AADCB}" destId="{1F419004-5924-7E48-8770-D3778C72AF20}" srcOrd="1" destOrd="0" presId="urn:microsoft.com/office/officeart/2005/8/layout/orgChart1"/>
    <dgm:cxn modelId="{8CD77AA9-EBCB-9545-9206-D7299B9743AE}" srcId="{72DBBD9C-7A12-C547-8182-FBF521E9453E}" destId="{2F9B3BC3-05EB-7A4D-8EB7-6D1B29310826}" srcOrd="2" destOrd="0" parTransId="{4A09FE22-A180-AC4E-8B3B-F5169FC32854}" sibTransId="{A962E8D6-6589-5E40-B567-B7A6975EA9E9}"/>
    <dgm:cxn modelId="{366F8FA9-6635-4B47-846C-7CA888E4E06B}" srcId="{21BFD234-67AB-C549-8107-299609FB23B4}" destId="{950516C8-2E1E-4C4A-8ECF-852EAD116BBC}" srcOrd="1" destOrd="0" parTransId="{336B3EA8-24B0-9540-9A14-B02A8F15C2D0}" sibTransId="{C7924D6D-9B07-9F4D-9333-B31DCED94E21}"/>
    <dgm:cxn modelId="{3DA678AB-C0A7-A940-A78C-1A9721546782}" srcId="{0FBC8B71-2FF1-C149-A87E-3F5A5F7AADCB}" destId="{9A3CDAEF-BC70-6B42-91A2-463278476304}" srcOrd="1" destOrd="0" parTransId="{EED91401-A8B0-534E-878D-D76EDBE83667}" sibTransId="{90F9832D-F1BF-F649-8FBC-8BA93D212999}"/>
    <dgm:cxn modelId="{E9DB8CAC-211A-8143-8E3C-A90F176C530E}" type="presOf" srcId="{336B3EA8-24B0-9540-9A14-B02A8F15C2D0}" destId="{EAB5B2F7-F8E6-7249-91C9-32A992429C95}" srcOrd="0" destOrd="0" presId="urn:microsoft.com/office/officeart/2005/8/layout/orgChart1"/>
    <dgm:cxn modelId="{112C12AD-0BB7-C74F-9EF8-8E01A2994B8C}" type="presOf" srcId="{007B3EB4-EE1E-0A48-8003-250E08384272}" destId="{E9F616D0-1C9F-FE41-9865-38AD43D523CF}" srcOrd="0" destOrd="0" presId="urn:microsoft.com/office/officeart/2005/8/layout/orgChart1"/>
    <dgm:cxn modelId="{89B613B1-E0B4-8F48-8B7E-289A817FB392}" type="presOf" srcId="{EBEA52A4-B222-DE41-AAE0-C269F38A91E5}" destId="{6129122A-B67C-CD49-9554-1FFA45D2FDE1}" srcOrd="1" destOrd="0" presId="urn:microsoft.com/office/officeart/2005/8/layout/orgChart1"/>
    <dgm:cxn modelId="{80FE82B1-90C1-2B48-BD51-606874B948B5}" type="presOf" srcId="{9800E844-61C7-DA4E-80C5-B292B96218BB}" destId="{889D64BD-E4A1-F940-B8F6-326698AE0652}" srcOrd="0" destOrd="0" presId="urn:microsoft.com/office/officeart/2005/8/layout/orgChart1"/>
    <dgm:cxn modelId="{624875B2-0909-2C4D-876F-29A860A523B1}" srcId="{21BFD234-67AB-C549-8107-299609FB23B4}" destId="{0FBC8B71-2FF1-C149-A87E-3F5A5F7AADCB}" srcOrd="0" destOrd="0" parTransId="{4E88D2BB-24C1-3647-8F66-A9824A403D64}" sibTransId="{AB5A175E-E7B5-2748-A118-4B3001937AE6}"/>
    <dgm:cxn modelId="{B7B3A9B9-B0E5-384B-9391-18F074C20A75}" type="presOf" srcId="{EED91401-A8B0-534E-878D-D76EDBE83667}" destId="{5A60EE96-96E0-2044-A484-8FC2BA0E1E57}" srcOrd="0" destOrd="0" presId="urn:microsoft.com/office/officeart/2005/8/layout/orgChart1"/>
    <dgm:cxn modelId="{9EA0BEB9-6045-0A4A-8066-3557EC5328C2}" type="presOf" srcId="{705B1D32-86C2-994D-BB6A-969804E4B26D}" destId="{E1A13BB3-CA2D-AA4D-9A88-436D9935C689}" srcOrd="0" destOrd="0" presId="urn:microsoft.com/office/officeart/2005/8/layout/orgChart1"/>
    <dgm:cxn modelId="{E0A6CCBE-2507-7E45-A9FE-74115589A9C3}" type="presOf" srcId="{950516C8-2E1E-4C4A-8ECF-852EAD116BBC}" destId="{05955587-F835-2441-866A-C8FB8BAEF16F}" srcOrd="1" destOrd="0" presId="urn:microsoft.com/office/officeart/2005/8/layout/orgChart1"/>
    <dgm:cxn modelId="{4E7693C3-F930-5B4D-80F8-92BDEF4E0767}" type="presOf" srcId="{DDDFB7F5-3B95-1541-964F-57E8F60773CD}" destId="{B0155956-9BC9-B04E-BD49-FFB002592758}" srcOrd="0" destOrd="0" presId="urn:microsoft.com/office/officeart/2005/8/layout/orgChart1"/>
    <dgm:cxn modelId="{25327BCB-C031-3044-9F90-344ABA16267E}" srcId="{DDDFB7F5-3B95-1541-964F-57E8F60773CD}" destId="{EBEA52A4-B222-DE41-AAE0-C269F38A91E5}" srcOrd="1" destOrd="0" parTransId="{813C6543-D9E1-EE4C-8932-3617BD877C98}" sibTransId="{77D39CE7-81B0-F94C-9FB7-B778072A5667}"/>
    <dgm:cxn modelId="{E95358CC-4321-1D49-88C8-3DBC7050B76F}" type="presOf" srcId="{11C28A24-7DEC-9746-BB5C-4929806F947A}" destId="{71C37951-ACEF-A940-8468-B864FA47DC35}" srcOrd="0" destOrd="0" presId="urn:microsoft.com/office/officeart/2005/8/layout/orgChart1"/>
    <dgm:cxn modelId="{6EE278D0-F88A-A84C-8F8B-5C2D650B555E}" srcId="{FB0E3EE9-2028-144D-B951-30C07D70A18F}" destId="{21BFD234-67AB-C549-8107-299609FB23B4}" srcOrd="0" destOrd="0" parTransId="{CBC89E7C-B673-1641-A2F5-9C713ABEB492}" sibTransId="{234D5F70-5FFC-F24D-8C05-7C180D7B07C4}"/>
    <dgm:cxn modelId="{B406EBD0-9C35-1247-A5E9-FB105EC29A86}" type="presOf" srcId="{813C6543-D9E1-EE4C-8932-3617BD877C98}" destId="{3612ADEE-0B63-9A47-8BE3-C261FEBFD9A3}" srcOrd="0" destOrd="0" presId="urn:microsoft.com/office/officeart/2005/8/layout/orgChart1"/>
    <dgm:cxn modelId="{1C8EF1D1-7985-9A41-B6FB-08D248B66B59}" type="presOf" srcId="{E671EAAF-771F-9349-A74C-4461CD3D58C2}" destId="{79CE1D33-596C-F048-A4CF-F6995D8FA8B1}" srcOrd="1" destOrd="0" presId="urn:microsoft.com/office/officeart/2005/8/layout/orgChart1"/>
    <dgm:cxn modelId="{5ADC29D7-CC35-B940-A1F9-43A57304800C}" type="presOf" srcId="{E8447F94-66DB-3340-929A-EA0627C5ECD8}" destId="{F4FAA928-A952-7643-8937-906C4306D261}" srcOrd="0" destOrd="0" presId="urn:microsoft.com/office/officeart/2005/8/layout/orgChart1"/>
    <dgm:cxn modelId="{4BA319DD-FCF6-4B47-BAA0-7190411B796E}" type="presOf" srcId="{72DBBD9C-7A12-C547-8182-FBF521E9453E}" destId="{F54306A8-663E-334A-B7C1-26DBF82D53A4}" srcOrd="1" destOrd="0" presId="urn:microsoft.com/office/officeart/2005/8/layout/orgChart1"/>
    <dgm:cxn modelId="{430EEBDF-E931-FE48-9AB2-FE30D7DB5D9F}" type="presOf" srcId="{825D3B2D-B9C1-4341-BCE0-79F595009B94}" destId="{9341E5F0-7F06-B442-8C33-AAD2010073F9}" srcOrd="0" destOrd="0" presId="urn:microsoft.com/office/officeart/2005/8/layout/orgChart1"/>
    <dgm:cxn modelId="{2D0C5EE0-EFF0-C84D-AE49-31D7C6B951FE}" type="presOf" srcId="{4A09FE22-A180-AC4E-8B3B-F5169FC32854}" destId="{03645598-44E0-F44A-8333-0582B7F36BDD}" srcOrd="0" destOrd="0" presId="urn:microsoft.com/office/officeart/2005/8/layout/orgChart1"/>
    <dgm:cxn modelId="{F7D0A5E0-D643-8942-8AE6-105F4B35AAD6}" type="presOf" srcId="{FB0E3EE9-2028-144D-B951-30C07D70A18F}" destId="{F57DC40E-5DE2-B249-8FBA-321A37A63F89}" srcOrd="0" destOrd="0" presId="urn:microsoft.com/office/officeart/2005/8/layout/orgChart1"/>
    <dgm:cxn modelId="{4FD76AE3-C89D-A643-B57B-F0F69A688DC2}" srcId="{21BFD234-67AB-C549-8107-299609FB23B4}" destId="{72DBBD9C-7A12-C547-8182-FBF521E9453E}" srcOrd="2" destOrd="0" parTransId="{CF888900-AE39-7D44-AF11-70C41180C2E4}" sibTransId="{5F85C5CE-6776-C043-A52A-81E5D3A5B764}"/>
    <dgm:cxn modelId="{3520F1E9-2849-A747-BCF3-2FA9B50E4F40}" type="presOf" srcId="{2F9B3BC3-05EB-7A4D-8EB7-6D1B29310826}" destId="{1783B758-535A-8445-9701-F610148CA587}" srcOrd="1" destOrd="0" presId="urn:microsoft.com/office/officeart/2005/8/layout/orgChart1"/>
    <dgm:cxn modelId="{EDB373F7-BF1B-DA45-8D72-94421B1A4962}" srcId="{0FBC8B71-2FF1-C149-A87E-3F5A5F7AADCB}" destId="{825D3B2D-B9C1-4341-BCE0-79F595009B94}" srcOrd="0" destOrd="0" parTransId="{007B3EB4-EE1E-0A48-8003-250E08384272}" sibTransId="{EAD9C012-6887-8C43-BA5B-A6F3B27E7BF3}"/>
    <dgm:cxn modelId="{711172FE-D2DB-BE42-81EF-E7573209679F}" type="presOf" srcId="{53EB8C1C-CD3D-684B-A435-E78BAB7AC099}" destId="{823A8912-31B6-C442-AC7E-22939F0D72B8}" srcOrd="0" destOrd="0" presId="urn:microsoft.com/office/officeart/2005/8/layout/orgChart1"/>
    <dgm:cxn modelId="{5776C826-D5FA-CE44-8484-405F8EB30AEC}" type="presParOf" srcId="{F57DC40E-5DE2-B249-8FBA-321A37A63F89}" destId="{7151C45C-2685-A444-8284-12B024C8418D}" srcOrd="0" destOrd="0" presId="urn:microsoft.com/office/officeart/2005/8/layout/orgChart1"/>
    <dgm:cxn modelId="{61AD207B-0D2A-724A-9E4F-D62A8F8EFAD0}" type="presParOf" srcId="{7151C45C-2685-A444-8284-12B024C8418D}" destId="{88E06DB5-5631-1248-8449-F3D69402AEC6}" srcOrd="0" destOrd="0" presId="urn:microsoft.com/office/officeart/2005/8/layout/orgChart1"/>
    <dgm:cxn modelId="{DF6C3D7D-A80D-6945-AEE6-2EE9E4832E9F}" type="presParOf" srcId="{88E06DB5-5631-1248-8449-F3D69402AEC6}" destId="{2C70D8C7-BB40-AF41-AF4E-4F46327B7BA5}" srcOrd="0" destOrd="0" presId="urn:microsoft.com/office/officeart/2005/8/layout/orgChart1"/>
    <dgm:cxn modelId="{156DD1BA-EFEC-7244-A660-712698667FCE}" type="presParOf" srcId="{88E06DB5-5631-1248-8449-F3D69402AEC6}" destId="{AEAE9285-E718-0D4F-9ED6-4D6BBDAB213A}" srcOrd="1" destOrd="0" presId="urn:microsoft.com/office/officeart/2005/8/layout/orgChart1"/>
    <dgm:cxn modelId="{C19C95C2-B37C-4F42-97E6-3342C40F34C8}" type="presParOf" srcId="{7151C45C-2685-A444-8284-12B024C8418D}" destId="{040D3988-2E03-FF49-BF77-5D256ACAE909}" srcOrd="1" destOrd="0" presId="urn:microsoft.com/office/officeart/2005/8/layout/orgChart1"/>
    <dgm:cxn modelId="{66E3BEB9-4A70-4645-8F1F-5A43C20C7EAB}" type="presParOf" srcId="{040D3988-2E03-FF49-BF77-5D256ACAE909}" destId="{4DD0592C-EDEF-914F-988A-48459D59952D}" srcOrd="0" destOrd="0" presId="urn:microsoft.com/office/officeart/2005/8/layout/orgChart1"/>
    <dgm:cxn modelId="{EBF9CF57-1AA8-E14D-B7A8-1DAE40A2BACF}" type="presParOf" srcId="{040D3988-2E03-FF49-BF77-5D256ACAE909}" destId="{6CB8E51C-7027-944D-852C-2B17EA70190E}" srcOrd="1" destOrd="0" presId="urn:microsoft.com/office/officeart/2005/8/layout/orgChart1"/>
    <dgm:cxn modelId="{2BF3ECDB-5CFB-5246-8A8B-3934510F6C86}" type="presParOf" srcId="{6CB8E51C-7027-944D-852C-2B17EA70190E}" destId="{13D7F678-54A3-1240-AB11-A204CCD84A1E}" srcOrd="0" destOrd="0" presId="urn:microsoft.com/office/officeart/2005/8/layout/orgChart1"/>
    <dgm:cxn modelId="{636661D0-6DCD-E044-A52C-995F9C719D95}" type="presParOf" srcId="{13D7F678-54A3-1240-AB11-A204CCD84A1E}" destId="{37032329-FAA5-0A4D-8C3B-60AEAD87C962}" srcOrd="0" destOrd="0" presId="urn:microsoft.com/office/officeart/2005/8/layout/orgChart1"/>
    <dgm:cxn modelId="{204883D0-BB74-0448-BE2B-462CCB552907}" type="presParOf" srcId="{13D7F678-54A3-1240-AB11-A204CCD84A1E}" destId="{1F419004-5924-7E48-8770-D3778C72AF20}" srcOrd="1" destOrd="0" presId="urn:microsoft.com/office/officeart/2005/8/layout/orgChart1"/>
    <dgm:cxn modelId="{05141965-5B31-8A4B-8592-452F940E4733}" type="presParOf" srcId="{6CB8E51C-7027-944D-852C-2B17EA70190E}" destId="{98E2C00D-0AA2-594D-B8E2-01EF962EEFA5}" srcOrd="1" destOrd="0" presId="urn:microsoft.com/office/officeart/2005/8/layout/orgChart1"/>
    <dgm:cxn modelId="{425081FC-3829-664C-AA82-05CA7ABA7C62}" type="presParOf" srcId="{98E2C00D-0AA2-594D-B8E2-01EF962EEFA5}" destId="{E9F616D0-1C9F-FE41-9865-38AD43D523CF}" srcOrd="0" destOrd="0" presId="urn:microsoft.com/office/officeart/2005/8/layout/orgChart1"/>
    <dgm:cxn modelId="{6F57242E-6996-CF46-98DE-7B635E5F422F}" type="presParOf" srcId="{98E2C00D-0AA2-594D-B8E2-01EF962EEFA5}" destId="{9A57C91F-B74B-AC4B-B3B3-32DB0993A3C9}" srcOrd="1" destOrd="0" presId="urn:microsoft.com/office/officeart/2005/8/layout/orgChart1"/>
    <dgm:cxn modelId="{3616BE48-99B5-DB4B-BC59-0C0E0551ACF3}" type="presParOf" srcId="{9A57C91F-B74B-AC4B-B3B3-32DB0993A3C9}" destId="{A41643AB-5880-B345-B3CD-CF7759873734}" srcOrd="0" destOrd="0" presId="urn:microsoft.com/office/officeart/2005/8/layout/orgChart1"/>
    <dgm:cxn modelId="{6F7BA65C-80D2-4044-B943-810801FC0A08}" type="presParOf" srcId="{A41643AB-5880-B345-B3CD-CF7759873734}" destId="{9341E5F0-7F06-B442-8C33-AAD2010073F9}" srcOrd="0" destOrd="0" presId="urn:microsoft.com/office/officeart/2005/8/layout/orgChart1"/>
    <dgm:cxn modelId="{285C1104-D5C2-C54D-A5B4-4C141483519F}" type="presParOf" srcId="{A41643AB-5880-B345-B3CD-CF7759873734}" destId="{CB76B45A-E907-2C40-AE3B-96DF06E18B31}" srcOrd="1" destOrd="0" presId="urn:microsoft.com/office/officeart/2005/8/layout/orgChart1"/>
    <dgm:cxn modelId="{3A8C27F9-43A1-134B-8864-1309A615DF31}" type="presParOf" srcId="{9A57C91F-B74B-AC4B-B3B3-32DB0993A3C9}" destId="{169E766D-AC99-664B-811B-C91DBE8AD59A}" srcOrd="1" destOrd="0" presId="urn:microsoft.com/office/officeart/2005/8/layout/orgChart1"/>
    <dgm:cxn modelId="{7C48BC60-524F-3B44-826D-F57B5F850EB4}" type="presParOf" srcId="{9A57C91F-B74B-AC4B-B3B3-32DB0993A3C9}" destId="{7A28BEF2-B391-F049-914D-9D928BC1BD8D}" srcOrd="2" destOrd="0" presId="urn:microsoft.com/office/officeart/2005/8/layout/orgChart1"/>
    <dgm:cxn modelId="{C3A653AA-650B-0748-B290-837B4C91E837}" type="presParOf" srcId="{98E2C00D-0AA2-594D-B8E2-01EF962EEFA5}" destId="{5A60EE96-96E0-2044-A484-8FC2BA0E1E57}" srcOrd="2" destOrd="0" presId="urn:microsoft.com/office/officeart/2005/8/layout/orgChart1"/>
    <dgm:cxn modelId="{5245D093-984C-DC41-9986-4FD99C84A7A6}" type="presParOf" srcId="{98E2C00D-0AA2-594D-B8E2-01EF962EEFA5}" destId="{85FD7664-7204-AF40-A51E-864C29D4A468}" srcOrd="3" destOrd="0" presId="urn:microsoft.com/office/officeart/2005/8/layout/orgChart1"/>
    <dgm:cxn modelId="{8E4ADDE5-66D3-7A48-BA20-FC60DCBC1887}" type="presParOf" srcId="{85FD7664-7204-AF40-A51E-864C29D4A468}" destId="{6A6AC43D-35C4-8041-A57B-D42090440C50}" srcOrd="0" destOrd="0" presId="urn:microsoft.com/office/officeart/2005/8/layout/orgChart1"/>
    <dgm:cxn modelId="{D01AFE05-1CDA-AB47-BCB4-FB5BB7520DFC}" type="presParOf" srcId="{6A6AC43D-35C4-8041-A57B-D42090440C50}" destId="{30D70AB0-6BA7-214F-87AE-7069D484B93F}" srcOrd="0" destOrd="0" presId="urn:microsoft.com/office/officeart/2005/8/layout/orgChart1"/>
    <dgm:cxn modelId="{4E712EC1-340F-8740-AE08-BF341DDE9220}" type="presParOf" srcId="{6A6AC43D-35C4-8041-A57B-D42090440C50}" destId="{BBCF19FF-AB65-C147-9426-B85BA88E56D1}" srcOrd="1" destOrd="0" presId="urn:microsoft.com/office/officeart/2005/8/layout/orgChart1"/>
    <dgm:cxn modelId="{D1B21986-A593-974A-8777-4EDF1638F775}" type="presParOf" srcId="{85FD7664-7204-AF40-A51E-864C29D4A468}" destId="{9F468E24-AEF6-C94B-B1D8-6D873ED2088B}" srcOrd="1" destOrd="0" presId="urn:microsoft.com/office/officeart/2005/8/layout/orgChart1"/>
    <dgm:cxn modelId="{76178A1B-EDEE-F843-BC51-48AAAFD1F49F}" type="presParOf" srcId="{85FD7664-7204-AF40-A51E-864C29D4A468}" destId="{80B3EA73-E948-8F45-BCD8-D11B18C52E9A}" srcOrd="2" destOrd="0" presId="urn:microsoft.com/office/officeart/2005/8/layout/orgChart1"/>
    <dgm:cxn modelId="{033130E1-4D84-AC48-9C91-5F122AD6A3E2}" type="presParOf" srcId="{6CB8E51C-7027-944D-852C-2B17EA70190E}" destId="{4B40BFB7-2687-0845-BD25-0A25D939A87B}" srcOrd="2" destOrd="0" presId="urn:microsoft.com/office/officeart/2005/8/layout/orgChart1"/>
    <dgm:cxn modelId="{36A04A5B-7186-604A-9954-564F9EE3EE99}" type="presParOf" srcId="{040D3988-2E03-FF49-BF77-5D256ACAE909}" destId="{EAB5B2F7-F8E6-7249-91C9-32A992429C95}" srcOrd="2" destOrd="0" presId="urn:microsoft.com/office/officeart/2005/8/layout/orgChart1"/>
    <dgm:cxn modelId="{3BCF4BCE-9817-8C40-BAF1-BB6C05BD2A29}" type="presParOf" srcId="{040D3988-2E03-FF49-BF77-5D256ACAE909}" destId="{D181E97A-4584-8447-8C42-6CD29F2C9ADD}" srcOrd="3" destOrd="0" presId="urn:microsoft.com/office/officeart/2005/8/layout/orgChart1"/>
    <dgm:cxn modelId="{EE25F3AD-3E90-2F44-B8CC-BCBEBE9DAEB6}" type="presParOf" srcId="{D181E97A-4584-8447-8C42-6CD29F2C9ADD}" destId="{0205E38A-4EB9-534D-9DEA-7C00F5243CA6}" srcOrd="0" destOrd="0" presId="urn:microsoft.com/office/officeart/2005/8/layout/orgChart1"/>
    <dgm:cxn modelId="{E08B1010-55ED-DF44-8747-3ACE8F8C7E52}" type="presParOf" srcId="{0205E38A-4EB9-534D-9DEA-7C00F5243CA6}" destId="{0DF2E39F-FA74-824F-9FC6-328061C95ED6}" srcOrd="0" destOrd="0" presId="urn:microsoft.com/office/officeart/2005/8/layout/orgChart1"/>
    <dgm:cxn modelId="{D8D775B2-DF40-284C-AEA9-EC451A72E5C2}" type="presParOf" srcId="{0205E38A-4EB9-534D-9DEA-7C00F5243CA6}" destId="{05955587-F835-2441-866A-C8FB8BAEF16F}" srcOrd="1" destOrd="0" presId="urn:microsoft.com/office/officeart/2005/8/layout/orgChart1"/>
    <dgm:cxn modelId="{1563CCBE-3126-BF4F-8599-2419093775FD}" type="presParOf" srcId="{D181E97A-4584-8447-8C42-6CD29F2C9ADD}" destId="{B7DC5ADA-C54F-574C-8191-AC6A0447377A}" srcOrd="1" destOrd="0" presId="urn:microsoft.com/office/officeart/2005/8/layout/orgChart1"/>
    <dgm:cxn modelId="{8071D764-9CAE-C34C-86A9-B8BCAE2E8472}" type="presParOf" srcId="{B7DC5ADA-C54F-574C-8191-AC6A0447377A}" destId="{AC36BF05-40B9-2849-AC4C-B1ED2B171AEF}" srcOrd="0" destOrd="0" presId="urn:microsoft.com/office/officeart/2005/8/layout/orgChart1"/>
    <dgm:cxn modelId="{5A2FB5FD-37E9-BA45-A70C-8FEEE80A8CD2}" type="presParOf" srcId="{B7DC5ADA-C54F-574C-8191-AC6A0447377A}" destId="{8F0A1537-B753-1348-8B8E-287949E153AB}" srcOrd="1" destOrd="0" presId="urn:microsoft.com/office/officeart/2005/8/layout/orgChart1"/>
    <dgm:cxn modelId="{084E8766-6033-A042-A2C8-F831899A0257}" type="presParOf" srcId="{8F0A1537-B753-1348-8B8E-287949E153AB}" destId="{A8F017ED-BB6F-DD43-80F7-2E1FEA49D9F2}" srcOrd="0" destOrd="0" presId="urn:microsoft.com/office/officeart/2005/8/layout/orgChart1"/>
    <dgm:cxn modelId="{F659258A-BE34-694B-9EB1-3B1A8346243D}" type="presParOf" srcId="{A8F017ED-BB6F-DD43-80F7-2E1FEA49D9F2}" destId="{5DC95B7A-DB44-D343-8421-BB0748754277}" srcOrd="0" destOrd="0" presId="urn:microsoft.com/office/officeart/2005/8/layout/orgChart1"/>
    <dgm:cxn modelId="{E39CE9F1-41EE-1141-9D20-0C2FC3456EDF}" type="presParOf" srcId="{A8F017ED-BB6F-DD43-80F7-2E1FEA49D9F2}" destId="{79CE1D33-596C-F048-A4CF-F6995D8FA8B1}" srcOrd="1" destOrd="0" presId="urn:microsoft.com/office/officeart/2005/8/layout/orgChart1"/>
    <dgm:cxn modelId="{6A78CC23-3037-6943-9DD6-BB20207BBCB4}" type="presParOf" srcId="{8F0A1537-B753-1348-8B8E-287949E153AB}" destId="{A367C35B-DA0C-B54C-AA1B-A44B9E8F80AB}" srcOrd="1" destOrd="0" presId="urn:microsoft.com/office/officeart/2005/8/layout/orgChart1"/>
    <dgm:cxn modelId="{1EEDCB37-675F-4C42-AAD7-CDBD3C750371}" type="presParOf" srcId="{8F0A1537-B753-1348-8B8E-287949E153AB}" destId="{62E859E5-7288-E748-A868-428D9A51FC9E}" srcOrd="2" destOrd="0" presId="urn:microsoft.com/office/officeart/2005/8/layout/orgChart1"/>
    <dgm:cxn modelId="{9A2BE582-4DE9-264D-92E8-BF71BC23EDFF}" type="presParOf" srcId="{B7DC5ADA-C54F-574C-8191-AC6A0447377A}" destId="{CD336976-1DFB-684E-AF65-7A609EBFD679}" srcOrd="2" destOrd="0" presId="urn:microsoft.com/office/officeart/2005/8/layout/orgChart1"/>
    <dgm:cxn modelId="{EAB838DF-1E6E-624B-BA8A-9A458492BE82}" type="presParOf" srcId="{B7DC5ADA-C54F-574C-8191-AC6A0447377A}" destId="{4A6712B4-7D9D-C040-9F2E-E481C66A102B}" srcOrd="3" destOrd="0" presId="urn:microsoft.com/office/officeart/2005/8/layout/orgChart1"/>
    <dgm:cxn modelId="{29D24264-7749-3442-86D0-362CA8885BD7}" type="presParOf" srcId="{4A6712B4-7D9D-C040-9F2E-E481C66A102B}" destId="{2508AFA8-09C3-E14C-90DB-172CBF1849E5}" srcOrd="0" destOrd="0" presId="urn:microsoft.com/office/officeart/2005/8/layout/orgChart1"/>
    <dgm:cxn modelId="{D799C48C-5B4D-F34E-883E-665BEA55B9D1}" type="presParOf" srcId="{2508AFA8-09C3-E14C-90DB-172CBF1849E5}" destId="{823A8912-31B6-C442-AC7E-22939F0D72B8}" srcOrd="0" destOrd="0" presId="urn:microsoft.com/office/officeart/2005/8/layout/orgChart1"/>
    <dgm:cxn modelId="{19C7DC35-C9CE-0D4B-A393-2F9E74D55F4B}" type="presParOf" srcId="{2508AFA8-09C3-E14C-90DB-172CBF1849E5}" destId="{A2066269-BE41-144F-A269-B3BD2D32AD51}" srcOrd="1" destOrd="0" presId="urn:microsoft.com/office/officeart/2005/8/layout/orgChart1"/>
    <dgm:cxn modelId="{C878829D-66C9-9F4C-BEC3-1FD705D31E1B}" type="presParOf" srcId="{4A6712B4-7D9D-C040-9F2E-E481C66A102B}" destId="{22089567-B5A5-6642-876F-73FE54673541}" srcOrd="1" destOrd="0" presId="urn:microsoft.com/office/officeart/2005/8/layout/orgChart1"/>
    <dgm:cxn modelId="{3FFB82DF-6970-1B4D-B095-6CC111C86E75}" type="presParOf" srcId="{4A6712B4-7D9D-C040-9F2E-E481C66A102B}" destId="{14CA212F-C0EC-AC48-A8D9-04E304E76968}" srcOrd="2" destOrd="0" presId="urn:microsoft.com/office/officeart/2005/8/layout/orgChart1"/>
    <dgm:cxn modelId="{C6237D89-339C-E64B-A163-525DDF0FBACA}" type="presParOf" srcId="{D181E97A-4584-8447-8C42-6CD29F2C9ADD}" destId="{82DDF645-7172-A14F-AD8E-89A5D9B80D03}" srcOrd="2" destOrd="0" presId="urn:microsoft.com/office/officeart/2005/8/layout/orgChart1"/>
    <dgm:cxn modelId="{7E8595B2-3615-DE48-9D91-A1275335CC4A}" type="presParOf" srcId="{040D3988-2E03-FF49-BF77-5D256ACAE909}" destId="{619B1921-4DD8-DC4A-A8A7-406742E951EE}" srcOrd="4" destOrd="0" presId="urn:microsoft.com/office/officeart/2005/8/layout/orgChart1"/>
    <dgm:cxn modelId="{821C074F-B858-5541-A3BD-1F270CC98CFE}" type="presParOf" srcId="{040D3988-2E03-FF49-BF77-5D256ACAE909}" destId="{8F217FA8-84A7-AE42-B86A-1E2F6DD213FA}" srcOrd="5" destOrd="0" presId="urn:microsoft.com/office/officeart/2005/8/layout/orgChart1"/>
    <dgm:cxn modelId="{DB3B86AB-223F-0442-8DAF-CD09F55FCE39}" type="presParOf" srcId="{8F217FA8-84A7-AE42-B86A-1E2F6DD213FA}" destId="{C76933F8-2821-5D44-B8CE-F9795D20AB3B}" srcOrd="0" destOrd="0" presId="urn:microsoft.com/office/officeart/2005/8/layout/orgChart1"/>
    <dgm:cxn modelId="{B62473D5-D4C0-E84D-8161-92C4EABE4CE4}" type="presParOf" srcId="{C76933F8-2821-5D44-B8CE-F9795D20AB3B}" destId="{6BB05B7D-660F-414D-94CF-F8C488B13F7D}" srcOrd="0" destOrd="0" presId="urn:microsoft.com/office/officeart/2005/8/layout/orgChart1"/>
    <dgm:cxn modelId="{82700C45-25A9-6647-8BAD-84B125073AD7}" type="presParOf" srcId="{C76933F8-2821-5D44-B8CE-F9795D20AB3B}" destId="{F54306A8-663E-334A-B7C1-26DBF82D53A4}" srcOrd="1" destOrd="0" presId="urn:microsoft.com/office/officeart/2005/8/layout/orgChart1"/>
    <dgm:cxn modelId="{CB960B42-C349-E54A-B1C0-60355453D40B}" type="presParOf" srcId="{8F217FA8-84A7-AE42-B86A-1E2F6DD213FA}" destId="{D97E65DB-CAAD-7D40-BE5D-5C91A974C1D9}" srcOrd="1" destOrd="0" presId="urn:microsoft.com/office/officeart/2005/8/layout/orgChart1"/>
    <dgm:cxn modelId="{DAD640E5-4EDA-D14F-AD50-EDB983F57AD2}" type="presParOf" srcId="{D97E65DB-CAAD-7D40-BE5D-5C91A974C1D9}" destId="{889D64BD-E4A1-F940-B8F6-326698AE0652}" srcOrd="0" destOrd="0" presId="urn:microsoft.com/office/officeart/2005/8/layout/orgChart1"/>
    <dgm:cxn modelId="{F661FF8F-3871-7946-AD10-7533439177B0}" type="presParOf" srcId="{D97E65DB-CAAD-7D40-BE5D-5C91A974C1D9}" destId="{36356079-5F56-D44B-A0D3-2C862D2B5B0B}" srcOrd="1" destOrd="0" presId="urn:microsoft.com/office/officeart/2005/8/layout/orgChart1"/>
    <dgm:cxn modelId="{70982036-1930-6B4B-A4C2-A0C63B360400}" type="presParOf" srcId="{36356079-5F56-D44B-A0D3-2C862D2B5B0B}" destId="{AE40EA92-628D-BA44-8F69-4AFDCAF9A015}" srcOrd="0" destOrd="0" presId="urn:microsoft.com/office/officeart/2005/8/layout/orgChart1"/>
    <dgm:cxn modelId="{F0FE7E50-0807-A54C-8243-29BEE5A7F893}" type="presParOf" srcId="{AE40EA92-628D-BA44-8F69-4AFDCAF9A015}" destId="{6ABC0011-0064-ED45-BC46-ADD68F36D845}" srcOrd="0" destOrd="0" presId="urn:microsoft.com/office/officeart/2005/8/layout/orgChart1"/>
    <dgm:cxn modelId="{952AD6BE-DE49-3C4E-8901-DDF45C499E98}" type="presParOf" srcId="{AE40EA92-628D-BA44-8F69-4AFDCAF9A015}" destId="{13CBC474-EB48-014C-9AA7-F0024F7F802B}" srcOrd="1" destOrd="0" presId="urn:microsoft.com/office/officeart/2005/8/layout/orgChart1"/>
    <dgm:cxn modelId="{FDF05B41-A44E-EE41-B05F-7615999319AF}" type="presParOf" srcId="{36356079-5F56-D44B-A0D3-2C862D2B5B0B}" destId="{7361F462-0B54-C641-9DCD-98ACACF9B761}" srcOrd="1" destOrd="0" presId="urn:microsoft.com/office/officeart/2005/8/layout/orgChart1"/>
    <dgm:cxn modelId="{A25E4310-F2B0-3E4F-A3D8-7ADF0F74FFA7}" type="presParOf" srcId="{36356079-5F56-D44B-A0D3-2C862D2B5B0B}" destId="{C17EA259-D649-044F-B2B9-04443DD30018}" srcOrd="2" destOrd="0" presId="urn:microsoft.com/office/officeart/2005/8/layout/orgChart1"/>
    <dgm:cxn modelId="{05D0DD73-133C-B042-B632-31740CA778BF}" type="presParOf" srcId="{D97E65DB-CAAD-7D40-BE5D-5C91A974C1D9}" destId="{71C37951-ACEF-A940-8468-B864FA47DC35}" srcOrd="2" destOrd="0" presId="urn:microsoft.com/office/officeart/2005/8/layout/orgChart1"/>
    <dgm:cxn modelId="{4E21BBD7-F492-2944-993A-F73B92B78FD2}" type="presParOf" srcId="{D97E65DB-CAAD-7D40-BE5D-5C91A974C1D9}" destId="{FDA6B6A0-5107-3B40-AA7E-F53C4C048AB9}" srcOrd="3" destOrd="0" presId="urn:microsoft.com/office/officeart/2005/8/layout/orgChart1"/>
    <dgm:cxn modelId="{37430AA0-8694-4544-BBA6-B4E17E74150C}" type="presParOf" srcId="{FDA6B6A0-5107-3B40-AA7E-F53C4C048AB9}" destId="{696F08B8-BC30-C643-8865-1F7E388AB532}" srcOrd="0" destOrd="0" presId="urn:microsoft.com/office/officeart/2005/8/layout/orgChart1"/>
    <dgm:cxn modelId="{D3BC9150-1516-EE40-9138-B6B5E74BCB3E}" type="presParOf" srcId="{696F08B8-BC30-C643-8865-1F7E388AB532}" destId="{6DFACFA0-FC22-FE4F-97C1-B1E56D07D634}" srcOrd="0" destOrd="0" presId="urn:microsoft.com/office/officeart/2005/8/layout/orgChart1"/>
    <dgm:cxn modelId="{3A000661-408A-1341-A36F-AE8108AE34DE}" type="presParOf" srcId="{696F08B8-BC30-C643-8865-1F7E388AB532}" destId="{FC3925FE-2697-B64B-BD02-BD10E4796C1E}" srcOrd="1" destOrd="0" presId="urn:microsoft.com/office/officeart/2005/8/layout/orgChart1"/>
    <dgm:cxn modelId="{4A06C654-CDD1-EE46-8618-4633DFA7CA44}" type="presParOf" srcId="{FDA6B6A0-5107-3B40-AA7E-F53C4C048AB9}" destId="{4A4ADBBD-D7C4-9F40-B748-29B837F4A754}" srcOrd="1" destOrd="0" presId="urn:microsoft.com/office/officeart/2005/8/layout/orgChart1"/>
    <dgm:cxn modelId="{C6F1597F-25EF-7F40-B06B-F02284E90B3D}" type="presParOf" srcId="{FDA6B6A0-5107-3B40-AA7E-F53C4C048AB9}" destId="{09CE0EDC-5F9D-5F49-AE99-341184E09218}" srcOrd="2" destOrd="0" presId="urn:microsoft.com/office/officeart/2005/8/layout/orgChart1"/>
    <dgm:cxn modelId="{B363879E-03D9-D143-91C5-C76329470A64}" type="presParOf" srcId="{D97E65DB-CAAD-7D40-BE5D-5C91A974C1D9}" destId="{03645598-44E0-F44A-8333-0582B7F36BDD}" srcOrd="4" destOrd="0" presId="urn:microsoft.com/office/officeart/2005/8/layout/orgChart1"/>
    <dgm:cxn modelId="{245748A5-53B6-0240-B549-C3418F5F0871}" type="presParOf" srcId="{D97E65DB-CAAD-7D40-BE5D-5C91A974C1D9}" destId="{38BB6844-D61F-FC44-9F17-93849E06B0DF}" srcOrd="5" destOrd="0" presId="urn:microsoft.com/office/officeart/2005/8/layout/orgChart1"/>
    <dgm:cxn modelId="{03B90A5A-7B84-4142-A209-1EEA9A0C9148}" type="presParOf" srcId="{38BB6844-D61F-FC44-9F17-93849E06B0DF}" destId="{D487B30C-9A7B-0249-AA51-78C04CEBF429}" srcOrd="0" destOrd="0" presId="urn:microsoft.com/office/officeart/2005/8/layout/orgChart1"/>
    <dgm:cxn modelId="{E97DDF46-287F-9E4A-AAF9-8BBD0524E386}" type="presParOf" srcId="{D487B30C-9A7B-0249-AA51-78C04CEBF429}" destId="{49261832-479C-6941-BF4A-87FB72492552}" srcOrd="0" destOrd="0" presId="urn:microsoft.com/office/officeart/2005/8/layout/orgChart1"/>
    <dgm:cxn modelId="{18AF15BD-83D0-FE42-B902-FB03D36C1165}" type="presParOf" srcId="{D487B30C-9A7B-0249-AA51-78C04CEBF429}" destId="{1783B758-535A-8445-9701-F610148CA587}" srcOrd="1" destOrd="0" presId="urn:microsoft.com/office/officeart/2005/8/layout/orgChart1"/>
    <dgm:cxn modelId="{C10EB771-FFA5-C74C-AF3A-B2581BD3AA42}" type="presParOf" srcId="{38BB6844-D61F-FC44-9F17-93849E06B0DF}" destId="{3C42D653-7F56-B341-81E1-03D977E55F29}" srcOrd="1" destOrd="0" presId="urn:microsoft.com/office/officeart/2005/8/layout/orgChart1"/>
    <dgm:cxn modelId="{77BF32C8-FE23-EB49-ADB8-28FDED698545}" type="presParOf" srcId="{38BB6844-D61F-FC44-9F17-93849E06B0DF}" destId="{984C6D2E-D94F-6846-B438-5C6A3FAAFF96}" srcOrd="2" destOrd="0" presId="urn:microsoft.com/office/officeart/2005/8/layout/orgChart1"/>
    <dgm:cxn modelId="{2EA76114-248A-084C-BBE4-FBCB8699BB82}" type="presParOf" srcId="{8F217FA8-84A7-AE42-B86A-1E2F6DD213FA}" destId="{5BFC41C5-F764-DD45-87CB-B73014B41B86}" srcOrd="2" destOrd="0" presId="urn:microsoft.com/office/officeart/2005/8/layout/orgChart1"/>
    <dgm:cxn modelId="{162990AE-F51B-2E4B-9E54-16868817963A}" type="presParOf" srcId="{040D3988-2E03-FF49-BF77-5D256ACAE909}" destId="{E1A13BB3-CA2D-AA4D-9A88-436D9935C689}" srcOrd="6" destOrd="0" presId="urn:microsoft.com/office/officeart/2005/8/layout/orgChart1"/>
    <dgm:cxn modelId="{503CF53E-C53F-A349-8A3F-3D92843CF6FC}" type="presParOf" srcId="{040D3988-2E03-FF49-BF77-5D256ACAE909}" destId="{B6F9EDBC-4B5A-5045-B82A-E857FC8D858B}" srcOrd="7" destOrd="0" presId="urn:microsoft.com/office/officeart/2005/8/layout/orgChart1"/>
    <dgm:cxn modelId="{C287BBF8-4B8A-F743-A861-98E2FEB91778}" type="presParOf" srcId="{B6F9EDBC-4B5A-5045-B82A-E857FC8D858B}" destId="{1BDF0A03-919E-3A47-AB76-557452D4C701}" srcOrd="0" destOrd="0" presId="urn:microsoft.com/office/officeart/2005/8/layout/orgChart1"/>
    <dgm:cxn modelId="{A1661C2F-A1A3-A449-8CF2-347EF8096D1F}" type="presParOf" srcId="{1BDF0A03-919E-3A47-AB76-557452D4C701}" destId="{B0155956-9BC9-B04E-BD49-FFB002592758}" srcOrd="0" destOrd="0" presId="urn:microsoft.com/office/officeart/2005/8/layout/orgChart1"/>
    <dgm:cxn modelId="{5DC04EB7-A0A4-7D4E-862B-A9111EC6D9F4}" type="presParOf" srcId="{1BDF0A03-919E-3A47-AB76-557452D4C701}" destId="{8F9DB9B6-81A4-9F48-A2BF-55E66DBBE2D9}" srcOrd="1" destOrd="0" presId="urn:microsoft.com/office/officeart/2005/8/layout/orgChart1"/>
    <dgm:cxn modelId="{C207D2C2-95E7-9F45-9A96-17FD6A22B721}" type="presParOf" srcId="{B6F9EDBC-4B5A-5045-B82A-E857FC8D858B}" destId="{50C74B33-6A18-B642-9FC3-C65AB574D8FB}" srcOrd="1" destOrd="0" presId="urn:microsoft.com/office/officeart/2005/8/layout/orgChart1"/>
    <dgm:cxn modelId="{043A7A31-BE0A-4A42-A241-53186C29689D}" type="presParOf" srcId="{50C74B33-6A18-B642-9FC3-C65AB574D8FB}" destId="{F4FAA928-A952-7643-8937-906C4306D261}" srcOrd="0" destOrd="0" presId="urn:microsoft.com/office/officeart/2005/8/layout/orgChart1"/>
    <dgm:cxn modelId="{CB9F30BB-D01C-DC4D-A6EF-FD912FD2DA8D}" type="presParOf" srcId="{50C74B33-6A18-B642-9FC3-C65AB574D8FB}" destId="{83A815A0-F3FF-544C-BE1E-0E478E9EEC44}" srcOrd="1" destOrd="0" presId="urn:microsoft.com/office/officeart/2005/8/layout/orgChart1"/>
    <dgm:cxn modelId="{4B7C827B-8229-4C45-815A-C22AB6FE4EEF}" type="presParOf" srcId="{83A815A0-F3FF-544C-BE1E-0E478E9EEC44}" destId="{C153F5DE-AF4C-8E43-81F7-A471377F1B7E}" srcOrd="0" destOrd="0" presId="urn:microsoft.com/office/officeart/2005/8/layout/orgChart1"/>
    <dgm:cxn modelId="{E4C33209-D4CA-F645-A21E-95782E59EECC}" type="presParOf" srcId="{C153F5DE-AF4C-8E43-81F7-A471377F1B7E}" destId="{52483007-8518-6944-95F0-93DDD0B34256}" srcOrd="0" destOrd="0" presId="urn:microsoft.com/office/officeart/2005/8/layout/orgChart1"/>
    <dgm:cxn modelId="{FEA272C8-C1DA-FB47-8AB6-2149B238A668}" type="presParOf" srcId="{C153F5DE-AF4C-8E43-81F7-A471377F1B7E}" destId="{5E960B41-8673-9D46-A0AE-7455E969A085}" srcOrd="1" destOrd="0" presId="urn:microsoft.com/office/officeart/2005/8/layout/orgChart1"/>
    <dgm:cxn modelId="{891A5465-268D-C342-AFB3-3EF969316459}" type="presParOf" srcId="{83A815A0-F3FF-544C-BE1E-0E478E9EEC44}" destId="{7D45B5B8-82B0-B244-B21A-B4F370B3E185}" srcOrd="1" destOrd="0" presId="urn:microsoft.com/office/officeart/2005/8/layout/orgChart1"/>
    <dgm:cxn modelId="{171BD097-7C07-874B-A9F8-C77E327E06EF}" type="presParOf" srcId="{83A815A0-F3FF-544C-BE1E-0E478E9EEC44}" destId="{7C3B0413-7665-1E46-972E-C7EC3AB2DA58}" srcOrd="2" destOrd="0" presId="urn:microsoft.com/office/officeart/2005/8/layout/orgChart1"/>
    <dgm:cxn modelId="{3EF609AE-44EA-EF48-BBDC-44F7F935F10D}" type="presParOf" srcId="{50C74B33-6A18-B642-9FC3-C65AB574D8FB}" destId="{3612ADEE-0B63-9A47-8BE3-C261FEBFD9A3}" srcOrd="2" destOrd="0" presId="urn:microsoft.com/office/officeart/2005/8/layout/orgChart1"/>
    <dgm:cxn modelId="{DCC22A38-8DD2-2B4E-A6FA-3B6BC6AEE01E}" type="presParOf" srcId="{50C74B33-6A18-B642-9FC3-C65AB574D8FB}" destId="{16319C0B-1F70-1044-9BCE-A0DF6B759BD5}" srcOrd="3" destOrd="0" presId="urn:microsoft.com/office/officeart/2005/8/layout/orgChart1"/>
    <dgm:cxn modelId="{F9F4E7CD-8165-C74D-9BCC-9DBBCF89DBEE}" type="presParOf" srcId="{16319C0B-1F70-1044-9BCE-A0DF6B759BD5}" destId="{DCA55970-F643-EE4E-946E-56C84BCD02C2}" srcOrd="0" destOrd="0" presId="urn:microsoft.com/office/officeart/2005/8/layout/orgChart1"/>
    <dgm:cxn modelId="{BB3D2216-F5A7-F54D-BFD0-D6C216B7C4CC}" type="presParOf" srcId="{DCA55970-F643-EE4E-946E-56C84BCD02C2}" destId="{4C944FD1-9268-F54B-BF92-C1E2B8EF6AC3}" srcOrd="0" destOrd="0" presId="urn:microsoft.com/office/officeart/2005/8/layout/orgChart1"/>
    <dgm:cxn modelId="{AC38045B-1FDF-C444-B6AD-35452E622882}" type="presParOf" srcId="{DCA55970-F643-EE4E-946E-56C84BCD02C2}" destId="{6129122A-B67C-CD49-9554-1FFA45D2FDE1}" srcOrd="1" destOrd="0" presId="urn:microsoft.com/office/officeart/2005/8/layout/orgChart1"/>
    <dgm:cxn modelId="{ADE6BF6D-85EA-3148-8370-20CD4C68C2C6}" type="presParOf" srcId="{16319C0B-1F70-1044-9BCE-A0DF6B759BD5}" destId="{D678F4AD-BCBF-5F4B-8109-4450F638C9D1}" srcOrd="1" destOrd="0" presId="urn:microsoft.com/office/officeart/2005/8/layout/orgChart1"/>
    <dgm:cxn modelId="{2D07577D-F63B-8A41-AD6B-EF0C7E8EB99E}" type="presParOf" srcId="{16319C0B-1F70-1044-9BCE-A0DF6B759BD5}" destId="{1DA8A8FB-184F-DB4F-B7D2-1FCB3BA3A7F2}" srcOrd="2" destOrd="0" presId="urn:microsoft.com/office/officeart/2005/8/layout/orgChart1"/>
    <dgm:cxn modelId="{4CDBB921-22D9-C947-A134-CAC229583D6E}" type="presParOf" srcId="{B6F9EDBC-4B5A-5045-B82A-E857FC8D858B}" destId="{07D459D6-EDCD-3F48-9295-3CEAF06BAF3C}" srcOrd="2" destOrd="0" presId="urn:microsoft.com/office/officeart/2005/8/layout/orgChart1"/>
    <dgm:cxn modelId="{D88CFF19-379D-FC42-A598-E9753B4904B6}" type="presParOf" srcId="{7151C45C-2685-A444-8284-12B024C8418D}" destId="{31AF0E92-4687-B34D-876E-ECF43B57ECA7}"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612ADEE-0B63-9A47-8BE3-C261FEBFD9A3}">
      <dsp:nvSpPr>
        <dsp:cNvPr id="0" name=""/>
        <dsp:cNvSpPr/>
      </dsp:nvSpPr>
      <dsp:spPr>
        <a:xfrm>
          <a:off x="3971663" y="1099372"/>
          <a:ext cx="214178" cy="1103530"/>
        </a:xfrm>
        <a:custGeom>
          <a:avLst/>
          <a:gdLst/>
          <a:ahLst/>
          <a:cxnLst/>
          <a:rect l="0" t="0" r="0" b="0"/>
          <a:pathLst>
            <a:path>
              <a:moveTo>
                <a:pt x="0" y="0"/>
              </a:moveTo>
              <a:lnTo>
                <a:pt x="0" y="1103530"/>
              </a:lnTo>
              <a:lnTo>
                <a:pt x="214178" y="110353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4FAA928-A952-7643-8937-906C4306D261}">
      <dsp:nvSpPr>
        <dsp:cNvPr id="0" name=""/>
        <dsp:cNvSpPr/>
      </dsp:nvSpPr>
      <dsp:spPr>
        <a:xfrm>
          <a:off x="3971663" y="1099372"/>
          <a:ext cx="214178" cy="427170"/>
        </a:xfrm>
        <a:custGeom>
          <a:avLst/>
          <a:gdLst/>
          <a:ahLst/>
          <a:cxnLst/>
          <a:rect l="0" t="0" r="0" b="0"/>
          <a:pathLst>
            <a:path>
              <a:moveTo>
                <a:pt x="0" y="0"/>
              </a:moveTo>
              <a:lnTo>
                <a:pt x="0" y="427170"/>
              </a:lnTo>
              <a:lnTo>
                <a:pt x="214178" y="42717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1A13BB3-CA2D-AA4D-9A88-436D9935C689}">
      <dsp:nvSpPr>
        <dsp:cNvPr id="0" name=""/>
        <dsp:cNvSpPr/>
      </dsp:nvSpPr>
      <dsp:spPr>
        <a:xfrm>
          <a:off x="2873355" y="399934"/>
          <a:ext cx="1598557" cy="153324"/>
        </a:xfrm>
        <a:custGeom>
          <a:avLst/>
          <a:gdLst/>
          <a:ahLst/>
          <a:cxnLst/>
          <a:rect l="0" t="0" r="0" b="0"/>
          <a:pathLst>
            <a:path>
              <a:moveTo>
                <a:pt x="0" y="0"/>
              </a:moveTo>
              <a:lnTo>
                <a:pt x="0" y="76677"/>
              </a:lnTo>
              <a:lnTo>
                <a:pt x="1598557" y="76677"/>
              </a:lnTo>
              <a:lnTo>
                <a:pt x="1598557" y="1533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3645598-44E0-F44A-8333-0582B7F36BDD}">
      <dsp:nvSpPr>
        <dsp:cNvPr id="0" name=""/>
        <dsp:cNvSpPr/>
      </dsp:nvSpPr>
      <dsp:spPr>
        <a:xfrm>
          <a:off x="3062915" y="1095824"/>
          <a:ext cx="109496" cy="1984928"/>
        </a:xfrm>
        <a:custGeom>
          <a:avLst/>
          <a:gdLst/>
          <a:ahLst/>
          <a:cxnLst/>
          <a:rect l="0" t="0" r="0" b="0"/>
          <a:pathLst>
            <a:path>
              <a:moveTo>
                <a:pt x="0" y="0"/>
              </a:moveTo>
              <a:lnTo>
                <a:pt x="0" y="1984928"/>
              </a:lnTo>
              <a:lnTo>
                <a:pt x="109496" y="19849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1C37951-ACEF-A940-8468-B864FA47DC35}">
      <dsp:nvSpPr>
        <dsp:cNvPr id="0" name=""/>
        <dsp:cNvSpPr/>
      </dsp:nvSpPr>
      <dsp:spPr>
        <a:xfrm>
          <a:off x="3062915" y="1095824"/>
          <a:ext cx="175967" cy="1379690"/>
        </a:xfrm>
        <a:custGeom>
          <a:avLst/>
          <a:gdLst/>
          <a:ahLst/>
          <a:cxnLst/>
          <a:rect l="0" t="0" r="0" b="0"/>
          <a:pathLst>
            <a:path>
              <a:moveTo>
                <a:pt x="0" y="0"/>
              </a:moveTo>
              <a:lnTo>
                <a:pt x="0" y="1379690"/>
              </a:lnTo>
              <a:lnTo>
                <a:pt x="175967" y="137969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89D64BD-E4A1-F940-B8F6-326698AE0652}">
      <dsp:nvSpPr>
        <dsp:cNvPr id="0" name=""/>
        <dsp:cNvSpPr/>
      </dsp:nvSpPr>
      <dsp:spPr>
        <a:xfrm>
          <a:off x="3062915" y="1095824"/>
          <a:ext cx="116963" cy="516336"/>
        </a:xfrm>
        <a:custGeom>
          <a:avLst/>
          <a:gdLst/>
          <a:ahLst/>
          <a:cxnLst/>
          <a:rect l="0" t="0" r="0" b="0"/>
          <a:pathLst>
            <a:path>
              <a:moveTo>
                <a:pt x="0" y="0"/>
              </a:moveTo>
              <a:lnTo>
                <a:pt x="0" y="516336"/>
              </a:lnTo>
              <a:lnTo>
                <a:pt x="116963" y="51633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19B1921-4DD8-DC4A-A8A7-406742E951EE}">
      <dsp:nvSpPr>
        <dsp:cNvPr id="0" name=""/>
        <dsp:cNvSpPr/>
      </dsp:nvSpPr>
      <dsp:spPr>
        <a:xfrm>
          <a:off x="2873355" y="399934"/>
          <a:ext cx="481549" cy="153324"/>
        </a:xfrm>
        <a:custGeom>
          <a:avLst/>
          <a:gdLst/>
          <a:ahLst/>
          <a:cxnLst/>
          <a:rect l="0" t="0" r="0" b="0"/>
          <a:pathLst>
            <a:path>
              <a:moveTo>
                <a:pt x="0" y="0"/>
              </a:moveTo>
              <a:lnTo>
                <a:pt x="0" y="76677"/>
              </a:lnTo>
              <a:lnTo>
                <a:pt x="481549" y="76677"/>
              </a:lnTo>
              <a:lnTo>
                <a:pt x="481549" y="15332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D336976-1DFB-684E-AF65-7A609EBFD679}">
      <dsp:nvSpPr>
        <dsp:cNvPr id="0" name=""/>
        <dsp:cNvSpPr/>
      </dsp:nvSpPr>
      <dsp:spPr>
        <a:xfrm>
          <a:off x="1877053" y="1168329"/>
          <a:ext cx="130536" cy="1293049"/>
        </a:xfrm>
        <a:custGeom>
          <a:avLst/>
          <a:gdLst/>
          <a:ahLst/>
          <a:cxnLst/>
          <a:rect l="0" t="0" r="0" b="0"/>
          <a:pathLst>
            <a:path>
              <a:moveTo>
                <a:pt x="0" y="0"/>
              </a:moveTo>
              <a:lnTo>
                <a:pt x="0" y="1293049"/>
              </a:lnTo>
              <a:lnTo>
                <a:pt x="130536" y="1293049"/>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C36BF05-40B9-2849-AC4C-B1ED2B171AEF}">
      <dsp:nvSpPr>
        <dsp:cNvPr id="0" name=""/>
        <dsp:cNvSpPr/>
      </dsp:nvSpPr>
      <dsp:spPr>
        <a:xfrm>
          <a:off x="1877053" y="1168329"/>
          <a:ext cx="130536" cy="506168"/>
        </a:xfrm>
        <a:custGeom>
          <a:avLst/>
          <a:gdLst/>
          <a:ahLst/>
          <a:cxnLst/>
          <a:rect l="0" t="0" r="0" b="0"/>
          <a:pathLst>
            <a:path>
              <a:moveTo>
                <a:pt x="0" y="0"/>
              </a:moveTo>
              <a:lnTo>
                <a:pt x="0" y="506168"/>
              </a:lnTo>
              <a:lnTo>
                <a:pt x="130536" y="50616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AB5B2F7-F8E6-7249-91C9-32A992429C95}">
      <dsp:nvSpPr>
        <dsp:cNvPr id="0" name=""/>
        <dsp:cNvSpPr/>
      </dsp:nvSpPr>
      <dsp:spPr>
        <a:xfrm>
          <a:off x="2307435" y="399934"/>
          <a:ext cx="565920" cy="112179"/>
        </a:xfrm>
        <a:custGeom>
          <a:avLst/>
          <a:gdLst/>
          <a:ahLst/>
          <a:cxnLst/>
          <a:rect l="0" t="0" r="0" b="0"/>
          <a:pathLst>
            <a:path>
              <a:moveTo>
                <a:pt x="565920" y="0"/>
              </a:moveTo>
              <a:lnTo>
                <a:pt x="565920" y="35532"/>
              </a:lnTo>
              <a:lnTo>
                <a:pt x="0" y="35532"/>
              </a:lnTo>
              <a:lnTo>
                <a:pt x="0" y="112179"/>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60EE96-96E0-2044-A484-8FC2BA0E1E57}">
      <dsp:nvSpPr>
        <dsp:cNvPr id="0" name=""/>
        <dsp:cNvSpPr/>
      </dsp:nvSpPr>
      <dsp:spPr>
        <a:xfrm>
          <a:off x="741738" y="1072330"/>
          <a:ext cx="103630" cy="1289460"/>
        </a:xfrm>
        <a:custGeom>
          <a:avLst/>
          <a:gdLst/>
          <a:ahLst/>
          <a:cxnLst/>
          <a:rect l="0" t="0" r="0" b="0"/>
          <a:pathLst>
            <a:path>
              <a:moveTo>
                <a:pt x="0" y="0"/>
              </a:moveTo>
              <a:lnTo>
                <a:pt x="0" y="1289460"/>
              </a:lnTo>
              <a:lnTo>
                <a:pt x="103630" y="12894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9F616D0-1C9F-FE41-9865-38AD43D523CF}">
      <dsp:nvSpPr>
        <dsp:cNvPr id="0" name=""/>
        <dsp:cNvSpPr/>
      </dsp:nvSpPr>
      <dsp:spPr>
        <a:xfrm>
          <a:off x="741738" y="1072330"/>
          <a:ext cx="103630" cy="529018"/>
        </a:xfrm>
        <a:custGeom>
          <a:avLst/>
          <a:gdLst/>
          <a:ahLst/>
          <a:cxnLst/>
          <a:rect l="0" t="0" r="0" b="0"/>
          <a:pathLst>
            <a:path>
              <a:moveTo>
                <a:pt x="0" y="0"/>
              </a:moveTo>
              <a:lnTo>
                <a:pt x="0" y="529018"/>
              </a:lnTo>
              <a:lnTo>
                <a:pt x="103630" y="52901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DD0592C-EDEF-914F-988A-48459D59952D}">
      <dsp:nvSpPr>
        <dsp:cNvPr id="0" name=""/>
        <dsp:cNvSpPr/>
      </dsp:nvSpPr>
      <dsp:spPr>
        <a:xfrm>
          <a:off x="1127795" y="399934"/>
          <a:ext cx="1745559" cy="132754"/>
        </a:xfrm>
        <a:custGeom>
          <a:avLst/>
          <a:gdLst/>
          <a:ahLst/>
          <a:cxnLst/>
          <a:rect l="0" t="0" r="0" b="0"/>
          <a:pathLst>
            <a:path>
              <a:moveTo>
                <a:pt x="1745559" y="0"/>
              </a:moveTo>
              <a:lnTo>
                <a:pt x="1745559" y="56106"/>
              </a:lnTo>
              <a:lnTo>
                <a:pt x="0" y="56106"/>
              </a:lnTo>
              <a:lnTo>
                <a:pt x="0" y="13275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70D8C7-BB40-AF41-AF4E-4F46327B7BA5}">
      <dsp:nvSpPr>
        <dsp:cNvPr id="0" name=""/>
        <dsp:cNvSpPr/>
      </dsp:nvSpPr>
      <dsp:spPr>
        <a:xfrm>
          <a:off x="2147818" y="0"/>
          <a:ext cx="1451072" cy="399934"/>
        </a:xfrm>
        <a:prstGeom prst="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Giám đốc</a:t>
          </a:r>
          <a:endParaRPr lang="en-US" sz="1400" kern="1200">
            <a:latin typeface="Times New Roman" panose="02020603050405020304" pitchFamily="18" charset="0"/>
            <a:cs typeface="Times New Roman" panose="02020603050405020304" pitchFamily="18" charset="0"/>
          </a:endParaRPr>
        </a:p>
      </dsp:txBody>
      <dsp:txXfrm>
        <a:off x="2147818" y="0"/>
        <a:ext cx="1451072" cy="399934"/>
      </dsp:txXfrm>
    </dsp:sp>
    <dsp:sp modelId="{37032329-FAA5-0A4D-8C3B-60AEAD87C962}">
      <dsp:nvSpPr>
        <dsp:cNvPr id="0" name=""/>
        <dsp:cNvSpPr/>
      </dsp:nvSpPr>
      <dsp:spPr>
        <a:xfrm>
          <a:off x="645224" y="532689"/>
          <a:ext cx="965143" cy="5396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Trưởng bộ phận KHCN</a:t>
          </a:r>
          <a:endParaRPr lang="en-VN" sz="1400" kern="1200">
            <a:latin typeface="Times New Roman" panose="02020603050405020304" pitchFamily="18" charset="0"/>
            <a:cs typeface="Times New Roman" panose="02020603050405020304" pitchFamily="18" charset="0"/>
          </a:endParaRPr>
        </a:p>
      </dsp:txBody>
      <dsp:txXfrm>
        <a:off x="645224" y="532689"/>
        <a:ext cx="965143" cy="539641"/>
      </dsp:txXfrm>
    </dsp:sp>
    <dsp:sp modelId="{9341E5F0-7F06-B442-8C33-AAD2010073F9}">
      <dsp:nvSpPr>
        <dsp:cNvPr id="0" name=""/>
        <dsp:cNvSpPr/>
      </dsp:nvSpPr>
      <dsp:spPr>
        <a:xfrm>
          <a:off x="845368" y="1246195"/>
          <a:ext cx="1008927" cy="71030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Chuyên viên QHKH</a:t>
          </a:r>
          <a:r>
            <a:rPr lang="en-US" sz="1400" i="1" kern="1200">
              <a:latin typeface="Times New Roman" panose="02020603050405020304" pitchFamily="18" charset="0"/>
              <a:cs typeface="Times New Roman" panose="02020603050405020304" pitchFamily="18" charset="0"/>
            </a:rPr>
            <a:t>CN 1</a:t>
          </a:r>
          <a:endParaRPr lang="en-VN" sz="1400" kern="1200">
            <a:latin typeface="Times New Roman" panose="02020603050405020304" pitchFamily="18" charset="0"/>
            <a:cs typeface="Times New Roman" panose="02020603050405020304" pitchFamily="18" charset="0"/>
          </a:endParaRPr>
        </a:p>
      </dsp:txBody>
      <dsp:txXfrm>
        <a:off x="845368" y="1246195"/>
        <a:ext cx="1008927" cy="710305"/>
      </dsp:txXfrm>
    </dsp:sp>
    <dsp:sp modelId="{30D70AB0-6BA7-214F-87AE-7069D484B93F}">
      <dsp:nvSpPr>
        <dsp:cNvPr id="0" name=""/>
        <dsp:cNvSpPr/>
      </dsp:nvSpPr>
      <dsp:spPr>
        <a:xfrm>
          <a:off x="845368" y="2109795"/>
          <a:ext cx="952003" cy="50398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Chuyên viên QHKH</a:t>
          </a:r>
          <a:r>
            <a:rPr lang="en-US" sz="1400" i="1" kern="1200">
              <a:latin typeface="Times New Roman" panose="02020603050405020304" pitchFamily="18" charset="0"/>
              <a:cs typeface="Times New Roman" panose="02020603050405020304" pitchFamily="18" charset="0"/>
            </a:rPr>
            <a:t>CN 2</a:t>
          </a:r>
          <a:endParaRPr lang="en-VN" sz="1400" kern="1200">
            <a:latin typeface="Times New Roman" panose="02020603050405020304" pitchFamily="18" charset="0"/>
            <a:cs typeface="Times New Roman" panose="02020603050405020304" pitchFamily="18" charset="0"/>
          </a:endParaRPr>
        </a:p>
      </dsp:txBody>
      <dsp:txXfrm>
        <a:off x="845368" y="2109795"/>
        <a:ext cx="952003" cy="503989"/>
      </dsp:txXfrm>
    </dsp:sp>
    <dsp:sp modelId="{0DF2E39F-FA74-824F-9FC6-328061C95ED6}">
      <dsp:nvSpPr>
        <dsp:cNvPr id="0" name=""/>
        <dsp:cNvSpPr/>
      </dsp:nvSpPr>
      <dsp:spPr>
        <a:xfrm>
          <a:off x="1769458" y="512114"/>
          <a:ext cx="1075953" cy="65621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Trưởng bộ phận KH</a:t>
          </a:r>
          <a:r>
            <a:rPr lang="en-US" sz="1400" i="1" kern="1200">
              <a:latin typeface="Times New Roman" panose="02020603050405020304" pitchFamily="18" charset="0"/>
              <a:cs typeface="Times New Roman" panose="02020603050405020304" pitchFamily="18" charset="0"/>
            </a:rPr>
            <a:t>DN</a:t>
          </a:r>
          <a:endParaRPr lang="en-VN" sz="1400" kern="1200">
            <a:latin typeface="Times New Roman" panose="02020603050405020304" pitchFamily="18" charset="0"/>
            <a:cs typeface="Times New Roman" panose="02020603050405020304" pitchFamily="18" charset="0"/>
          </a:endParaRPr>
        </a:p>
      </dsp:txBody>
      <dsp:txXfrm>
        <a:off x="1769458" y="512114"/>
        <a:ext cx="1075953" cy="656214"/>
      </dsp:txXfrm>
    </dsp:sp>
    <dsp:sp modelId="{5DC95B7A-DB44-D343-8421-BB0748754277}">
      <dsp:nvSpPr>
        <dsp:cNvPr id="0" name=""/>
        <dsp:cNvSpPr/>
      </dsp:nvSpPr>
      <dsp:spPr>
        <a:xfrm>
          <a:off x="2007590" y="1362768"/>
          <a:ext cx="1000496" cy="62345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Chuyên viên QHKH</a:t>
          </a:r>
          <a:r>
            <a:rPr lang="en-US" sz="1400" i="1" kern="1200">
              <a:latin typeface="Times New Roman" panose="02020603050405020304" pitchFamily="18" charset="0"/>
              <a:cs typeface="Times New Roman" panose="02020603050405020304" pitchFamily="18" charset="0"/>
            </a:rPr>
            <a:t>DN 1</a:t>
          </a:r>
          <a:endParaRPr lang="en-VN" sz="1400" kern="1200">
            <a:latin typeface="Times New Roman" panose="02020603050405020304" pitchFamily="18" charset="0"/>
            <a:cs typeface="Times New Roman" panose="02020603050405020304" pitchFamily="18" charset="0"/>
          </a:endParaRPr>
        </a:p>
      </dsp:txBody>
      <dsp:txXfrm>
        <a:off x="2007590" y="1362768"/>
        <a:ext cx="1000496" cy="623456"/>
      </dsp:txXfrm>
    </dsp:sp>
    <dsp:sp modelId="{823A8912-31B6-C442-AC7E-22939F0D72B8}">
      <dsp:nvSpPr>
        <dsp:cNvPr id="0" name=""/>
        <dsp:cNvSpPr/>
      </dsp:nvSpPr>
      <dsp:spPr>
        <a:xfrm>
          <a:off x="2007590" y="2139520"/>
          <a:ext cx="1011525" cy="643717"/>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Chuyên viên QHKH</a:t>
          </a:r>
          <a:r>
            <a:rPr lang="en-US" sz="1400" i="1" kern="1200">
              <a:latin typeface="Times New Roman" panose="02020603050405020304" pitchFamily="18" charset="0"/>
              <a:cs typeface="Times New Roman" panose="02020603050405020304" pitchFamily="18" charset="0"/>
            </a:rPr>
            <a:t>DN 2</a:t>
          </a:r>
          <a:endParaRPr lang="en-VN" sz="1400" kern="1200">
            <a:latin typeface="Times New Roman" panose="02020603050405020304" pitchFamily="18" charset="0"/>
            <a:cs typeface="Times New Roman" panose="02020603050405020304" pitchFamily="18" charset="0"/>
          </a:endParaRPr>
        </a:p>
      </dsp:txBody>
      <dsp:txXfrm>
        <a:off x="2007590" y="2139520"/>
        <a:ext cx="1011525" cy="643717"/>
      </dsp:txXfrm>
    </dsp:sp>
    <dsp:sp modelId="{6BB05B7D-660F-414D-94CF-F8C488B13F7D}">
      <dsp:nvSpPr>
        <dsp:cNvPr id="0" name=""/>
        <dsp:cNvSpPr/>
      </dsp:nvSpPr>
      <dsp:spPr>
        <a:xfrm>
          <a:off x="2989917" y="553259"/>
          <a:ext cx="729974" cy="54256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Kiểm soát viên</a:t>
          </a:r>
          <a:endParaRPr lang="en-VN" sz="1400" kern="1200">
            <a:latin typeface="Times New Roman" panose="02020603050405020304" pitchFamily="18" charset="0"/>
            <a:cs typeface="Times New Roman" panose="02020603050405020304" pitchFamily="18" charset="0"/>
          </a:endParaRPr>
        </a:p>
      </dsp:txBody>
      <dsp:txXfrm>
        <a:off x="2989917" y="553259"/>
        <a:ext cx="729974" cy="542564"/>
      </dsp:txXfrm>
    </dsp:sp>
    <dsp:sp modelId="{6ABC0011-0064-ED45-BC46-ADD68F36D845}">
      <dsp:nvSpPr>
        <dsp:cNvPr id="0" name=""/>
        <dsp:cNvSpPr/>
      </dsp:nvSpPr>
      <dsp:spPr>
        <a:xfrm>
          <a:off x="3179878" y="1241655"/>
          <a:ext cx="729974" cy="74101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Giao dịch viên</a:t>
          </a:r>
          <a:r>
            <a:rPr lang="en-US" sz="1400" i="1" kern="1200">
              <a:latin typeface="Times New Roman" panose="02020603050405020304" pitchFamily="18" charset="0"/>
              <a:cs typeface="Times New Roman" panose="02020603050405020304" pitchFamily="18" charset="0"/>
            </a:rPr>
            <a:t> 1</a:t>
          </a:r>
          <a:endParaRPr lang="en-VN" sz="1400" kern="1200">
            <a:latin typeface="Times New Roman" panose="02020603050405020304" pitchFamily="18" charset="0"/>
            <a:cs typeface="Times New Roman" panose="02020603050405020304" pitchFamily="18" charset="0"/>
          </a:endParaRPr>
        </a:p>
      </dsp:txBody>
      <dsp:txXfrm>
        <a:off x="3179878" y="1241655"/>
        <a:ext cx="729974" cy="741011"/>
      </dsp:txXfrm>
    </dsp:sp>
    <dsp:sp modelId="{6DFACFA0-FC22-FE4F-97C1-B1E56D07D634}">
      <dsp:nvSpPr>
        <dsp:cNvPr id="0" name=""/>
        <dsp:cNvSpPr/>
      </dsp:nvSpPr>
      <dsp:spPr>
        <a:xfrm>
          <a:off x="3238882" y="2183311"/>
          <a:ext cx="729974" cy="5844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Giao dịch viên</a:t>
          </a:r>
          <a:r>
            <a:rPr lang="en-US" sz="1400" i="1" kern="1200">
              <a:latin typeface="Times New Roman" panose="02020603050405020304" pitchFamily="18" charset="0"/>
              <a:cs typeface="Times New Roman" panose="02020603050405020304" pitchFamily="18" charset="0"/>
            </a:rPr>
            <a:t> 2</a:t>
          </a:r>
          <a:endParaRPr lang="en-VN" sz="1400" kern="1200">
            <a:latin typeface="Times New Roman" panose="02020603050405020304" pitchFamily="18" charset="0"/>
            <a:cs typeface="Times New Roman" panose="02020603050405020304" pitchFamily="18" charset="0"/>
          </a:endParaRPr>
        </a:p>
      </dsp:txBody>
      <dsp:txXfrm>
        <a:off x="3238882" y="2183311"/>
        <a:ext cx="729974" cy="584406"/>
      </dsp:txXfrm>
    </dsp:sp>
    <dsp:sp modelId="{49261832-479C-6941-BF4A-87FB72492552}">
      <dsp:nvSpPr>
        <dsp:cNvPr id="0" name=""/>
        <dsp:cNvSpPr/>
      </dsp:nvSpPr>
      <dsp:spPr>
        <a:xfrm>
          <a:off x="3172411" y="2881127"/>
          <a:ext cx="729974" cy="39925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Thủ Quỹ</a:t>
          </a:r>
          <a:endParaRPr lang="en-VN" sz="1400" kern="1200">
            <a:latin typeface="Times New Roman" panose="02020603050405020304" pitchFamily="18" charset="0"/>
            <a:cs typeface="Times New Roman" panose="02020603050405020304" pitchFamily="18" charset="0"/>
          </a:endParaRPr>
        </a:p>
      </dsp:txBody>
      <dsp:txXfrm>
        <a:off x="3172411" y="2881127"/>
        <a:ext cx="729974" cy="399252"/>
      </dsp:txXfrm>
    </dsp:sp>
    <dsp:sp modelId="{B0155956-9BC9-B04E-BD49-FFB002592758}">
      <dsp:nvSpPr>
        <dsp:cNvPr id="0" name=""/>
        <dsp:cNvSpPr/>
      </dsp:nvSpPr>
      <dsp:spPr>
        <a:xfrm>
          <a:off x="3846601" y="553259"/>
          <a:ext cx="1250621" cy="546112"/>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Trưởng đại diện One bank</a:t>
          </a:r>
          <a:endParaRPr lang="en-VN" sz="1400" kern="1200">
            <a:latin typeface="Times New Roman" panose="02020603050405020304" pitchFamily="18" charset="0"/>
            <a:cs typeface="Times New Roman" panose="02020603050405020304" pitchFamily="18" charset="0"/>
          </a:endParaRPr>
        </a:p>
      </dsp:txBody>
      <dsp:txXfrm>
        <a:off x="3846601" y="553259"/>
        <a:ext cx="1250621" cy="546112"/>
      </dsp:txXfrm>
    </dsp:sp>
    <dsp:sp modelId="{52483007-8518-6944-95F0-93DDD0B34256}">
      <dsp:nvSpPr>
        <dsp:cNvPr id="0" name=""/>
        <dsp:cNvSpPr/>
      </dsp:nvSpPr>
      <dsp:spPr>
        <a:xfrm>
          <a:off x="4185842" y="1252666"/>
          <a:ext cx="1423012" cy="54775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Chuyên viên QHKH One Bank</a:t>
          </a:r>
          <a:r>
            <a:rPr lang="en-US" sz="1400" i="1" kern="1200">
              <a:latin typeface="Times New Roman" panose="02020603050405020304" pitchFamily="18" charset="0"/>
              <a:cs typeface="Times New Roman" panose="02020603050405020304" pitchFamily="18" charset="0"/>
            </a:rPr>
            <a:t> 1</a:t>
          </a:r>
          <a:endParaRPr lang="en-VN" sz="1400" kern="1200">
            <a:latin typeface="Times New Roman" panose="02020603050405020304" pitchFamily="18" charset="0"/>
            <a:cs typeface="Times New Roman" panose="02020603050405020304" pitchFamily="18" charset="0"/>
          </a:endParaRPr>
        </a:p>
      </dsp:txBody>
      <dsp:txXfrm>
        <a:off x="4185842" y="1252666"/>
        <a:ext cx="1423012" cy="547751"/>
      </dsp:txXfrm>
    </dsp:sp>
    <dsp:sp modelId="{4C944FD1-9268-F54B-BF92-C1E2B8EF6AC3}">
      <dsp:nvSpPr>
        <dsp:cNvPr id="0" name=""/>
        <dsp:cNvSpPr/>
      </dsp:nvSpPr>
      <dsp:spPr>
        <a:xfrm>
          <a:off x="4185842" y="1953712"/>
          <a:ext cx="1365045" cy="498379"/>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vi-VN" sz="1400" i="1" kern="1200">
              <a:latin typeface="Times New Roman" panose="02020603050405020304" pitchFamily="18" charset="0"/>
              <a:cs typeface="Times New Roman" panose="02020603050405020304" pitchFamily="18" charset="0"/>
            </a:rPr>
            <a:t>Chuyên viên QHKH One Bank</a:t>
          </a:r>
          <a:r>
            <a:rPr lang="en-US" sz="1400" i="1" kern="1200">
              <a:latin typeface="Times New Roman" panose="02020603050405020304" pitchFamily="18" charset="0"/>
              <a:cs typeface="Times New Roman" panose="02020603050405020304" pitchFamily="18" charset="0"/>
            </a:rPr>
            <a:t> 2</a:t>
          </a:r>
          <a:endParaRPr lang="en-VN" sz="1400" kern="1200">
            <a:latin typeface="Times New Roman" panose="02020603050405020304" pitchFamily="18" charset="0"/>
            <a:cs typeface="Times New Roman" panose="02020603050405020304" pitchFamily="18" charset="0"/>
          </a:endParaRPr>
        </a:p>
      </dsp:txBody>
      <dsp:txXfrm>
        <a:off x="4185842" y="1953712"/>
        <a:ext cx="1365045" cy="49837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882</TotalTime>
  <Pages>100</Pages>
  <Words>35258</Words>
  <Characters>127987</Characters>
  <Application>Microsoft Office Word</Application>
  <DocSecurity>0</DocSecurity>
  <Lines>3281</Lines>
  <Paragraphs>1540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Thị CẩM Lệ Võ</dc:creator>
  <cp:keywords/>
  <dc:description/>
  <cp:lastModifiedBy>Thị CẩM Lệ Võ</cp:lastModifiedBy>
  <cp:revision>4</cp:revision>
  <dcterms:created xsi:type="dcterms:W3CDTF">2026-05-28T07:56:00Z</dcterms:created>
  <dcterms:modified xsi:type="dcterms:W3CDTF">2026-05-29T11:49:00Z</dcterms:modified>
</cp:coreProperties>
</file>