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BFF05" w14:textId="77777777" w:rsidR="00A33AD7" w:rsidRPr="00A33AD7" w:rsidRDefault="00A33AD7" w:rsidP="00A33AD7">
      <w:pPr>
        <w:spacing w:line="312" w:lineRule="auto"/>
        <w:jc w:val="center"/>
        <w:rPr>
          <w:rFonts w:ascii="Times New Roman" w:hAnsi="Times New Roman" w:cs="Times New Roman"/>
          <w:sz w:val="26"/>
          <w:szCs w:val="26"/>
        </w:rPr>
      </w:pPr>
      <w:r w:rsidRPr="00A33AD7">
        <w:rPr>
          <w:rFonts w:ascii="Times New Roman" w:hAnsi="Times New Roman" w:cs="Times New Roman"/>
          <w:sz w:val="26"/>
          <w:szCs w:val="26"/>
        </w:rPr>
        <w:t>BỘ GIÁO DỤC VÀ ĐÀO TẠO</w:t>
      </w:r>
    </w:p>
    <w:p w14:paraId="205361BF" w14:textId="77777777" w:rsidR="00A33AD7" w:rsidRPr="00A33AD7" w:rsidRDefault="00A33AD7" w:rsidP="00A33AD7">
      <w:pPr>
        <w:spacing w:line="312" w:lineRule="auto"/>
        <w:jc w:val="center"/>
        <w:rPr>
          <w:rFonts w:ascii="Times New Roman" w:hAnsi="Times New Roman" w:cs="Times New Roman"/>
          <w:b/>
          <w:bCs/>
          <w:sz w:val="26"/>
          <w:szCs w:val="26"/>
        </w:rPr>
      </w:pPr>
      <w:r w:rsidRPr="00A33AD7">
        <w:rPr>
          <w:rFonts w:ascii="Times New Roman" w:hAnsi="Times New Roman" w:cs="Times New Roman"/>
          <w:b/>
          <w:bCs/>
          <w:noProof/>
          <w:sz w:val="26"/>
          <w:szCs w:val="26"/>
        </w:rPr>
        <mc:AlternateContent>
          <mc:Choice Requires="wps">
            <w:drawing>
              <wp:anchor distT="0" distB="0" distL="114300" distR="114300" simplePos="0" relativeHeight="251699200" behindDoc="0" locked="0" layoutInCell="1" allowOverlap="1" wp14:anchorId="4372D28F" wp14:editId="27049383">
                <wp:simplePos x="0" y="0"/>
                <wp:positionH relativeFrom="column">
                  <wp:posOffset>1968499</wp:posOffset>
                </wp:positionH>
                <wp:positionV relativeFrom="paragraph">
                  <wp:posOffset>195580</wp:posOffset>
                </wp:positionV>
                <wp:extent cx="1762125" cy="0"/>
                <wp:effectExtent l="0" t="0" r="0" b="0"/>
                <wp:wrapNone/>
                <wp:docPr id="344181549" name="Straight Connector 1"/>
                <wp:cNvGraphicFramePr/>
                <a:graphic xmlns:a="http://schemas.openxmlformats.org/drawingml/2006/main">
                  <a:graphicData uri="http://schemas.microsoft.com/office/word/2010/wordprocessingShape">
                    <wps:wsp>
                      <wps:cNvCnPr/>
                      <wps:spPr>
                        <a:xfrm>
                          <a:off x="0" y="0"/>
                          <a:ext cx="1762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98FF01" id="Straight Connector 1"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55pt,15.4pt" to="293.7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08ymQ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" strokecolor="black [3040]"/>
            </w:pict>
          </mc:Fallback>
        </mc:AlternateContent>
      </w:r>
      <w:r w:rsidRPr="00A33AD7">
        <w:rPr>
          <w:rFonts w:ascii="Times New Roman" w:hAnsi="Times New Roman" w:cs="Times New Roman"/>
          <w:b/>
          <w:bCs/>
          <w:sz w:val="26"/>
          <w:szCs w:val="26"/>
        </w:rPr>
        <w:t>TRƯỜNG ĐẠI HỌC KIẾN TRÚC ĐÀ NẴNG</w:t>
      </w:r>
    </w:p>
    <w:p w14:paraId="2C2D39D9" w14:textId="77777777" w:rsidR="00A33AD7" w:rsidRPr="00272681" w:rsidRDefault="00A33AD7" w:rsidP="00A33AD7">
      <w:pPr>
        <w:spacing w:line="360" w:lineRule="auto"/>
        <w:jc w:val="center"/>
        <w:rPr>
          <w:sz w:val="26"/>
          <w:szCs w:val="26"/>
          <w:lang w:val="vi-VN"/>
        </w:rPr>
      </w:pPr>
      <w:r w:rsidRPr="00272681">
        <w:rPr>
          <w:sz w:val="26"/>
          <w:szCs w:val="26"/>
          <w:lang w:val="vi-VN"/>
        </w:rPr>
        <w:t xml:space="preserve">------- </w:t>
      </w:r>
      <w:r w:rsidRPr="00272681">
        <w:rPr>
          <w:rFonts w:ascii="Wingdings 2" w:hAnsi="Wingdings 2"/>
          <w:sz w:val="26"/>
          <w:szCs w:val="26"/>
          <w:lang w:val="vi-VN"/>
        </w:rPr>
        <w:t>d</w:t>
      </w:r>
      <w:r w:rsidRPr="00272681">
        <w:rPr>
          <w:rFonts w:ascii="Wingdings" w:hAnsi="Wingdings"/>
          <w:sz w:val="26"/>
          <w:szCs w:val="26"/>
          <w:lang w:val="vi-VN"/>
        </w:rPr>
        <w:t>&amp;</w:t>
      </w:r>
      <w:r w:rsidRPr="00272681">
        <w:rPr>
          <w:rFonts w:ascii="Wingdings 2" w:hAnsi="Wingdings 2"/>
          <w:sz w:val="26"/>
          <w:szCs w:val="26"/>
          <w:lang w:val="vi-VN"/>
        </w:rPr>
        <w:t>c</w:t>
      </w:r>
      <w:r w:rsidRPr="00272681">
        <w:rPr>
          <w:sz w:val="26"/>
          <w:szCs w:val="26"/>
          <w:lang w:val="vi-VN"/>
        </w:rPr>
        <w:t>-------</w:t>
      </w:r>
    </w:p>
    <w:p w14:paraId="6E7BB466" w14:textId="77777777" w:rsidR="00A33AD7" w:rsidRPr="00A33AD7" w:rsidRDefault="00A33AD7" w:rsidP="00A33AD7">
      <w:pPr>
        <w:spacing w:before="240" w:after="240" w:line="312" w:lineRule="auto"/>
        <w:rPr>
          <w:rFonts w:ascii="Times New Roman" w:hAnsi="Times New Roman" w:cs="Times New Roman"/>
          <w:b/>
          <w:bCs/>
          <w:sz w:val="32"/>
          <w:szCs w:val="32"/>
          <w:lang w:val="vi-VN"/>
        </w:rPr>
      </w:pPr>
      <w:r w:rsidRPr="00A33AD7">
        <w:rPr>
          <w:rFonts w:ascii="Times New Roman" w:hAnsi="Times New Roman" w:cs="Times New Roman"/>
          <w:noProof/>
        </w:rPr>
        <w:drawing>
          <wp:anchor distT="0" distB="0" distL="114300" distR="114300" simplePos="0" relativeHeight="251700224" behindDoc="0" locked="0" layoutInCell="1" allowOverlap="1" wp14:anchorId="759BE114" wp14:editId="501B20FC">
            <wp:simplePos x="0" y="0"/>
            <wp:positionH relativeFrom="column">
              <wp:posOffset>1877060</wp:posOffset>
            </wp:positionH>
            <wp:positionV relativeFrom="paragraph">
              <wp:posOffset>50528</wp:posOffset>
            </wp:positionV>
            <wp:extent cx="2011680" cy="2011680"/>
            <wp:effectExtent l="0" t="0" r="0" b="0"/>
            <wp:wrapSquare wrapText="bothSides"/>
            <wp:docPr id="22259459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1680" cy="2011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C49309" w14:textId="77777777" w:rsidR="00A33AD7" w:rsidRPr="00A33AD7" w:rsidRDefault="00A33AD7" w:rsidP="00A33AD7">
      <w:pPr>
        <w:spacing w:before="240" w:after="240" w:line="312" w:lineRule="auto"/>
        <w:rPr>
          <w:rFonts w:ascii="Times New Roman" w:hAnsi="Times New Roman" w:cs="Times New Roman"/>
          <w:b/>
          <w:bCs/>
          <w:sz w:val="32"/>
          <w:szCs w:val="32"/>
          <w:lang w:val="vi-VN"/>
        </w:rPr>
      </w:pPr>
    </w:p>
    <w:p w14:paraId="02497BFE" w14:textId="77777777" w:rsidR="00A33AD7" w:rsidRPr="00A33AD7" w:rsidRDefault="00A33AD7" w:rsidP="00A33AD7">
      <w:pPr>
        <w:spacing w:before="240" w:after="240" w:line="312" w:lineRule="auto"/>
        <w:rPr>
          <w:rFonts w:ascii="Times New Roman" w:hAnsi="Times New Roman" w:cs="Times New Roman"/>
          <w:b/>
          <w:bCs/>
          <w:sz w:val="32"/>
          <w:szCs w:val="32"/>
          <w:lang w:val="vi-VN"/>
        </w:rPr>
      </w:pPr>
      <w:r w:rsidRPr="00A33AD7">
        <w:rPr>
          <w:rFonts w:ascii="Times New Roman" w:hAnsi="Times New Roman" w:cs="Times New Roman"/>
        </w:rPr>
        <w:fldChar w:fldCharType="begin"/>
      </w:r>
      <w:r w:rsidRPr="00A33AD7">
        <w:rPr>
          <w:rFonts w:ascii="Times New Roman" w:hAnsi="Times New Roman" w:cs="Times New Roman"/>
        </w:rPr>
        <w:instrText xml:space="preserve"> INCLUDEPICTURE "https://upload.wikimedia.org/wikipedia/commons/6/64/Logo_dhktdn.png" \* MERGEFORMATINET </w:instrText>
      </w:r>
      <w:r w:rsidRPr="00A33AD7">
        <w:rPr>
          <w:rFonts w:ascii="Times New Roman" w:hAnsi="Times New Roman" w:cs="Times New Roman"/>
        </w:rPr>
        <w:fldChar w:fldCharType="separate"/>
      </w:r>
      <w:r w:rsidRPr="00A33AD7">
        <w:rPr>
          <w:rFonts w:ascii="Times New Roman" w:hAnsi="Times New Roman" w:cs="Times New Roman"/>
        </w:rPr>
        <w:fldChar w:fldCharType="end"/>
      </w:r>
    </w:p>
    <w:p w14:paraId="582669D5" w14:textId="77777777" w:rsidR="00A33AD7" w:rsidRPr="00A33AD7" w:rsidRDefault="00A33AD7" w:rsidP="00A33AD7">
      <w:pPr>
        <w:spacing w:before="240" w:after="240" w:line="312" w:lineRule="auto"/>
        <w:rPr>
          <w:rFonts w:ascii="Times New Roman" w:hAnsi="Times New Roman" w:cs="Times New Roman"/>
          <w:b/>
          <w:bCs/>
          <w:sz w:val="32"/>
          <w:szCs w:val="32"/>
          <w:lang w:val="vi-VN"/>
        </w:rPr>
      </w:pPr>
    </w:p>
    <w:p w14:paraId="54B6F0D0" w14:textId="77777777" w:rsidR="00A33AD7" w:rsidRPr="00A33AD7" w:rsidRDefault="00A33AD7" w:rsidP="00A33AD7">
      <w:pPr>
        <w:spacing w:before="240" w:after="240" w:line="312" w:lineRule="auto"/>
        <w:rPr>
          <w:rFonts w:ascii="Times New Roman" w:hAnsi="Times New Roman" w:cs="Times New Roman"/>
          <w:b/>
          <w:bCs/>
          <w:sz w:val="32"/>
          <w:szCs w:val="32"/>
          <w:lang w:val="vi-VN"/>
        </w:rPr>
      </w:pPr>
    </w:p>
    <w:p w14:paraId="094143A4" w14:textId="77777777" w:rsidR="00A33AD7" w:rsidRPr="00A33AD7" w:rsidRDefault="00A33AD7" w:rsidP="00A33AD7">
      <w:pPr>
        <w:spacing w:before="240" w:after="240" w:line="312" w:lineRule="auto"/>
        <w:jc w:val="center"/>
        <w:rPr>
          <w:rFonts w:ascii="Times New Roman" w:hAnsi="Times New Roman" w:cs="Times New Roman"/>
          <w:b/>
          <w:bCs/>
          <w:sz w:val="48"/>
          <w:szCs w:val="48"/>
          <w:lang w:val="vi-VN"/>
        </w:rPr>
      </w:pPr>
      <w:r w:rsidRPr="00A33AD7">
        <w:rPr>
          <w:rFonts w:ascii="Times New Roman" w:hAnsi="Times New Roman" w:cs="Times New Roman"/>
          <w:b/>
          <w:bCs/>
          <w:sz w:val="48"/>
          <w:szCs w:val="48"/>
          <w:lang w:val="vi-VN"/>
        </w:rPr>
        <w:t>KHOÁ LUẬN TỐT NGHIỆP</w:t>
      </w:r>
    </w:p>
    <w:p w14:paraId="27CCA985" w14:textId="77777777" w:rsidR="00A33AD7" w:rsidRPr="00BA4492" w:rsidRDefault="00A33AD7" w:rsidP="00A33AD7">
      <w:pPr>
        <w:spacing w:before="240" w:after="240" w:line="312" w:lineRule="auto"/>
        <w:jc w:val="center"/>
        <w:rPr>
          <w:rFonts w:ascii="Times New Roman" w:hAnsi="Times New Roman" w:cs="Times New Roman"/>
          <w:b/>
          <w:bCs/>
          <w:sz w:val="32"/>
          <w:szCs w:val="32"/>
          <w:u w:val="single"/>
          <w:lang w:val="vi-VN"/>
        </w:rPr>
      </w:pPr>
      <w:r w:rsidRPr="00BA4492">
        <w:rPr>
          <w:rFonts w:ascii="Times New Roman" w:hAnsi="Times New Roman" w:cs="Times New Roman"/>
          <w:b/>
          <w:bCs/>
          <w:sz w:val="32"/>
          <w:szCs w:val="32"/>
          <w:u w:val="single"/>
          <w:lang w:val="vi-VN"/>
        </w:rPr>
        <w:t>ĐỀ TÀI</w:t>
      </w:r>
    </w:p>
    <w:p w14:paraId="3676FA60" w14:textId="77777777" w:rsidR="00A33AD7" w:rsidRPr="0044534B" w:rsidRDefault="00A33AD7" w:rsidP="00A33AD7">
      <w:pPr>
        <w:spacing w:after="0" w:line="360" w:lineRule="auto"/>
        <w:jc w:val="center"/>
        <w:rPr>
          <w:rFonts w:ascii="Times New Roman" w:hAnsi="Times New Roman" w:cs="Times New Roman"/>
          <w:b/>
          <w:bCs/>
          <w:color w:val="000000" w:themeColor="text1"/>
          <w:sz w:val="32"/>
          <w:szCs w:val="32"/>
          <w:lang w:val="vi-VN"/>
        </w:rPr>
      </w:pPr>
      <w:r w:rsidRPr="0044534B">
        <w:rPr>
          <w:rFonts w:ascii="Times New Roman" w:hAnsi="Times New Roman" w:cs="Times New Roman"/>
          <w:b/>
          <w:bCs/>
          <w:color w:val="000000" w:themeColor="text1"/>
          <w:sz w:val="32"/>
          <w:szCs w:val="32"/>
          <w:lang w:val="vi-VN"/>
        </w:rPr>
        <w:t xml:space="preserve">GIẢI PHÁP NÂNG CAO HIỆU QUẢ HOẠT ĐỘNG </w:t>
      </w:r>
    </w:p>
    <w:p w14:paraId="0D700594" w14:textId="77777777" w:rsidR="00A33AD7" w:rsidRPr="0044534B" w:rsidRDefault="00A33AD7" w:rsidP="00A33AD7">
      <w:pPr>
        <w:spacing w:after="0" w:line="360" w:lineRule="auto"/>
        <w:jc w:val="center"/>
        <w:rPr>
          <w:rFonts w:ascii="Times New Roman" w:hAnsi="Times New Roman" w:cs="Times New Roman"/>
          <w:b/>
          <w:bCs/>
          <w:color w:val="000000" w:themeColor="text1"/>
          <w:sz w:val="32"/>
          <w:szCs w:val="32"/>
          <w:lang w:val="vi-VN"/>
        </w:rPr>
      </w:pPr>
      <w:r w:rsidRPr="0044534B">
        <w:rPr>
          <w:rFonts w:ascii="Times New Roman" w:hAnsi="Times New Roman" w:cs="Times New Roman"/>
          <w:b/>
          <w:bCs/>
          <w:color w:val="000000" w:themeColor="text1"/>
          <w:sz w:val="32"/>
          <w:szCs w:val="32"/>
          <w:lang w:val="vi-VN"/>
        </w:rPr>
        <w:t xml:space="preserve">CHO VAY SẢN XUẤT KINH DOANH ĐỐI VỚI KHÁCH </w:t>
      </w:r>
    </w:p>
    <w:p w14:paraId="1D92A3EF" w14:textId="77777777" w:rsidR="00A33AD7" w:rsidRPr="0044534B" w:rsidRDefault="00A33AD7" w:rsidP="00A33AD7">
      <w:pPr>
        <w:spacing w:after="0" w:line="360" w:lineRule="auto"/>
        <w:jc w:val="center"/>
        <w:rPr>
          <w:rFonts w:ascii="Times New Roman" w:hAnsi="Times New Roman" w:cs="Times New Roman"/>
          <w:b/>
          <w:bCs/>
          <w:color w:val="000000" w:themeColor="text1"/>
          <w:sz w:val="32"/>
          <w:szCs w:val="32"/>
          <w:lang w:val="vi-VN"/>
        </w:rPr>
      </w:pPr>
      <w:r w:rsidRPr="0044534B">
        <w:rPr>
          <w:rFonts w:ascii="Times New Roman" w:hAnsi="Times New Roman" w:cs="Times New Roman"/>
          <w:b/>
          <w:bCs/>
          <w:color w:val="000000" w:themeColor="text1"/>
          <w:sz w:val="32"/>
          <w:szCs w:val="32"/>
          <w:lang w:val="vi-VN"/>
        </w:rPr>
        <w:t xml:space="preserve">HÀNG CÁ NHÂN TẠI NGÂN HÀNG THƯƠNG MẠI </w:t>
      </w:r>
    </w:p>
    <w:p w14:paraId="1DA7BEE6" w14:textId="77777777" w:rsidR="00A33AD7" w:rsidRPr="0044534B" w:rsidRDefault="00A33AD7" w:rsidP="00A33AD7">
      <w:pPr>
        <w:spacing w:after="0" w:line="360" w:lineRule="auto"/>
        <w:jc w:val="center"/>
        <w:rPr>
          <w:rFonts w:ascii="Times New Roman" w:hAnsi="Times New Roman" w:cs="Times New Roman"/>
          <w:b/>
          <w:bCs/>
          <w:color w:val="000000" w:themeColor="text1"/>
          <w:sz w:val="32"/>
          <w:szCs w:val="32"/>
          <w:lang w:val="vi-VN"/>
        </w:rPr>
      </w:pPr>
      <w:r w:rsidRPr="0044534B">
        <w:rPr>
          <w:rFonts w:ascii="Times New Roman" w:hAnsi="Times New Roman" w:cs="Times New Roman"/>
          <w:b/>
          <w:bCs/>
          <w:color w:val="000000" w:themeColor="text1"/>
          <w:sz w:val="32"/>
          <w:szCs w:val="32"/>
          <w:lang w:val="vi-VN"/>
        </w:rPr>
        <w:t>CỔ PHẦN QUÂN ĐỘI  - CHI NHÁNH ĐÀ NẴNG</w:t>
      </w:r>
    </w:p>
    <w:p w14:paraId="00DF7154" w14:textId="77777777" w:rsidR="00A33AD7" w:rsidRPr="00A33AD7" w:rsidRDefault="00A33AD7" w:rsidP="00A33AD7">
      <w:pPr>
        <w:spacing w:before="240" w:after="240" w:line="312" w:lineRule="auto"/>
        <w:jc w:val="center"/>
        <w:rPr>
          <w:rFonts w:ascii="Times New Roman" w:hAnsi="Times New Roman" w:cs="Times New Roman"/>
          <w:b/>
          <w:bCs/>
          <w:spacing w:val="-10"/>
          <w:position w:val="-8"/>
          <w:sz w:val="26"/>
          <w:szCs w:val="26"/>
          <w:lang w:val="vi-VN"/>
        </w:rPr>
      </w:pPr>
    </w:p>
    <w:p w14:paraId="170B606F" w14:textId="6666513B" w:rsidR="00A33AD7" w:rsidRPr="00BA4492" w:rsidRDefault="00A33AD7" w:rsidP="00BA4492">
      <w:pPr>
        <w:spacing w:before="120" w:after="120" w:line="360" w:lineRule="auto"/>
        <w:ind w:left="720" w:firstLine="720"/>
        <w:rPr>
          <w:rFonts w:ascii="Times New Roman" w:hAnsi="Times New Roman" w:cs="Times New Roman"/>
          <w:sz w:val="26"/>
          <w:szCs w:val="26"/>
          <w:lang w:val="vi-VN"/>
        </w:rPr>
      </w:pPr>
      <w:r w:rsidRPr="00BA4492">
        <w:rPr>
          <w:rFonts w:ascii="Times New Roman" w:hAnsi="Times New Roman" w:cs="Times New Roman"/>
          <w:sz w:val="26"/>
          <w:szCs w:val="26"/>
          <w:lang w:val="vi-VN"/>
        </w:rPr>
        <w:t xml:space="preserve">Giảng viên hướng dẫn </w:t>
      </w:r>
      <w:r w:rsidRPr="00BA4492">
        <w:rPr>
          <w:rFonts w:ascii="Times New Roman" w:hAnsi="Times New Roman" w:cs="Times New Roman"/>
          <w:sz w:val="26"/>
          <w:szCs w:val="26"/>
          <w:lang w:val="vi-VN"/>
        </w:rPr>
        <w:tab/>
        <w:t xml:space="preserve">: ThS. Phan </w:t>
      </w:r>
      <w:r w:rsidR="002717DC">
        <w:rPr>
          <w:rFonts w:ascii="Times New Roman" w:hAnsi="Times New Roman" w:cs="Times New Roman"/>
          <w:sz w:val="26"/>
          <w:szCs w:val="26"/>
          <w:lang w:val="vi-VN"/>
        </w:rPr>
        <w:t>Nguyên</w:t>
      </w:r>
      <w:r w:rsidRPr="00BA4492">
        <w:rPr>
          <w:rFonts w:ascii="Times New Roman" w:hAnsi="Times New Roman" w:cs="Times New Roman"/>
          <w:sz w:val="26"/>
          <w:szCs w:val="26"/>
          <w:lang w:val="vi-VN"/>
        </w:rPr>
        <w:t xml:space="preserve"> Thùy Trâm</w:t>
      </w:r>
    </w:p>
    <w:p w14:paraId="2A7F4FA7" w14:textId="5E0F0AE8" w:rsidR="00A33AD7" w:rsidRPr="00BA4492" w:rsidRDefault="00A33AD7" w:rsidP="00BA4492">
      <w:pPr>
        <w:spacing w:before="120" w:after="120" w:line="360" w:lineRule="auto"/>
        <w:ind w:left="720" w:firstLine="720"/>
        <w:rPr>
          <w:rFonts w:ascii="Times New Roman" w:hAnsi="Times New Roman" w:cs="Times New Roman"/>
          <w:sz w:val="26"/>
          <w:szCs w:val="26"/>
          <w:lang w:val="vi-VN"/>
        </w:rPr>
      </w:pPr>
      <w:r w:rsidRPr="00BA4492">
        <w:rPr>
          <w:rFonts w:ascii="Times New Roman" w:hAnsi="Times New Roman" w:cs="Times New Roman"/>
          <w:sz w:val="26"/>
          <w:szCs w:val="26"/>
          <w:lang w:val="vi-VN"/>
        </w:rPr>
        <w:t>Sinh viên thực hiện</w:t>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t>: Trần Thị Thanh Thảo</w:t>
      </w:r>
    </w:p>
    <w:p w14:paraId="711F8A07" w14:textId="77777777" w:rsidR="00A33AD7" w:rsidRPr="00BA4492" w:rsidRDefault="00A33AD7" w:rsidP="00BA4492">
      <w:pPr>
        <w:spacing w:before="120" w:after="120" w:line="360" w:lineRule="auto"/>
        <w:ind w:left="720" w:firstLine="720"/>
        <w:rPr>
          <w:rFonts w:ascii="Times New Roman" w:hAnsi="Times New Roman" w:cs="Times New Roman"/>
          <w:sz w:val="26"/>
          <w:szCs w:val="26"/>
          <w:lang w:val="vi-VN"/>
        </w:rPr>
      </w:pPr>
      <w:r w:rsidRPr="00BA4492">
        <w:rPr>
          <w:rFonts w:ascii="Times New Roman" w:hAnsi="Times New Roman" w:cs="Times New Roman"/>
          <w:sz w:val="26"/>
          <w:szCs w:val="26"/>
          <w:lang w:val="vi-VN"/>
        </w:rPr>
        <w:t xml:space="preserve">Khóa học </w:t>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t>: 2022 - 2026</w:t>
      </w:r>
    </w:p>
    <w:p w14:paraId="61FF1442" w14:textId="77777777" w:rsidR="00A33AD7" w:rsidRPr="00BA4492" w:rsidRDefault="00A33AD7" w:rsidP="00BA4492">
      <w:pPr>
        <w:spacing w:before="120" w:after="120" w:line="360" w:lineRule="auto"/>
        <w:ind w:left="720" w:firstLine="720"/>
        <w:rPr>
          <w:rFonts w:ascii="Times New Roman" w:hAnsi="Times New Roman" w:cs="Times New Roman"/>
          <w:sz w:val="26"/>
          <w:szCs w:val="26"/>
          <w:lang w:val="vi-VN"/>
        </w:rPr>
      </w:pPr>
      <w:r w:rsidRPr="00BA4492">
        <w:rPr>
          <w:rFonts w:ascii="Times New Roman" w:hAnsi="Times New Roman" w:cs="Times New Roman"/>
          <w:sz w:val="26"/>
          <w:szCs w:val="26"/>
          <w:lang w:val="vi-VN"/>
        </w:rPr>
        <w:t xml:space="preserve">Lớp </w:t>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t>: 22NH2</w:t>
      </w:r>
    </w:p>
    <w:p w14:paraId="076514CD" w14:textId="77777777" w:rsidR="00A33AD7" w:rsidRDefault="00A33AD7" w:rsidP="00A33AD7">
      <w:pPr>
        <w:tabs>
          <w:tab w:val="left" w:pos="2977"/>
        </w:tabs>
        <w:spacing w:before="240" w:after="240" w:line="312" w:lineRule="auto"/>
        <w:rPr>
          <w:rFonts w:ascii="Times New Roman" w:hAnsi="Times New Roman" w:cs="Times New Roman"/>
          <w:sz w:val="26"/>
          <w:szCs w:val="26"/>
          <w:lang w:val="vi-VN"/>
        </w:rPr>
      </w:pPr>
    </w:p>
    <w:p w14:paraId="6A9C0DA3" w14:textId="77777777" w:rsidR="00A33AD7" w:rsidRDefault="00A33AD7" w:rsidP="00A33AD7">
      <w:pPr>
        <w:tabs>
          <w:tab w:val="left" w:pos="2977"/>
        </w:tabs>
        <w:spacing w:before="240" w:after="240" w:line="312" w:lineRule="auto"/>
        <w:rPr>
          <w:sz w:val="26"/>
          <w:szCs w:val="26"/>
          <w:lang w:val="vi-VN"/>
        </w:rPr>
      </w:pPr>
    </w:p>
    <w:p w14:paraId="4BDB9F15" w14:textId="77777777" w:rsidR="00A33AD7" w:rsidRPr="00A33AD7" w:rsidRDefault="00A33AD7" w:rsidP="00A33AD7">
      <w:pPr>
        <w:tabs>
          <w:tab w:val="left" w:pos="2977"/>
        </w:tabs>
        <w:spacing w:before="240" w:after="240" w:line="312" w:lineRule="auto"/>
        <w:jc w:val="center"/>
        <w:rPr>
          <w:rFonts w:ascii="Times New Roman" w:hAnsi="Times New Roman" w:cs="Times New Roman"/>
          <w:sz w:val="26"/>
          <w:szCs w:val="26"/>
          <w:lang w:val="vi-VN"/>
        </w:rPr>
      </w:pPr>
      <w:r w:rsidRPr="00A33AD7">
        <w:rPr>
          <w:rFonts w:ascii="Times New Roman" w:hAnsi="Times New Roman" w:cs="Times New Roman"/>
          <w:sz w:val="26"/>
          <w:szCs w:val="26"/>
          <w:lang w:val="vi-VN"/>
        </w:rPr>
        <w:t>Đà Nẵng, tháng 05 năm 2026</w:t>
      </w:r>
    </w:p>
    <w:p w14:paraId="0BF5C133" w14:textId="3A645537" w:rsidR="00A33AD7" w:rsidRPr="00A33AD7" w:rsidRDefault="00A33AD7" w:rsidP="00A33AD7">
      <w:pPr>
        <w:tabs>
          <w:tab w:val="center" w:pos="4536"/>
          <w:tab w:val="right" w:pos="9072"/>
        </w:tabs>
        <w:spacing w:line="312" w:lineRule="auto"/>
        <w:rPr>
          <w:rFonts w:ascii="Times New Roman" w:hAnsi="Times New Roman" w:cs="Times New Roman"/>
          <w:sz w:val="26"/>
          <w:szCs w:val="26"/>
          <w:lang w:val="vi-VN"/>
        </w:rPr>
      </w:pPr>
      <w:r>
        <w:rPr>
          <w:rFonts w:ascii="Times New Roman" w:hAnsi="Times New Roman" w:cs="Times New Roman"/>
          <w:sz w:val="26"/>
          <w:szCs w:val="26"/>
          <w:lang w:val="vi-VN"/>
        </w:rPr>
        <w:lastRenderedPageBreak/>
        <w:tab/>
      </w:r>
      <w:r w:rsidRPr="00A33AD7">
        <w:rPr>
          <w:rFonts w:ascii="Times New Roman" w:hAnsi="Times New Roman" w:cs="Times New Roman"/>
          <w:sz w:val="26"/>
          <w:szCs w:val="26"/>
          <w:lang w:val="vi-VN"/>
        </w:rPr>
        <w:t>BỘ GIÁO DỤC VÀ ĐÀO TẠO</w:t>
      </w:r>
      <w:r>
        <w:rPr>
          <w:rFonts w:ascii="Times New Roman" w:hAnsi="Times New Roman" w:cs="Times New Roman"/>
          <w:sz w:val="26"/>
          <w:szCs w:val="26"/>
          <w:lang w:val="vi-VN"/>
        </w:rPr>
        <w:tab/>
      </w:r>
    </w:p>
    <w:p w14:paraId="6E017E37" w14:textId="77777777" w:rsidR="00A33AD7" w:rsidRPr="00A33AD7" w:rsidRDefault="00A33AD7" w:rsidP="00A33AD7">
      <w:pPr>
        <w:spacing w:line="312" w:lineRule="auto"/>
        <w:jc w:val="center"/>
        <w:rPr>
          <w:rFonts w:ascii="Times New Roman" w:hAnsi="Times New Roman" w:cs="Times New Roman"/>
          <w:b/>
          <w:bCs/>
          <w:sz w:val="26"/>
          <w:szCs w:val="26"/>
          <w:lang w:val="vi-VN"/>
        </w:rPr>
      </w:pPr>
      <w:r w:rsidRPr="00A33AD7">
        <w:rPr>
          <w:rFonts w:ascii="Times New Roman" w:hAnsi="Times New Roman" w:cs="Times New Roman"/>
          <w:b/>
          <w:bCs/>
          <w:noProof/>
          <w:sz w:val="26"/>
          <w:szCs w:val="26"/>
        </w:rPr>
        <mc:AlternateContent>
          <mc:Choice Requires="wps">
            <w:drawing>
              <wp:anchor distT="0" distB="0" distL="114300" distR="114300" simplePos="0" relativeHeight="251702272" behindDoc="0" locked="0" layoutInCell="1" allowOverlap="1" wp14:anchorId="74C2B280" wp14:editId="6C46BD47">
                <wp:simplePos x="0" y="0"/>
                <wp:positionH relativeFrom="column">
                  <wp:posOffset>1968499</wp:posOffset>
                </wp:positionH>
                <wp:positionV relativeFrom="paragraph">
                  <wp:posOffset>195580</wp:posOffset>
                </wp:positionV>
                <wp:extent cx="1762125" cy="0"/>
                <wp:effectExtent l="0" t="0" r="0" b="0"/>
                <wp:wrapNone/>
                <wp:docPr id="605594912" name="Straight Connector 1"/>
                <wp:cNvGraphicFramePr/>
                <a:graphic xmlns:a="http://schemas.openxmlformats.org/drawingml/2006/main">
                  <a:graphicData uri="http://schemas.microsoft.com/office/word/2010/wordprocessingShape">
                    <wps:wsp>
                      <wps:cNvCnPr/>
                      <wps:spPr>
                        <a:xfrm>
                          <a:off x="0" y="0"/>
                          <a:ext cx="1762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2318F2" id="Straight Connector 1"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55pt,15.4pt" to="293.7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08ymQ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" strokecolor="black [3040]"/>
            </w:pict>
          </mc:Fallback>
        </mc:AlternateContent>
      </w:r>
      <w:r w:rsidRPr="00A33AD7">
        <w:rPr>
          <w:rFonts w:ascii="Times New Roman" w:hAnsi="Times New Roman" w:cs="Times New Roman"/>
          <w:b/>
          <w:bCs/>
          <w:sz w:val="26"/>
          <w:szCs w:val="26"/>
          <w:lang w:val="vi-VN"/>
        </w:rPr>
        <w:t>TRƯỜNG ĐẠI HỌC KIẾN TRÚC ĐÀ NẴNG</w:t>
      </w:r>
    </w:p>
    <w:p w14:paraId="4A540921" w14:textId="0860B7A5" w:rsidR="00A33AD7" w:rsidRPr="00272681" w:rsidRDefault="00A33AD7" w:rsidP="00A33AD7">
      <w:pPr>
        <w:spacing w:line="360" w:lineRule="auto"/>
        <w:jc w:val="center"/>
        <w:rPr>
          <w:sz w:val="26"/>
          <w:szCs w:val="26"/>
          <w:lang w:val="vi-VN"/>
        </w:rPr>
      </w:pPr>
      <w:r w:rsidRPr="00272681">
        <w:rPr>
          <w:sz w:val="26"/>
          <w:szCs w:val="26"/>
          <w:lang w:val="vi-VN"/>
        </w:rPr>
        <w:t xml:space="preserve">------- </w:t>
      </w:r>
      <w:r w:rsidRPr="00272681">
        <w:rPr>
          <w:rFonts w:ascii="Wingdings 2" w:hAnsi="Wingdings 2"/>
          <w:sz w:val="26"/>
          <w:szCs w:val="26"/>
          <w:lang w:val="vi-VN"/>
        </w:rPr>
        <w:t>d</w:t>
      </w:r>
      <w:r w:rsidRPr="00272681">
        <w:rPr>
          <w:rFonts w:ascii="Wingdings" w:hAnsi="Wingdings"/>
          <w:sz w:val="26"/>
          <w:szCs w:val="26"/>
          <w:lang w:val="vi-VN"/>
        </w:rPr>
        <w:t>&amp;</w:t>
      </w:r>
      <w:r w:rsidRPr="00272681">
        <w:rPr>
          <w:rFonts w:ascii="Wingdings 2" w:hAnsi="Wingdings 2"/>
          <w:sz w:val="26"/>
          <w:szCs w:val="26"/>
          <w:lang w:val="vi-VN"/>
        </w:rPr>
        <w:t>c</w:t>
      </w:r>
      <w:r w:rsidRPr="00272681">
        <w:rPr>
          <w:sz w:val="26"/>
          <w:szCs w:val="26"/>
          <w:lang w:val="vi-VN"/>
        </w:rPr>
        <w:t>-------</w:t>
      </w:r>
    </w:p>
    <w:p w14:paraId="14EF084A" w14:textId="0171D850" w:rsidR="00A33AD7" w:rsidRPr="00A33AD7" w:rsidRDefault="00BA4492" w:rsidP="00A33AD7">
      <w:pPr>
        <w:spacing w:before="240" w:after="240" w:line="312" w:lineRule="auto"/>
        <w:rPr>
          <w:rFonts w:ascii="Times New Roman" w:hAnsi="Times New Roman" w:cs="Times New Roman"/>
          <w:b/>
          <w:bCs/>
          <w:sz w:val="32"/>
          <w:szCs w:val="32"/>
          <w:lang w:val="vi-VN"/>
        </w:rPr>
      </w:pPr>
      <w:r w:rsidRPr="00A33AD7">
        <w:rPr>
          <w:rFonts w:ascii="Times New Roman" w:hAnsi="Times New Roman" w:cs="Times New Roman"/>
          <w:noProof/>
        </w:rPr>
        <w:drawing>
          <wp:anchor distT="0" distB="0" distL="114300" distR="114300" simplePos="0" relativeHeight="251703296" behindDoc="0" locked="0" layoutInCell="1" allowOverlap="1" wp14:anchorId="70D83278" wp14:editId="5B76E857">
            <wp:simplePos x="0" y="0"/>
            <wp:positionH relativeFrom="column">
              <wp:posOffset>1877060</wp:posOffset>
            </wp:positionH>
            <wp:positionV relativeFrom="paragraph">
              <wp:posOffset>44541</wp:posOffset>
            </wp:positionV>
            <wp:extent cx="2011680" cy="2011680"/>
            <wp:effectExtent l="0" t="0" r="0" b="0"/>
            <wp:wrapSquare wrapText="bothSides"/>
            <wp:docPr id="71538703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1680" cy="2011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1DB56F" w14:textId="77777777" w:rsidR="00A33AD7" w:rsidRPr="00A33AD7" w:rsidRDefault="00A33AD7" w:rsidP="00A33AD7">
      <w:pPr>
        <w:spacing w:before="240" w:after="240" w:line="312" w:lineRule="auto"/>
        <w:rPr>
          <w:rFonts w:ascii="Times New Roman" w:hAnsi="Times New Roman" w:cs="Times New Roman"/>
          <w:b/>
          <w:bCs/>
          <w:sz w:val="32"/>
          <w:szCs w:val="32"/>
          <w:lang w:val="vi-VN"/>
        </w:rPr>
      </w:pPr>
    </w:p>
    <w:p w14:paraId="5BC61FCA" w14:textId="77777777" w:rsidR="00A33AD7" w:rsidRPr="00A33AD7" w:rsidRDefault="00A33AD7" w:rsidP="00A33AD7">
      <w:pPr>
        <w:spacing w:before="240" w:after="240" w:line="312" w:lineRule="auto"/>
        <w:rPr>
          <w:rFonts w:ascii="Times New Roman" w:hAnsi="Times New Roman" w:cs="Times New Roman"/>
          <w:b/>
          <w:bCs/>
          <w:sz w:val="32"/>
          <w:szCs w:val="32"/>
          <w:lang w:val="vi-VN"/>
        </w:rPr>
      </w:pPr>
      <w:r w:rsidRPr="00A33AD7">
        <w:rPr>
          <w:rFonts w:ascii="Times New Roman" w:hAnsi="Times New Roman" w:cs="Times New Roman"/>
        </w:rPr>
        <w:fldChar w:fldCharType="begin"/>
      </w:r>
      <w:r w:rsidRPr="00A33AD7">
        <w:rPr>
          <w:rFonts w:ascii="Times New Roman" w:hAnsi="Times New Roman" w:cs="Times New Roman"/>
          <w:lang w:val="vi-VN"/>
        </w:rPr>
        <w:instrText xml:space="preserve"> INCLUDEPICTURE "https://upload.wikimedia.org/wikipedia/commons/6/64/Logo_dhktdn.png" \* MERGEFORMATINET </w:instrText>
      </w:r>
      <w:r w:rsidRPr="00A33AD7">
        <w:rPr>
          <w:rFonts w:ascii="Times New Roman" w:hAnsi="Times New Roman" w:cs="Times New Roman"/>
        </w:rPr>
        <w:fldChar w:fldCharType="separate"/>
      </w:r>
      <w:r w:rsidRPr="00A33AD7">
        <w:rPr>
          <w:rFonts w:ascii="Times New Roman" w:hAnsi="Times New Roman" w:cs="Times New Roman"/>
        </w:rPr>
        <w:fldChar w:fldCharType="end"/>
      </w:r>
    </w:p>
    <w:p w14:paraId="5ABE78A0" w14:textId="77777777" w:rsidR="00A33AD7" w:rsidRPr="00A33AD7" w:rsidRDefault="00A33AD7" w:rsidP="00A33AD7">
      <w:pPr>
        <w:spacing w:before="240" w:after="240" w:line="312" w:lineRule="auto"/>
        <w:rPr>
          <w:rFonts w:ascii="Times New Roman" w:hAnsi="Times New Roman" w:cs="Times New Roman"/>
          <w:b/>
          <w:bCs/>
          <w:sz w:val="32"/>
          <w:szCs w:val="32"/>
          <w:lang w:val="vi-VN"/>
        </w:rPr>
      </w:pPr>
    </w:p>
    <w:p w14:paraId="58266FB6" w14:textId="77777777" w:rsidR="00A33AD7" w:rsidRPr="00A33AD7" w:rsidRDefault="00A33AD7" w:rsidP="00A33AD7">
      <w:pPr>
        <w:spacing w:before="240" w:after="240" w:line="312" w:lineRule="auto"/>
        <w:rPr>
          <w:rFonts w:ascii="Times New Roman" w:hAnsi="Times New Roman" w:cs="Times New Roman"/>
          <w:b/>
          <w:bCs/>
          <w:sz w:val="32"/>
          <w:szCs w:val="32"/>
          <w:lang w:val="vi-VN"/>
        </w:rPr>
      </w:pPr>
    </w:p>
    <w:p w14:paraId="55986DEF" w14:textId="77777777" w:rsidR="00A33AD7" w:rsidRPr="00A33AD7" w:rsidRDefault="00A33AD7" w:rsidP="00A33AD7">
      <w:pPr>
        <w:spacing w:before="240" w:after="240" w:line="312" w:lineRule="auto"/>
        <w:jc w:val="center"/>
        <w:rPr>
          <w:rFonts w:ascii="Times New Roman" w:hAnsi="Times New Roman" w:cs="Times New Roman"/>
          <w:b/>
          <w:bCs/>
          <w:sz w:val="48"/>
          <w:szCs w:val="48"/>
          <w:lang w:val="vi-VN"/>
        </w:rPr>
      </w:pPr>
      <w:r w:rsidRPr="00A33AD7">
        <w:rPr>
          <w:rFonts w:ascii="Times New Roman" w:hAnsi="Times New Roman" w:cs="Times New Roman"/>
          <w:b/>
          <w:bCs/>
          <w:sz w:val="48"/>
          <w:szCs w:val="48"/>
          <w:lang w:val="vi-VN"/>
        </w:rPr>
        <w:t>KHOÁ LUẬN TỐT NGHIỆP</w:t>
      </w:r>
    </w:p>
    <w:p w14:paraId="53BE5B57" w14:textId="77777777" w:rsidR="00A33AD7" w:rsidRPr="00A33AD7" w:rsidRDefault="00A33AD7" w:rsidP="00A33AD7">
      <w:pPr>
        <w:spacing w:before="240" w:after="240" w:line="312" w:lineRule="auto"/>
        <w:jc w:val="center"/>
        <w:rPr>
          <w:rFonts w:ascii="Times New Roman" w:hAnsi="Times New Roman" w:cs="Times New Roman"/>
          <w:b/>
          <w:bCs/>
          <w:sz w:val="28"/>
          <w:szCs w:val="28"/>
          <w:u w:val="single"/>
          <w:lang w:val="vi-VN"/>
        </w:rPr>
      </w:pPr>
      <w:r w:rsidRPr="00A33AD7">
        <w:rPr>
          <w:rFonts w:ascii="Times New Roman" w:hAnsi="Times New Roman" w:cs="Times New Roman"/>
          <w:b/>
          <w:bCs/>
          <w:sz w:val="28"/>
          <w:szCs w:val="28"/>
          <w:u w:val="single"/>
          <w:lang w:val="vi-VN"/>
        </w:rPr>
        <w:t>ĐỀ TÀI</w:t>
      </w:r>
    </w:p>
    <w:p w14:paraId="48C2F990" w14:textId="77777777" w:rsidR="00A33AD7" w:rsidRPr="0044534B" w:rsidRDefault="00A33AD7" w:rsidP="00A33AD7">
      <w:pPr>
        <w:spacing w:after="0" w:line="360" w:lineRule="auto"/>
        <w:jc w:val="center"/>
        <w:rPr>
          <w:rFonts w:ascii="Times New Roman" w:hAnsi="Times New Roman" w:cs="Times New Roman"/>
          <w:b/>
          <w:bCs/>
          <w:color w:val="000000" w:themeColor="text1"/>
          <w:sz w:val="32"/>
          <w:szCs w:val="32"/>
          <w:lang w:val="vi-VN"/>
        </w:rPr>
      </w:pPr>
      <w:r w:rsidRPr="0044534B">
        <w:rPr>
          <w:rFonts w:ascii="Times New Roman" w:hAnsi="Times New Roman" w:cs="Times New Roman"/>
          <w:b/>
          <w:bCs/>
          <w:color w:val="000000" w:themeColor="text1"/>
          <w:sz w:val="32"/>
          <w:szCs w:val="32"/>
          <w:lang w:val="vi-VN"/>
        </w:rPr>
        <w:t xml:space="preserve">GIẢI PHÁP NÂNG CAO HIỆU QUẢ HOẠT ĐỘNG </w:t>
      </w:r>
    </w:p>
    <w:p w14:paraId="7AECE4CC" w14:textId="77777777" w:rsidR="00A33AD7" w:rsidRPr="0044534B" w:rsidRDefault="00A33AD7" w:rsidP="00A33AD7">
      <w:pPr>
        <w:spacing w:after="0" w:line="360" w:lineRule="auto"/>
        <w:jc w:val="center"/>
        <w:rPr>
          <w:rFonts w:ascii="Times New Roman" w:hAnsi="Times New Roman" w:cs="Times New Roman"/>
          <w:b/>
          <w:bCs/>
          <w:color w:val="000000" w:themeColor="text1"/>
          <w:sz w:val="32"/>
          <w:szCs w:val="32"/>
          <w:lang w:val="vi-VN"/>
        </w:rPr>
      </w:pPr>
      <w:r w:rsidRPr="0044534B">
        <w:rPr>
          <w:rFonts w:ascii="Times New Roman" w:hAnsi="Times New Roman" w:cs="Times New Roman"/>
          <w:b/>
          <w:bCs/>
          <w:color w:val="000000" w:themeColor="text1"/>
          <w:sz w:val="32"/>
          <w:szCs w:val="32"/>
          <w:lang w:val="vi-VN"/>
        </w:rPr>
        <w:t xml:space="preserve">CHO VAY SẢN XUẤT KINH DOANH ĐỐI VỚI KHÁCH </w:t>
      </w:r>
    </w:p>
    <w:p w14:paraId="6D125DFE" w14:textId="77777777" w:rsidR="00A33AD7" w:rsidRPr="0044534B" w:rsidRDefault="00A33AD7" w:rsidP="00A33AD7">
      <w:pPr>
        <w:spacing w:after="0" w:line="360" w:lineRule="auto"/>
        <w:jc w:val="center"/>
        <w:rPr>
          <w:rFonts w:ascii="Times New Roman" w:hAnsi="Times New Roman" w:cs="Times New Roman"/>
          <w:b/>
          <w:bCs/>
          <w:color w:val="000000" w:themeColor="text1"/>
          <w:sz w:val="32"/>
          <w:szCs w:val="32"/>
          <w:lang w:val="vi-VN"/>
        </w:rPr>
      </w:pPr>
      <w:r w:rsidRPr="0044534B">
        <w:rPr>
          <w:rFonts w:ascii="Times New Roman" w:hAnsi="Times New Roman" w:cs="Times New Roman"/>
          <w:b/>
          <w:bCs/>
          <w:color w:val="000000" w:themeColor="text1"/>
          <w:sz w:val="32"/>
          <w:szCs w:val="32"/>
          <w:lang w:val="vi-VN"/>
        </w:rPr>
        <w:t xml:space="preserve">HÀNG CÁ NHÂN TẠI NGÂN HÀNG THƯƠNG MẠI </w:t>
      </w:r>
    </w:p>
    <w:p w14:paraId="74ACCB16" w14:textId="77777777" w:rsidR="00A33AD7" w:rsidRPr="0044534B" w:rsidRDefault="00A33AD7" w:rsidP="00A33AD7">
      <w:pPr>
        <w:spacing w:after="0" w:line="360" w:lineRule="auto"/>
        <w:jc w:val="center"/>
        <w:rPr>
          <w:rFonts w:ascii="Times New Roman" w:hAnsi="Times New Roman" w:cs="Times New Roman"/>
          <w:b/>
          <w:bCs/>
          <w:color w:val="000000" w:themeColor="text1"/>
          <w:sz w:val="32"/>
          <w:szCs w:val="32"/>
          <w:lang w:val="vi-VN"/>
        </w:rPr>
      </w:pPr>
      <w:r w:rsidRPr="0044534B">
        <w:rPr>
          <w:rFonts w:ascii="Times New Roman" w:hAnsi="Times New Roman" w:cs="Times New Roman"/>
          <w:b/>
          <w:bCs/>
          <w:color w:val="000000" w:themeColor="text1"/>
          <w:sz w:val="32"/>
          <w:szCs w:val="32"/>
          <w:lang w:val="vi-VN"/>
        </w:rPr>
        <w:t>CỔ PHẦN QUÂN ĐỘI  - CHI NHÁNH ĐÀ NẴNG</w:t>
      </w:r>
    </w:p>
    <w:p w14:paraId="23F807E6" w14:textId="77777777" w:rsidR="00A33AD7" w:rsidRPr="00BA4492" w:rsidRDefault="00A33AD7" w:rsidP="00BA4492">
      <w:pPr>
        <w:spacing w:before="120" w:after="120" w:line="360" w:lineRule="auto"/>
        <w:jc w:val="center"/>
        <w:rPr>
          <w:rFonts w:ascii="Times New Roman" w:hAnsi="Times New Roman" w:cs="Times New Roman"/>
          <w:b/>
          <w:bCs/>
          <w:spacing w:val="-10"/>
          <w:position w:val="-8"/>
          <w:sz w:val="26"/>
          <w:szCs w:val="26"/>
          <w:lang w:val="vi-VN"/>
        </w:rPr>
      </w:pPr>
    </w:p>
    <w:p w14:paraId="7D53D499" w14:textId="3AD67DAA" w:rsidR="00A33AD7" w:rsidRPr="00BA4492" w:rsidRDefault="00A33AD7" w:rsidP="00BA4492">
      <w:pPr>
        <w:spacing w:before="120" w:after="120" w:line="360" w:lineRule="auto"/>
        <w:ind w:left="720" w:firstLine="720"/>
        <w:rPr>
          <w:rFonts w:ascii="Times New Roman" w:hAnsi="Times New Roman" w:cs="Times New Roman"/>
          <w:sz w:val="26"/>
          <w:szCs w:val="26"/>
          <w:lang w:val="vi-VN"/>
        </w:rPr>
      </w:pPr>
      <w:r w:rsidRPr="00BA4492">
        <w:rPr>
          <w:rFonts w:ascii="Times New Roman" w:hAnsi="Times New Roman" w:cs="Times New Roman"/>
          <w:sz w:val="26"/>
          <w:szCs w:val="26"/>
          <w:lang w:val="vi-VN"/>
        </w:rPr>
        <w:t xml:space="preserve">Giảng viên hướng dẫn </w:t>
      </w:r>
      <w:r w:rsidRPr="00BA4492">
        <w:rPr>
          <w:rFonts w:ascii="Times New Roman" w:hAnsi="Times New Roman" w:cs="Times New Roman"/>
          <w:sz w:val="26"/>
          <w:szCs w:val="26"/>
          <w:lang w:val="vi-VN"/>
        </w:rPr>
        <w:tab/>
        <w:t xml:space="preserve">: ThS. Phan </w:t>
      </w:r>
      <w:r w:rsidR="002717DC">
        <w:rPr>
          <w:rFonts w:ascii="Times New Roman" w:hAnsi="Times New Roman" w:cs="Times New Roman"/>
          <w:sz w:val="26"/>
          <w:szCs w:val="26"/>
          <w:lang w:val="vi-VN"/>
        </w:rPr>
        <w:t>Nguyê</w:t>
      </w:r>
      <w:r w:rsidRPr="00BA4492">
        <w:rPr>
          <w:rFonts w:ascii="Times New Roman" w:hAnsi="Times New Roman" w:cs="Times New Roman"/>
          <w:sz w:val="26"/>
          <w:szCs w:val="26"/>
          <w:lang w:val="vi-VN"/>
        </w:rPr>
        <w:t>n Thùy Trâm</w:t>
      </w:r>
    </w:p>
    <w:p w14:paraId="140FEDD1" w14:textId="77777777" w:rsidR="00A33AD7" w:rsidRPr="00BA4492" w:rsidRDefault="00A33AD7" w:rsidP="00BA4492">
      <w:pPr>
        <w:spacing w:before="120" w:after="120" w:line="360" w:lineRule="auto"/>
        <w:ind w:left="720" w:firstLine="720"/>
        <w:rPr>
          <w:rFonts w:ascii="Times New Roman" w:hAnsi="Times New Roman" w:cs="Times New Roman"/>
          <w:sz w:val="26"/>
          <w:szCs w:val="26"/>
          <w:lang w:val="vi-VN"/>
        </w:rPr>
      </w:pPr>
      <w:r w:rsidRPr="00BA4492">
        <w:rPr>
          <w:rFonts w:ascii="Times New Roman" w:hAnsi="Times New Roman" w:cs="Times New Roman"/>
          <w:sz w:val="26"/>
          <w:szCs w:val="26"/>
          <w:lang w:val="vi-VN"/>
        </w:rPr>
        <w:t>Sinh viên thực hiện</w:t>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t>: Trần Thị Thanh Thảo</w:t>
      </w:r>
    </w:p>
    <w:p w14:paraId="422324B2" w14:textId="77777777" w:rsidR="00A33AD7" w:rsidRPr="00BA4492" w:rsidRDefault="00A33AD7" w:rsidP="00BA4492">
      <w:pPr>
        <w:spacing w:before="120" w:after="120" w:line="360" w:lineRule="auto"/>
        <w:ind w:left="720" w:firstLine="720"/>
        <w:rPr>
          <w:rFonts w:ascii="Times New Roman" w:hAnsi="Times New Roman" w:cs="Times New Roman"/>
          <w:sz w:val="26"/>
          <w:szCs w:val="26"/>
          <w:lang w:val="vi-VN"/>
        </w:rPr>
      </w:pPr>
      <w:r w:rsidRPr="00BA4492">
        <w:rPr>
          <w:rFonts w:ascii="Times New Roman" w:hAnsi="Times New Roman" w:cs="Times New Roman"/>
          <w:sz w:val="26"/>
          <w:szCs w:val="26"/>
          <w:lang w:val="vi-VN"/>
        </w:rPr>
        <w:t xml:space="preserve">Khóa học </w:t>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t>: 2022 - 2026</w:t>
      </w:r>
    </w:p>
    <w:p w14:paraId="59439C3A" w14:textId="77777777" w:rsidR="00A33AD7" w:rsidRPr="00BA4492" w:rsidRDefault="00A33AD7" w:rsidP="00BA4492">
      <w:pPr>
        <w:spacing w:before="120" w:after="120" w:line="360" w:lineRule="auto"/>
        <w:ind w:left="720" w:firstLine="720"/>
        <w:rPr>
          <w:rFonts w:ascii="Times New Roman" w:hAnsi="Times New Roman" w:cs="Times New Roman"/>
          <w:sz w:val="26"/>
          <w:szCs w:val="26"/>
          <w:lang w:val="vi-VN"/>
        </w:rPr>
      </w:pPr>
      <w:r w:rsidRPr="00BA4492">
        <w:rPr>
          <w:rFonts w:ascii="Times New Roman" w:hAnsi="Times New Roman" w:cs="Times New Roman"/>
          <w:sz w:val="26"/>
          <w:szCs w:val="26"/>
          <w:lang w:val="vi-VN"/>
        </w:rPr>
        <w:t xml:space="preserve">Lớp </w:t>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r>
      <w:r w:rsidRPr="00BA4492">
        <w:rPr>
          <w:rFonts w:ascii="Times New Roman" w:hAnsi="Times New Roman" w:cs="Times New Roman"/>
          <w:sz w:val="26"/>
          <w:szCs w:val="26"/>
          <w:lang w:val="vi-VN"/>
        </w:rPr>
        <w:tab/>
        <w:t>: 22NH2</w:t>
      </w:r>
    </w:p>
    <w:p w14:paraId="11CD3590" w14:textId="77777777" w:rsidR="00A33AD7" w:rsidRDefault="00A33AD7" w:rsidP="00A33AD7">
      <w:pPr>
        <w:tabs>
          <w:tab w:val="left" w:pos="2977"/>
        </w:tabs>
        <w:spacing w:before="240" w:after="240" w:line="312" w:lineRule="auto"/>
        <w:rPr>
          <w:rFonts w:ascii="Times New Roman" w:hAnsi="Times New Roman" w:cs="Times New Roman"/>
          <w:sz w:val="26"/>
          <w:szCs w:val="26"/>
          <w:lang w:val="vi-VN"/>
        </w:rPr>
      </w:pPr>
    </w:p>
    <w:p w14:paraId="088C9CA6" w14:textId="77777777" w:rsidR="00A33AD7" w:rsidRDefault="00A33AD7" w:rsidP="00A33AD7">
      <w:pPr>
        <w:tabs>
          <w:tab w:val="left" w:pos="2977"/>
        </w:tabs>
        <w:spacing w:before="240" w:after="240" w:line="312" w:lineRule="auto"/>
        <w:rPr>
          <w:sz w:val="26"/>
          <w:szCs w:val="26"/>
          <w:lang w:val="vi-VN"/>
        </w:rPr>
      </w:pPr>
    </w:p>
    <w:p w14:paraId="15623CC9" w14:textId="77777777" w:rsidR="00A33AD7" w:rsidRPr="00A33AD7" w:rsidRDefault="00A33AD7" w:rsidP="00A33AD7">
      <w:pPr>
        <w:tabs>
          <w:tab w:val="left" w:pos="2977"/>
        </w:tabs>
        <w:spacing w:before="240" w:after="240" w:line="312" w:lineRule="auto"/>
        <w:jc w:val="center"/>
        <w:rPr>
          <w:rFonts w:ascii="Times New Roman" w:hAnsi="Times New Roman" w:cs="Times New Roman"/>
          <w:sz w:val="26"/>
          <w:szCs w:val="26"/>
          <w:lang w:val="vi-VN"/>
        </w:rPr>
      </w:pPr>
      <w:r w:rsidRPr="00A33AD7">
        <w:rPr>
          <w:rFonts w:ascii="Times New Roman" w:hAnsi="Times New Roman" w:cs="Times New Roman"/>
          <w:sz w:val="26"/>
          <w:szCs w:val="26"/>
          <w:lang w:val="vi-VN"/>
        </w:rPr>
        <w:t>Đà Nẵng, tháng 05 năm 2026</w:t>
      </w:r>
    </w:p>
    <w:p w14:paraId="56107BB7" w14:textId="5B4C16F7" w:rsidR="00A33AD7" w:rsidRPr="00A33AD7" w:rsidRDefault="00A33AD7" w:rsidP="004D443C">
      <w:pPr>
        <w:spacing w:before="40" w:after="40" w:line="360" w:lineRule="auto"/>
        <w:jc w:val="center"/>
        <w:rPr>
          <w:rFonts w:ascii="Times New Roman" w:hAnsi="Times New Roman" w:cs="Times New Roman"/>
          <w:i/>
          <w:iCs/>
          <w:sz w:val="26"/>
          <w:szCs w:val="26"/>
          <w:lang w:val="vi-VN"/>
        </w:rPr>
        <w:sectPr w:rsidR="00A33AD7" w:rsidRPr="00A33AD7" w:rsidSect="00B825DD">
          <w:pgSz w:w="11907" w:h="16840" w:code="9"/>
          <w:pgMar w:top="1134" w:right="1134" w:bottom="1134" w:left="1701" w:header="720" w:footer="1520" w:gutter="0"/>
          <w:pgBorders>
            <w:top w:val="thinThickSmallGap" w:sz="24" w:space="1" w:color="auto"/>
            <w:left w:val="thinThickSmallGap" w:sz="24" w:space="4" w:color="auto"/>
            <w:bottom w:val="thickThinSmallGap" w:sz="24" w:space="1" w:color="auto"/>
            <w:right w:val="thickThinSmallGap" w:sz="24" w:space="4" w:color="auto"/>
          </w:pgBorders>
          <w:cols w:space="720"/>
          <w:docGrid w:linePitch="360"/>
        </w:sectPr>
      </w:pPr>
    </w:p>
    <w:tbl>
      <w:tblPr>
        <w:tblStyle w:val="TableGrid"/>
        <w:tblW w:w="5782"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606059" w:rsidRPr="002B008A" w14:paraId="6BAE0780" w14:textId="77777777" w:rsidTr="00064CEA">
        <w:trPr>
          <w:trHeight w:val="1053"/>
        </w:trPr>
        <w:tc>
          <w:tcPr>
            <w:tcW w:w="2500" w:type="pct"/>
          </w:tcPr>
          <w:p w14:paraId="3F4EE863" w14:textId="77777777" w:rsidR="00606059" w:rsidRPr="00064CEA" w:rsidRDefault="00606059" w:rsidP="00606059">
            <w:pPr>
              <w:spacing w:line="360" w:lineRule="auto"/>
              <w:jc w:val="center"/>
              <w:rPr>
                <w:rFonts w:ascii="Times New Roman" w:hAnsi="Times New Roman" w:cs="Times New Roman"/>
                <w:sz w:val="24"/>
                <w:szCs w:val="24"/>
                <w:lang w:val="vi-VN"/>
              </w:rPr>
            </w:pPr>
            <w:r w:rsidRPr="00064CEA">
              <w:rPr>
                <w:rFonts w:ascii="Times New Roman" w:hAnsi="Times New Roman" w:cs="Times New Roman"/>
                <w:sz w:val="24"/>
                <w:szCs w:val="24"/>
                <w:lang w:val="vi-VN"/>
              </w:rPr>
              <w:lastRenderedPageBreak/>
              <w:t>TRƯỜNG ĐẠI HỌC KIẾN TRÚC ĐÀ NẴNG</w:t>
            </w:r>
          </w:p>
          <w:p w14:paraId="5135E18D" w14:textId="77777777" w:rsidR="00606059" w:rsidRPr="00064CEA" w:rsidRDefault="00606059" w:rsidP="00606059">
            <w:pPr>
              <w:spacing w:line="360" w:lineRule="auto"/>
              <w:jc w:val="center"/>
              <w:rPr>
                <w:rFonts w:ascii="Times New Roman" w:hAnsi="Times New Roman" w:cs="Times New Roman"/>
                <w:sz w:val="24"/>
                <w:szCs w:val="24"/>
                <w:lang w:val="vi-VN"/>
              </w:rPr>
            </w:pPr>
            <w:r w:rsidRPr="00064CEA">
              <w:rPr>
                <w:rFonts w:ascii="Times New Roman" w:hAnsi="Times New Roman" w:cs="Times New Roman"/>
                <w:sz w:val="24"/>
                <w:szCs w:val="24"/>
                <w:lang w:val="vi-VN"/>
              </w:rPr>
              <w:t>KHOA KINH TẾ</w:t>
            </w:r>
          </w:p>
          <w:p w14:paraId="1B1AB1EC" w14:textId="77777777" w:rsidR="00606059" w:rsidRPr="00B825DD" w:rsidRDefault="00606059" w:rsidP="00606059">
            <w:pPr>
              <w:spacing w:line="360" w:lineRule="auto"/>
              <w:jc w:val="center"/>
              <w:rPr>
                <w:rFonts w:ascii="Times New Roman" w:hAnsi="Times New Roman" w:cs="Times New Roman"/>
                <w:b/>
                <w:bCs/>
                <w:sz w:val="24"/>
                <w:szCs w:val="24"/>
                <w:u w:val="single"/>
                <w:lang w:val="vi-VN"/>
              </w:rPr>
            </w:pPr>
            <w:r w:rsidRPr="00B825DD">
              <w:rPr>
                <w:rFonts w:ascii="Times New Roman" w:hAnsi="Times New Roman" w:cs="Times New Roman"/>
                <w:b/>
                <w:bCs/>
                <w:sz w:val="24"/>
                <w:szCs w:val="24"/>
                <w:u w:val="single"/>
                <w:lang w:val="vi-VN"/>
              </w:rPr>
              <w:t>BỘ MÔN TÀI CHÍNH - NGÂN HÀNG</w:t>
            </w:r>
          </w:p>
        </w:tc>
        <w:tc>
          <w:tcPr>
            <w:tcW w:w="2500" w:type="pct"/>
          </w:tcPr>
          <w:p w14:paraId="6A285A16" w14:textId="77777777" w:rsidR="00606059" w:rsidRPr="00B825DD" w:rsidRDefault="00606059" w:rsidP="00606059">
            <w:pPr>
              <w:spacing w:line="360" w:lineRule="auto"/>
              <w:jc w:val="center"/>
              <w:rPr>
                <w:rFonts w:ascii="Times New Roman" w:hAnsi="Times New Roman" w:cs="Times New Roman"/>
                <w:b/>
                <w:bCs/>
                <w:sz w:val="24"/>
                <w:szCs w:val="24"/>
                <w:lang w:val="vi-VN"/>
              </w:rPr>
            </w:pPr>
            <w:r w:rsidRPr="00B825DD">
              <w:rPr>
                <w:rFonts w:ascii="Times New Roman" w:hAnsi="Times New Roman" w:cs="Times New Roman"/>
                <w:b/>
                <w:bCs/>
                <w:sz w:val="24"/>
                <w:szCs w:val="24"/>
                <w:lang w:val="vi-VN"/>
              </w:rPr>
              <w:t>CỘNG HOÀ XÃ HỘI CHỦ NGHĨA VIỆT NAM</w:t>
            </w:r>
          </w:p>
          <w:p w14:paraId="2914F667" w14:textId="77777777" w:rsidR="00606059" w:rsidRPr="00B825DD" w:rsidRDefault="00606059" w:rsidP="00606059">
            <w:pPr>
              <w:spacing w:line="360" w:lineRule="auto"/>
              <w:jc w:val="center"/>
              <w:rPr>
                <w:rFonts w:ascii="Times New Roman" w:hAnsi="Times New Roman" w:cs="Times New Roman"/>
                <w:b/>
                <w:bCs/>
                <w:sz w:val="24"/>
                <w:szCs w:val="24"/>
                <w:u w:val="single"/>
                <w:lang w:val="vi-VN"/>
              </w:rPr>
            </w:pPr>
            <w:r w:rsidRPr="00B825DD">
              <w:rPr>
                <w:rFonts w:ascii="Times New Roman" w:hAnsi="Times New Roman" w:cs="Times New Roman"/>
                <w:b/>
                <w:bCs/>
                <w:sz w:val="24"/>
                <w:szCs w:val="24"/>
                <w:u w:val="single"/>
                <w:lang w:val="vi-VN"/>
              </w:rPr>
              <w:t>Độc lập - Tự do - Hạnh Phúc</w:t>
            </w:r>
          </w:p>
          <w:p w14:paraId="243DA34A" w14:textId="77777777" w:rsidR="00606059" w:rsidRPr="00B825DD" w:rsidRDefault="00606059" w:rsidP="00606059">
            <w:pPr>
              <w:spacing w:line="360" w:lineRule="auto"/>
              <w:rPr>
                <w:rFonts w:ascii="Times New Roman" w:hAnsi="Times New Roman" w:cs="Times New Roman"/>
                <w:b/>
                <w:bCs/>
                <w:sz w:val="24"/>
                <w:szCs w:val="24"/>
                <w:lang w:val="vi-VN"/>
              </w:rPr>
            </w:pPr>
          </w:p>
        </w:tc>
      </w:tr>
    </w:tbl>
    <w:p w14:paraId="0E62AD7E" w14:textId="4EAC495A" w:rsidR="00606059" w:rsidRPr="00A33AD7" w:rsidRDefault="00606059" w:rsidP="00606059">
      <w:pPr>
        <w:spacing w:after="0" w:line="360" w:lineRule="auto"/>
        <w:ind w:left="4536" w:right="-334" w:firstLine="142"/>
        <w:rPr>
          <w:rFonts w:ascii="Times New Roman" w:hAnsi="Times New Roman" w:cs="Times New Roman"/>
          <w:i/>
          <w:iCs/>
          <w:sz w:val="26"/>
          <w:szCs w:val="26"/>
          <w:lang w:val="vi-VN"/>
        </w:rPr>
      </w:pPr>
      <w:r w:rsidRPr="002B008A">
        <w:rPr>
          <w:rFonts w:ascii="Times New Roman" w:hAnsi="Times New Roman" w:cs="Times New Roman"/>
          <w:i/>
          <w:iCs/>
          <w:sz w:val="26"/>
          <w:szCs w:val="26"/>
          <w:lang w:val="vi-VN"/>
        </w:rPr>
        <w:t xml:space="preserve">     Đà Nẵng,ngày…..tháng…...năm 20….</w:t>
      </w:r>
    </w:p>
    <w:p w14:paraId="7AA67524" w14:textId="77777777" w:rsidR="00606059" w:rsidRPr="00A33AD7" w:rsidRDefault="00606059" w:rsidP="00606059">
      <w:pPr>
        <w:spacing w:after="0" w:line="360" w:lineRule="auto"/>
        <w:jc w:val="center"/>
        <w:rPr>
          <w:rFonts w:ascii="Times New Roman" w:hAnsi="Times New Roman" w:cs="Times New Roman"/>
          <w:b/>
          <w:bCs/>
          <w:sz w:val="26"/>
          <w:szCs w:val="26"/>
          <w:lang w:val="vi-VN"/>
        </w:rPr>
      </w:pPr>
      <w:r w:rsidRPr="002B008A">
        <w:rPr>
          <w:rFonts w:ascii="Times New Roman" w:hAnsi="Times New Roman" w:cs="Times New Roman"/>
          <w:b/>
          <w:bCs/>
          <w:sz w:val="26"/>
          <w:szCs w:val="26"/>
          <w:lang w:val="vi-VN"/>
        </w:rPr>
        <w:t>NHIỆM VỤ KHOÁ LUẬN TỐT NGHIỆP</w:t>
      </w:r>
    </w:p>
    <w:p w14:paraId="4D2B3E9C" w14:textId="77777777" w:rsidR="00606059" w:rsidRPr="002B008A" w:rsidRDefault="00606059" w:rsidP="00064CEA">
      <w:pPr>
        <w:pStyle w:val="ListParagraph"/>
        <w:numPr>
          <w:ilvl w:val="0"/>
          <w:numId w:val="7"/>
        </w:numPr>
        <w:tabs>
          <w:tab w:val="left" w:pos="567"/>
        </w:tabs>
        <w:spacing w:after="0" w:line="336" w:lineRule="auto"/>
        <w:ind w:left="0" w:firstLine="284"/>
        <w:rPr>
          <w:rFonts w:ascii="Times New Roman" w:hAnsi="Times New Roman" w:cs="Times New Roman"/>
          <w:b/>
          <w:bCs/>
          <w:sz w:val="26"/>
          <w:szCs w:val="26"/>
        </w:rPr>
      </w:pPr>
      <w:r w:rsidRPr="002B008A">
        <w:rPr>
          <w:rFonts w:ascii="Times New Roman" w:hAnsi="Times New Roman" w:cs="Times New Roman"/>
          <w:b/>
          <w:bCs/>
          <w:sz w:val="26"/>
          <w:szCs w:val="26"/>
        </w:rPr>
        <w:t>Thông</w:t>
      </w:r>
      <w:r w:rsidRPr="002B008A">
        <w:rPr>
          <w:rFonts w:ascii="Times New Roman" w:hAnsi="Times New Roman" w:cs="Times New Roman"/>
          <w:b/>
          <w:bCs/>
          <w:spacing w:val="-6"/>
          <w:sz w:val="26"/>
          <w:szCs w:val="26"/>
        </w:rPr>
        <w:t xml:space="preserve"> </w:t>
      </w:r>
      <w:r w:rsidRPr="002B008A">
        <w:rPr>
          <w:rFonts w:ascii="Times New Roman" w:hAnsi="Times New Roman" w:cs="Times New Roman"/>
          <w:b/>
          <w:bCs/>
          <w:sz w:val="26"/>
          <w:szCs w:val="26"/>
        </w:rPr>
        <w:t>tin</w:t>
      </w:r>
      <w:r w:rsidRPr="002B008A">
        <w:rPr>
          <w:rFonts w:ascii="Times New Roman" w:hAnsi="Times New Roman" w:cs="Times New Roman"/>
          <w:b/>
          <w:bCs/>
          <w:spacing w:val="-3"/>
          <w:sz w:val="26"/>
          <w:szCs w:val="26"/>
        </w:rPr>
        <w:t xml:space="preserve"> </w:t>
      </w:r>
      <w:r w:rsidRPr="002B008A">
        <w:rPr>
          <w:rFonts w:ascii="Times New Roman" w:hAnsi="Times New Roman" w:cs="Times New Roman"/>
          <w:b/>
          <w:bCs/>
          <w:sz w:val="26"/>
          <w:szCs w:val="26"/>
        </w:rPr>
        <w:t>sinh</w:t>
      </w:r>
      <w:r w:rsidRPr="002B008A">
        <w:rPr>
          <w:rFonts w:ascii="Times New Roman" w:hAnsi="Times New Roman" w:cs="Times New Roman"/>
          <w:b/>
          <w:bCs/>
          <w:spacing w:val="-3"/>
          <w:sz w:val="26"/>
          <w:szCs w:val="26"/>
        </w:rPr>
        <w:t xml:space="preserve"> </w:t>
      </w:r>
      <w:r w:rsidRPr="002B008A">
        <w:rPr>
          <w:rFonts w:ascii="Times New Roman" w:hAnsi="Times New Roman" w:cs="Times New Roman"/>
          <w:b/>
          <w:bCs/>
          <w:spacing w:val="-4"/>
          <w:sz w:val="26"/>
          <w:szCs w:val="26"/>
        </w:rPr>
        <w:t>viên:</w:t>
      </w:r>
    </w:p>
    <w:p w14:paraId="0F0DB2BA" w14:textId="77777777" w:rsidR="00606059" w:rsidRPr="002B008A" w:rsidRDefault="00606059" w:rsidP="00064CEA">
      <w:pPr>
        <w:pStyle w:val="ListParagraph"/>
        <w:widowControl w:val="0"/>
        <w:numPr>
          <w:ilvl w:val="1"/>
          <w:numId w:val="3"/>
        </w:numPr>
        <w:tabs>
          <w:tab w:val="left" w:pos="567"/>
          <w:tab w:val="left" w:pos="2566"/>
        </w:tabs>
        <w:autoSpaceDE w:val="0"/>
        <w:autoSpaceDN w:val="0"/>
        <w:spacing w:after="0" w:line="336" w:lineRule="auto"/>
        <w:ind w:left="292" w:hanging="8"/>
        <w:contextualSpacing w:val="0"/>
        <w:jc w:val="both"/>
        <w:rPr>
          <w:rFonts w:ascii="Times New Roman" w:hAnsi="Times New Roman" w:cs="Times New Roman"/>
          <w:sz w:val="26"/>
          <w:szCs w:val="26"/>
        </w:rPr>
      </w:pPr>
      <w:r w:rsidRPr="002B008A">
        <w:rPr>
          <w:rFonts w:ascii="Times New Roman" w:hAnsi="Times New Roman" w:cs="Times New Roman"/>
          <w:sz w:val="26"/>
          <w:szCs w:val="26"/>
        </w:rPr>
        <w:t>Họ</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và</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tên</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sinh</w:t>
      </w:r>
      <w:r w:rsidRPr="00064CEA">
        <w:rPr>
          <w:rFonts w:ascii="Times New Roman" w:hAnsi="Times New Roman" w:cs="Times New Roman"/>
          <w:sz w:val="26"/>
          <w:szCs w:val="26"/>
        </w:rPr>
        <w:t xml:space="preserve"> viên</w:t>
      </w:r>
      <w:r w:rsidRPr="002B008A">
        <w:rPr>
          <w:rFonts w:ascii="Times New Roman" w:hAnsi="Times New Roman" w:cs="Times New Roman"/>
          <w:sz w:val="26"/>
          <w:szCs w:val="26"/>
        </w:rPr>
        <w:tab/>
        <w:t>:</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Trần</w:t>
      </w:r>
      <w:r w:rsidRPr="00064CEA">
        <w:rPr>
          <w:rFonts w:ascii="Times New Roman" w:hAnsi="Times New Roman" w:cs="Times New Roman"/>
          <w:sz w:val="26"/>
          <w:szCs w:val="26"/>
        </w:rPr>
        <w:t xml:space="preserve"> Thị Thanh Thảo</w:t>
      </w:r>
    </w:p>
    <w:p w14:paraId="1B8E4B0F" w14:textId="71556059" w:rsidR="00606059" w:rsidRPr="002B008A" w:rsidRDefault="00606059" w:rsidP="00064CEA">
      <w:pPr>
        <w:pStyle w:val="ListParagraph"/>
        <w:widowControl w:val="0"/>
        <w:numPr>
          <w:ilvl w:val="1"/>
          <w:numId w:val="3"/>
        </w:numPr>
        <w:tabs>
          <w:tab w:val="left" w:pos="567"/>
          <w:tab w:val="left" w:pos="2566"/>
        </w:tabs>
        <w:autoSpaceDE w:val="0"/>
        <w:autoSpaceDN w:val="0"/>
        <w:spacing w:after="0" w:line="336" w:lineRule="auto"/>
        <w:ind w:left="292" w:hanging="8"/>
        <w:contextualSpacing w:val="0"/>
        <w:jc w:val="both"/>
        <w:rPr>
          <w:rFonts w:ascii="Times New Roman" w:hAnsi="Times New Roman" w:cs="Times New Roman"/>
          <w:sz w:val="26"/>
          <w:szCs w:val="26"/>
        </w:rPr>
      </w:pPr>
      <w:r w:rsidRPr="002B008A">
        <w:rPr>
          <w:rFonts w:ascii="Times New Roman" w:hAnsi="Times New Roman" w:cs="Times New Roman"/>
          <w:sz w:val="26"/>
          <w:szCs w:val="26"/>
        </w:rPr>
        <w:t>Ngành</w:t>
      </w:r>
      <w:r w:rsidRPr="00064CEA">
        <w:rPr>
          <w:rFonts w:ascii="Times New Roman" w:hAnsi="Times New Roman" w:cs="Times New Roman"/>
          <w:sz w:val="26"/>
          <w:szCs w:val="26"/>
        </w:rPr>
        <w:t xml:space="preserve"> học</w:t>
      </w:r>
      <w:r w:rsidRPr="002B008A">
        <w:rPr>
          <w:rFonts w:ascii="Times New Roman" w:hAnsi="Times New Roman" w:cs="Times New Roman"/>
          <w:sz w:val="26"/>
          <w:szCs w:val="26"/>
        </w:rPr>
        <w:tab/>
      </w:r>
      <w:r w:rsidR="00064CEA">
        <w:rPr>
          <w:rFonts w:ascii="Times New Roman" w:hAnsi="Times New Roman" w:cs="Times New Roman"/>
          <w:sz w:val="26"/>
          <w:szCs w:val="26"/>
        </w:rPr>
        <w:tab/>
      </w:r>
      <w:r w:rsidRPr="002B008A">
        <w:rPr>
          <w:rFonts w:ascii="Times New Roman" w:hAnsi="Times New Roman" w:cs="Times New Roman"/>
          <w:sz w:val="26"/>
          <w:szCs w:val="26"/>
        </w:rPr>
        <w:t>:</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Tài</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chính</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Ngân</w:t>
      </w:r>
      <w:r w:rsidRPr="00064CEA">
        <w:rPr>
          <w:rFonts w:ascii="Times New Roman" w:hAnsi="Times New Roman" w:cs="Times New Roman"/>
          <w:sz w:val="26"/>
          <w:szCs w:val="26"/>
        </w:rPr>
        <w:t xml:space="preserve"> hàng</w:t>
      </w:r>
    </w:p>
    <w:p w14:paraId="5BED4DFE" w14:textId="735E3781" w:rsidR="00064CEA" w:rsidRPr="00064CEA" w:rsidRDefault="00606059" w:rsidP="00064CEA">
      <w:pPr>
        <w:pStyle w:val="ListParagraph"/>
        <w:widowControl w:val="0"/>
        <w:numPr>
          <w:ilvl w:val="1"/>
          <w:numId w:val="3"/>
        </w:numPr>
        <w:tabs>
          <w:tab w:val="left" w:pos="567"/>
          <w:tab w:val="left" w:pos="2566"/>
        </w:tabs>
        <w:autoSpaceDE w:val="0"/>
        <w:autoSpaceDN w:val="0"/>
        <w:spacing w:after="0" w:line="336" w:lineRule="auto"/>
        <w:ind w:left="292" w:hanging="8"/>
        <w:contextualSpacing w:val="0"/>
        <w:jc w:val="both"/>
        <w:rPr>
          <w:rFonts w:ascii="Times New Roman" w:hAnsi="Times New Roman" w:cs="Times New Roman"/>
          <w:sz w:val="26"/>
          <w:szCs w:val="26"/>
        </w:rPr>
      </w:pPr>
      <w:r w:rsidRPr="002B008A">
        <w:rPr>
          <w:rFonts w:ascii="Times New Roman" w:hAnsi="Times New Roman" w:cs="Times New Roman"/>
          <w:sz w:val="26"/>
          <w:szCs w:val="26"/>
        </w:rPr>
        <w:t>Trình</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độ</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đào</w:t>
      </w:r>
      <w:r w:rsidRPr="00064CEA">
        <w:rPr>
          <w:rFonts w:ascii="Times New Roman" w:hAnsi="Times New Roman" w:cs="Times New Roman"/>
          <w:sz w:val="26"/>
          <w:szCs w:val="26"/>
        </w:rPr>
        <w:t xml:space="preserve"> tạo</w:t>
      </w:r>
      <w:r w:rsidRPr="002B008A">
        <w:rPr>
          <w:rFonts w:ascii="Times New Roman" w:hAnsi="Times New Roman" w:cs="Times New Roman"/>
          <w:sz w:val="26"/>
          <w:szCs w:val="26"/>
        </w:rPr>
        <w:tab/>
      </w:r>
      <w:r w:rsidR="00064CEA">
        <w:rPr>
          <w:rFonts w:ascii="Times New Roman" w:hAnsi="Times New Roman" w:cs="Times New Roman"/>
          <w:sz w:val="26"/>
          <w:szCs w:val="26"/>
        </w:rPr>
        <w:tab/>
      </w:r>
      <w:r w:rsidRPr="002B008A">
        <w:rPr>
          <w:rFonts w:ascii="Times New Roman" w:hAnsi="Times New Roman" w:cs="Times New Roman"/>
          <w:sz w:val="26"/>
          <w:szCs w:val="26"/>
        </w:rPr>
        <w:t>:</w:t>
      </w:r>
      <w:r w:rsidRPr="00064CEA">
        <w:rPr>
          <w:rFonts w:ascii="Times New Roman" w:hAnsi="Times New Roman" w:cs="Times New Roman"/>
          <w:sz w:val="26"/>
          <w:szCs w:val="26"/>
        </w:rPr>
        <w:t xml:space="preserve"> </w:t>
      </w:r>
      <w:r w:rsidRPr="002B008A">
        <w:rPr>
          <w:rFonts w:ascii="Times New Roman" w:hAnsi="Times New Roman" w:cs="Times New Roman"/>
          <w:sz w:val="26"/>
          <w:szCs w:val="26"/>
        </w:rPr>
        <w:t>Đại</w:t>
      </w:r>
      <w:r w:rsidRPr="00064CEA">
        <w:rPr>
          <w:rFonts w:ascii="Times New Roman" w:hAnsi="Times New Roman" w:cs="Times New Roman"/>
          <w:sz w:val="26"/>
          <w:szCs w:val="26"/>
        </w:rPr>
        <w:t xml:space="preserve"> học</w:t>
      </w:r>
    </w:p>
    <w:p w14:paraId="50F7B0D9" w14:textId="008455C4" w:rsidR="00606059" w:rsidRPr="00064CEA" w:rsidRDefault="00064CEA" w:rsidP="00064CEA">
      <w:pPr>
        <w:pStyle w:val="ListParagraph"/>
        <w:widowControl w:val="0"/>
        <w:numPr>
          <w:ilvl w:val="1"/>
          <w:numId w:val="3"/>
        </w:numPr>
        <w:tabs>
          <w:tab w:val="left" w:pos="567"/>
          <w:tab w:val="left" w:pos="2566"/>
        </w:tabs>
        <w:autoSpaceDE w:val="0"/>
        <w:autoSpaceDN w:val="0"/>
        <w:spacing w:after="0" w:line="336" w:lineRule="auto"/>
        <w:ind w:left="292" w:hanging="8"/>
        <w:contextualSpacing w:val="0"/>
        <w:jc w:val="both"/>
        <w:rPr>
          <w:rFonts w:ascii="Times New Roman" w:hAnsi="Times New Roman" w:cs="Times New Roman"/>
          <w:sz w:val="26"/>
          <w:szCs w:val="26"/>
        </w:rPr>
      </w:pPr>
      <w:r w:rsidRPr="00064CEA">
        <w:rPr>
          <w:rFonts w:ascii="Times New Roman" w:hAnsi="Times New Roman" w:cs="Times New Roman"/>
          <w:sz w:val="26"/>
          <w:szCs w:val="26"/>
        </w:rPr>
        <w:t>K</w:t>
      </w:r>
      <w:r w:rsidR="00606059" w:rsidRPr="00064CEA">
        <w:rPr>
          <w:rFonts w:ascii="Times New Roman" w:hAnsi="Times New Roman" w:cs="Times New Roman"/>
          <w:sz w:val="26"/>
          <w:szCs w:val="26"/>
        </w:rPr>
        <w:t>hoá học</w:t>
      </w:r>
      <w:r w:rsidR="00606059" w:rsidRPr="00064CEA">
        <w:rPr>
          <w:rFonts w:ascii="Times New Roman" w:hAnsi="Times New Roman" w:cs="Times New Roman"/>
          <w:sz w:val="26"/>
          <w:szCs w:val="26"/>
        </w:rPr>
        <w:tab/>
      </w:r>
      <w:r>
        <w:rPr>
          <w:rFonts w:ascii="Times New Roman" w:hAnsi="Times New Roman" w:cs="Times New Roman"/>
          <w:sz w:val="26"/>
          <w:szCs w:val="26"/>
        </w:rPr>
        <w:tab/>
      </w:r>
      <w:r w:rsidR="00606059" w:rsidRPr="00064CEA">
        <w:rPr>
          <w:rFonts w:ascii="Times New Roman" w:hAnsi="Times New Roman" w:cs="Times New Roman"/>
          <w:sz w:val="26"/>
          <w:szCs w:val="26"/>
        </w:rPr>
        <w:t>: 2022 - 2026</w:t>
      </w:r>
    </w:p>
    <w:p w14:paraId="494862C0" w14:textId="77777777" w:rsidR="00606059" w:rsidRPr="002B008A" w:rsidRDefault="00606059" w:rsidP="00064CEA">
      <w:pPr>
        <w:pStyle w:val="ListParagraph"/>
        <w:numPr>
          <w:ilvl w:val="0"/>
          <w:numId w:val="7"/>
        </w:numPr>
        <w:tabs>
          <w:tab w:val="left" w:pos="567"/>
        </w:tabs>
        <w:spacing w:after="0" w:line="336" w:lineRule="auto"/>
        <w:ind w:left="0" w:firstLine="284"/>
        <w:rPr>
          <w:rFonts w:ascii="Times New Roman" w:hAnsi="Times New Roman" w:cs="Times New Roman"/>
          <w:b/>
          <w:bCs/>
          <w:sz w:val="26"/>
          <w:szCs w:val="26"/>
          <w:lang w:val="vi"/>
        </w:rPr>
      </w:pPr>
      <w:r w:rsidRPr="002B008A">
        <w:rPr>
          <w:rFonts w:ascii="Times New Roman" w:hAnsi="Times New Roman" w:cs="Times New Roman"/>
          <w:b/>
          <w:bCs/>
          <w:sz w:val="26"/>
          <w:szCs w:val="26"/>
          <w:lang w:val="vi"/>
        </w:rPr>
        <w:t>Tên</w:t>
      </w:r>
      <w:r w:rsidRPr="002B008A">
        <w:rPr>
          <w:rFonts w:ascii="Times New Roman" w:hAnsi="Times New Roman" w:cs="Times New Roman"/>
          <w:b/>
          <w:bCs/>
          <w:spacing w:val="-3"/>
          <w:sz w:val="26"/>
          <w:szCs w:val="26"/>
          <w:lang w:val="vi"/>
        </w:rPr>
        <w:t xml:space="preserve"> </w:t>
      </w:r>
      <w:r w:rsidRPr="002B008A">
        <w:rPr>
          <w:rFonts w:ascii="Times New Roman" w:hAnsi="Times New Roman" w:cs="Times New Roman"/>
          <w:b/>
          <w:bCs/>
          <w:sz w:val="26"/>
          <w:szCs w:val="26"/>
          <w:lang w:val="vi"/>
        </w:rPr>
        <w:t>đề</w:t>
      </w:r>
      <w:r w:rsidRPr="002B008A">
        <w:rPr>
          <w:rFonts w:ascii="Times New Roman" w:hAnsi="Times New Roman" w:cs="Times New Roman"/>
          <w:b/>
          <w:bCs/>
          <w:spacing w:val="-4"/>
          <w:sz w:val="26"/>
          <w:szCs w:val="26"/>
          <w:lang w:val="vi"/>
        </w:rPr>
        <w:t xml:space="preserve"> </w:t>
      </w:r>
      <w:r w:rsidRPr="002B008A">
        <w:rPr>
          <w:rFonts w:ascii="Times New Roman" w:hAnsi="Times New Roman" w:cs="Times New Roman"/>
          <w:b/>
          <w:bCs/>
          <w:sz w:val="26"/>
          <w:szCs w:val="26"/>
          <w:lang w:val="vi"/>
        </w:rPr>
        <w:t>tài</w:t>
      </w:r>
      <w:r w:rsidRPr="002B008A">
        <w:rPr>
          <w:rFonts w:ascii="Times New Roman" w:hAnsi="Times New Roman" w:cs="Times New Roman"/>
          <w:b/>
          <w:bCs/>
          <w:spacing w:val="-5"/>
          <w:sz w:val="26"/>
          <w:szCs w:val="26"/>
          <w:lang w:val="vi"/>
        </w:rPr>
        <w:t xml:space="preserve"> </w:t>
      </w:r>
      <w:r w:rsidRPr="002B008A">
        <w:rPr>
          <w:rFonts w:ascii="Times New Roman" w:hAnsi="Times New Roman" w:cs="Times New Roman"/>
          <w:b/>
          <w:bCs/>
          <w:sz w:val="26"/>
          <w:szCs w:val="26"/>
          <w:lang w:val="vi"/>
        </w:rPr>
        <w:t>khóa</w:t>
      </w:r>
      <w:r w:rsidRPr="002B008A">
        <w:rPr>
          <w:rFonts w:ascii="Times New Roman" w:hAnsi="Times New Roman" w:cs="Times New Roman"/>
          <w:b/>
          <w:bCs/>
          <w:spacing w:val="-2"/>
          <w:sz w:val="26"/>
          <w:szCs w:val="26"/>
          <w:lang w:val="vi"/>
        </w:rPr>
        <w:t xml:space="preserve"> </w:t>
      </w:r>
      <w:r w:rsidRPr="002B008A">
        <w:rPr>
          <w:rFonts w:ascii="Times New Roman" w:hAnsi="Times New Roman" w:cs="Times New Roman"/>
          <w:b/>
          <w:bCs/>
          <w:sz w:val="26"/>
          <w:szCs w:val="26"/>
          <w:lang w:val="vi"/>
        </w:rPr>
        <w:t>luận</w:t>
      </w:r>
      <w:r w:rsidRPr="002B008A">
        <w:rPr>
          <w:rFonts w:ascii="Times New Roman" w:hAnsi="Times New Roman" w:cs="Times New Roman"/>
          <w:b/>
          <w:bCs/>
          <w:spacing w:val="-5"/>
          <w:sz w:val="26"/>
          <w:szCs w:val="26"/>
          <w:lang w:val="vi"/>
        </w:rPr>
        <w:t xml:space="preserve"> </w:t>
      </w:r>
      <w:r w:rsidRPr="002B008A">
        <w:rPr>
          <w:rFonts w:ascii="Times New Roman" w:hAnsi="Times New Roman" w:cs="Times New Roman"/>
          <w:b/>
          <w:bCs/>
          <w:sz w:val="26"/>
          <w:szCs w:val="26"/>
          <w:lang w:val="vi"/>
        </w:rPr>
        <w:t>tốt</w:t>
      </w:r>
      <w:r w:rsidRPr="002B008A">
        <w:rPr>
          <w:rFonts w:ascii="Times New Roman" w:hAnsi="Times New Roman" w:cs="Times New Roman"/>
          <w:b/>
          <w:bCs/>
          <w:spacing w:val="-5"/>
          <w:sz w:val="26"/>
          <w:szCs w:val="26"/>
          <w:lang w:val="vi"/>
        </w:rPr>
        <w:t xml:space="preserve"> </w:t>
      </w:r>
      <w:r w:rsidRPr="002B008A">
        <w:rPr>
          <w:rFonts w:ascii="Times New Roman" w:hAnsi="Times New Roman" w:cs="Times New Roman"/>
          <w:b/>
          <w:bCs/>
          <w:spacing w:val="-2"/>
          <w:sz w:val="26"/>
          <w:szCs w:val="26"/>
          <w:lang w:val="vi"/>
        </w:rPr>
        <w:t>nghiệp:</w:t>
      </w:r>
    </w:p>
    <w:p w14:paraId="79014B7E" w14:textId="01C34EAD" w:rsidR="00606059" w:rsidRPr="00A33AD7" w:rsidRDefault="00A33AD7" w:rsidP="00064CEA">
      <w:pPr>
        <w:pStyle w:val="BodyText"/>
        <w:spacing w:line="336" w:lineRule="auto"/>
        <w:ind w:left="0" w:right="34" w:firstLine="720"/>
        <w:jc w:val="both"/>
        <w:rPr>
          <w:lang w:val="vi-VN"/>
        </w:rPr>
      </w:pPr>
      <w:r w:rsidRPr="00A33AD7">
        <w:t>Giải pháp nâng cao hiệu quả hoạt động cho vay sản xuất kinh doanh đối với khách hàng cá nhân tại ngân hàng TMCP Quân đội – Chi nhánh Đà Nẵng.</w:t>
      </w:r>
    </w:p>
    <w:p w14:paraId="41BA289E" w14:textId="0B1BD5D4" w:rsidR="00606059" w:rsidRPr="002B008A" w:rsidRDefault="00606059" w:rsidP="00064CEA">
      <w:pPr>
        <w:pStyle w:val="ListParagraph"/>
        <w:numPr>
          <w:ilvl w:val="0"/>
          <w:numId w:val="7"/>
        </w:numPr>
        <w:tabs>
          <w:tab w:val="left" w:pos="567"/>
        </w:tabs>
        <w:spacing w:after="0" w:line="336" w:lineRule="auto"/>
        <w:ind w:left="0" w:firstLine="284"/>
        <w:rPr>
          <w:rFonts w:ascii="Times New Roman" w:hAnsi="Times New Roman" w:cs="Times New Roman"/>
          <w:b/>
          <w:bCs/>
          <w:sz w:val="26"/>
          <w:szCs w:val="26"/>
          <w:lang w:val="vi"/>
        </w:rPr>
      </w:pPr>
      <w:r w:rsidRPr="002B008A">
        <w:rPr>
          <w:rFonts w:ascii="Times New Roman" w:hAnsi="Times New Roman" w:cs="Times New Roman"/>
          <w:b/>
          <w:bCs/>
          <w:sz w:val="26"/>
          <w:szCs w:val="26"/>
          <w:lang w:val="vi"/>
        </w:rPr>
        <w:t>Các</w:t>
      </w:r>
      <w:r w:rsidRPr="002B008A">
        <w:rPr>
          <w:rFonts w:ascii="Times New Roman" w:hAnsi="Times New Roman" w:cs="Times New Roman"/>
          <w:b/>
          <w:bCs/>
          <w:spacing w:val="-5"/>
          <w:sz w:val="26"/>
          <w:szCs w:val="26"/>
          <w:lang w:val="vi"/>
        </w:rPr>
        <w:t xml:space="preserve"> </w:t>
      </w:r>
      <w:r w:rsidRPr="002B008A">
        <w:rPr>
          <w:rFonts w:ascii="Times New Roman" w:hAnsi="Times New Roman" w:cs="Times New Roman"/>
          <w:b/>
          <w:bCs/>
          <w:sz w:val="26"/>
          <w:szCs w:val="26"/>
          <w:lang w:val="vi"/>
        </w:rPr>
        <w:t>số</w:t>
      </w:r>
      <w:r w:rsidRPr="002B008A">
        <w:rPr>
          <w:rFonts w:ascii="Times New Roman" w:hAnsi="Times New Roman" w:cs="Times New Roman"/>
          <w:b/>
          <w:bCs/>
          <w:spacing w:val="-4"/>
          <w:sz w:val="26"/>
          <w:szCs w:val="26"/>
          <w:lang w:val="vi"/>
        </w:rPr>
        <w:t xml:space="preserve"> </w:t>
      </w:r>
      <w:r w:rsidRPr="002B008A">
        <w:rPr>
          <w:rFonts w:ascii="Times New Roman" w:hAnsi="Times New Roman" w:cs="Times New Roman"/>
          <w:b/>
          <w:bCs/>
          <w:sz w:val="26"/>
          <w:szCs w:val="26"/>
          <w:lang w:val="vi"/>
        </w:rPr>
        <w:t>liệu</w:t>
      </w:r>
      <w:r w:rsidRPr="002B008A">
        <w:rPr>
          <w:rFonts w:ascii="Times New Roman" w:hAnsi="Times New Roman" w:cs="Times New Roman"/>
          <w:b/>
          <w:bCs/>
          <w:spacing w:val="-5"/>
          <w:sz w:val="26"/>
          <w:szCs w:val="26"/>
          <w:lang w:val="vi"/>
        </w:rPr>
        <w:t xml:space="preserve"> </w:t>
      </w:r>
      <w:r w:rsidRPr="002B008A">
        <w:rPr>
          <w:rFonts w:ascii="Times New Roman" w:hAnsi="Times New Roman" w:cs="Times New Roman"/>
          <w:b/>
          <w:bCs/>
          <w:sz w:val="26"/>
          <w:szCs w:val="26"/>
          <w:lang w:val="vi"/>
        </w:rPr>
        <w:t>ban</w:t>
      </w:r>
      <w:r w:rsidRPr="002B008A">
        <w:rPr>
          <w:rFonts w:ascii="Times New Roman" w:hAnsi="Times New Roman" w:cs="Times New Roman"/>
          <w:b/>
          <w:bCs/>
          <w:spacing w:val="-3"/>
          <w:sz w:val="26"/>
          <w:szCs w:val="26"/>
          <w:lang w:val="vi"/>
        </w:rPr>
        <w:t xml:space="preserve"> </w:t>
      </w:r>
      <w:r w:rsidRPr="002B008A">
        <w:rPr>
          <w:rFonts w:ascii="Times New Roman" w:hAnsi="Times New Roman" w:cs="Times New Roman"/>
          <w:b/>
          <w:bCs/>
          <w:sz w:val="26"/>
          <w:szCs w:val="26"/>
          <w:lang w:val="vi"/>
        </w:rPr>
        <w:t>đầu</w:t>
      </w:r>
      <w:r w:rsidRPr="002B008A">
        <w:rPr>
          <w:rFonts w:ascii="Times New Roman" w:hAnsi="Times New Roman" w:cs="Times New Roman"/>
          <w:b/>
          <w:bCs/>
          <w:spacing w:val="-5"/>
          <w:sz w:val="26"/>
          <w:szCs w:val="26"/>
          <w:lang w:val="vi"/>
        </w:rPr>
        <w:t xml:space="preserve"> </w:t>
      </w:r>
      <w:r w:rsidRPr="002B008A">
        <w:rPr>
          <w:rFonts w:ascii="Times New Roman" w:hAnsi="Times New Roman" w:cs="Times New Roman"/>
          <w:b/>
          <w:bCs/>
          <w:sz w:val="26"/>
          <w:szCs w:val="26"/>
          <w:lang w:val="vi"/>
        </w:rPr>
        <w:t>để</w:t>
      </w:r>
      <w:r w:rsidRPr="002B008A">
        <w:rPr>
          <w:rFonts w:ascii="Times New Roman" w:hAnsi="Times New Roman" w:cs="Times New Roman"/>
          <w:b/>
          <w:bCs/>
          <w:spacing w:val="-2"/>
          <w:sz w:val="26"/>
          <w:szCs w:val="26"/>
          <w:lang w:val="vi"/>
        </w:rPr>
        <w:t xml:space="preserve"> </w:t>
      </w:r>
      <w:r w:rsidRPr="002B008A">
        <w:rPr>
          <w:rFonts w:ascii="Times New Roman" w:hAnsi="Times New Roman" w:cs="Times New Roman"/>
          <w:b/>
          <w:bCs/>
          <w:sz w:val="26"/>
          <w:szCs w:val="26"/>
          <w:lang w:val="vi"/>
        </w:rPr>
        <w:t>làm</w:t>
      </w:r>
      <w:r w:rsidRPr="002B008A">
        <w:rPr>
          <w:rFonts w:ascii="Times New Roman" w:hAnsi="Times New Roman" w:cs="Times New Roman"/>
          <w:b/>
          <w:bCs/>
          <w:spacing w:val="-2"/>
          <w:sz w:val="26"/>
          <w:szCs w:val="26"/>
          <w:lang w:val="vi"/>
        </w:rPr>
        <w:t xml:space="preserve"> </w:t>
      </w:r>
      <w:r w:rsidRPr="002B008A">
        <w:rPr>
          <w:rFonts w:ascii="Times New Roman" w:hAnsi="Times New Roman" w:cs="Times New Roman"/>
          <w:b/>
          <w:bCs/>
          <w:sz w:val="26"/>
          <w:szCs w:val="26"/>
          <w:lang w:val="vi"/>
        </w:rPr>
        <w:t>khóa</w:t>
      </w:r>
      <w:r w:rsidRPr="002B008A">
        <w:rPr>
          <w:rFonts w:ascii="Times New Roman" w:hAnsi="Times New Roman" w:cs="Times New Roman"/>
          <w:b/>
          <w:bCs/>
          <w:spacing w:val="-5"/>
          <w:sz w:val="26"/>
          <w:szCs w:val="26"/>
          <w:lang w:val="vi"/>
        </w:rPr>
        <w:t xml:space="preserve"> </w:t>
      </w:r>
      <w:r w:rsidR="00A90C98" w:rsidRPr="002B008A">
        <w:rPr>
          <w:rFonts w:ascii="Times New Roman" w:hAnsi="Times New Roman" w:cs="Times New Roman"/>
          <w:b/>
          <w:bCs/>
          <w:spacing w:val="-4"/>
          <w:sz w:val="26"/>
          <w:szCs w:val="26"/>
          <w:lang w:val="vi"/>
        </w:rPr>
        <w:t>luận:</w:t>
      </w:r>
    </w:p>
    <w:p w14:paraId="1DB51B61" w14:textId="77777777" w:rsidR="00606059" w:rsidRPr="002B008A" w:rsidRDefault="00606059" w:rsidP="00064CEA">
      <w:pPr>
        <w:pStyle w:val="ListParagraph"/>
        <w:widowControl w:val="0"/>
        <w:numPr>
          <w:ilvl w:val="1"/>
          <w:numId w:val="3"/>
        </w:numPr>
        <w:tabs>
          <w:tab w:val="left" w:pos="709"/>
        </w:tabs>
        <w:autoSpaceDE w:val="0"/>
        <w:autoSpaceDN w:val="0"/>
        <w:spacing w:after="0" w:line="336" w:lineRule="auto"/>
        <w:ind w:left="0" w:right="1" w:firstLine="426"/>
        <w:contextualSpacing w:val="0"/>
        <w:jc w:val="both"/>
        <w:rPr>
          <w:rFonts w:ascii="Times New Roman" w:hAnsi="Times New Roman" w:cs="Times New Roman"/>
          <w:sz w:val="26"/>
          <w:szCs w:val="26"/>
          <w:lang w:val="vi"/>
        </w:rPr>
      </w:pPr>
      <w:r w:rsidRPr="002B008A">
        <w:rPr>
          <w:rFonts w:ascii="Times New Roman" w:hAnsi="Times New Roman" w:cs="Times New Roman"/>
          <w:sz w:val="26"/>
          <w:szCs w:val="26"/>
          <w:lang w:val="vi"/>
        </w:rPr>
        <w:t>Tình</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hình</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huy</w:t>
      </w:r>
      <w:r w:rsidRPr="002B008A">
        <w:rPr>
          <w:rFonts w:ascii="Times New Roman" w:hAnsi="Times New Roman" w:cs="Times New Roman"/>
          <w:spacing w:val="23"/>
          <w:sz w:val="26"/>
          <w:szCs w:val="26"/>
          <w:lang w:val="vi"/>
        </w:rPr>
        <w:t xml:space="preserve"> </w:t>
      </w:r>
      <w:r w:rsidRPr="002B008A">
        <w:rPr>
          <w:rFonts w:ascii="Times New Roman" w:hAnsi="Times New Roman" w:cs="Times New Roman"/>
          <w:sz w:val="26"/>
          <w:szCs w:val="26"/>
          <w:lang w:val="vi"/>
        </w:rPr>
        <w:t>động</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vốn</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tại</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Ngân</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hàng</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Thương</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mại</w:t>
      </w:r>
      <w:r w:rsidRPr="002B008A">
        <w:rPr>
          <w:rFonts w:ascii="Times New Roman" w:hAnsi="Times New Roman" w:cs="Times New Roman"/>
          <w:spacing w:val="23"/>
          <w:sz w:val="26"/>
          <w:szCs w:val="26"/>
          <w:lang w:val="vi"/>
        </w:rPr>
        <w:t xml:space="preserve"> </w:t>
      </w:r>
      <w:r w:rsidRPr="002B008A">
        <w:rPr>
          <w:rFonts w:ascii="Times New Roman" w:hAnsi="Times New Roman" w:cs="Times New Roman"/>
          <w:sz w:val="26"/>
          <w:szCs w:val="26"/>
          <w:lang w:val="vi"/>
        </w:rPr>
        <w:t>cổ</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phần</w:t>
      </w:r>
      <w:r w:rsidRPr="002B008A">
        <w:rPr>
          <w:rFonts w:ascii="Times New Roman" w:hAnsi="Times New Roman" w:cs="Times New Roman"/>
          <w:spacing w:val="23"/>
          <w:sz w:val="26"/>
          <w:szCs w:val="26"/>
          <w:lang w:val="vi"/>
        </w:rPr>
        <w:t xml:space="preserve"> </w:t>
      </w:r>
      <w:r w:rsidRPr="002B008A">
        <w:rPr>
          <w:rFonts w:ascii="Times New Roman" w:hAnsi="Times New Roman" w:cs="Times New Roman"/>
          <w:sz w:val="26"/>
          <w:szCs w:val="26"/>
          <w:lang w:val="vi"/>
        </w:rPr>
        <w:t>Quân đội-</w:t>
      </w:r>
      <w:r w:rsidRPr="002B008A">
        <w:rPr>
          <w:rFonts w:ascii="Times New Roman" w:hAnsi="Times New Roman" w:cs="Times New Roman"/>
          <w:spacing w:val="25"/>
          <w:sz w:val="26"/>
          <w:szCs w:val="26"/>
          <w:lang w:val="vi"/>
        </w:rPr>
        <w:t xml:space="preserve"> </w:t>
      </w:r>
      <w:r w:rsidRPr="002B008A">
        <w:rPr>
          <w:rFonts w:ascii="Times New Roman" w:hAnsi="Times New Roman" w:cs="Times New Roman"/>
          <w:sz w:val="26"/>
          <w:szCs w:val="26"/>
          <w:lang w:val="vi"/>
        </w:rPr>
        <w:t>Chi nhánh Đà Nẵng giai đoạn 2023 - 2025</w:t>
      </w:r>
    </w:p>
    <w:p w14:paraId="47E813E2" w14:textId="77777777" w:rsidR="00606059" w:rsidRPr="002B008A" w:rsidRDefault="00606059" w:rsidP="00064CEA">
      <w:pPr>
        <w:pStyle w:val="ListParagraph"/>
        <w:widowControl w:val="0"/>
        <w:numPr>
          <w:ilvl w:val="1"/>
          <w:numId w:val="3"/>
        </w:numPr>
        <w:tabs>
          <w:tab w:val="left" w:pos="295"/>
          <w:tab w:val="left" w:pos="709"/>
        </w:tabs>
        <w:autoSpaceDE w:val="0"/>
        <w:autoSpaceDN w:val="0"/>
        <w:spacing w:after="0" w:line="336" w:lineRule="auto"/>
        <w:ind w:left="0" w:right="1" w:firstLine="426"/>
        <w:contextualSpacing w:val="0"/>
        <w:jc w:val="both"/>
        <w:rPr>
          <w:rFonts w:ascii="Times New Roman" w:hAnsi="Times New Roman" w:cs="Times New Roman"/>
          <w:sz w:val="26"/>
          <w:szCs w:val="26"/>
          <w:lang w:val="vi"/>
        </w:rPr>
      </w:pPr>
      <w:r w:rsidRPr="002B008A">
        <w:rPr>
          <w:rFonts w:ascii="Times New Roman" w:hAnsi="Times New Roman" w:cs="Times New Roman"/>
          <w:sz w:val="26"/>
          <w:szCs w:val="26"/>
          <w:lang w:val="vi"/>
        </w:rPr>
        <w:t>Tình</w:t>
      </w:r>
      <w:r w:rsidRPr="002B008A">
        <w:rPr>
          <w:rFonts w:ascii="Times New Roman" w:hAnsi="Times New Roman" w:cs="Times New Roman"/>
          <w:spacing w:val="-1"/>
          <w:sz w:val="26"/>
          <w:szCs w:val="26"/>
          <w:lang w:val="vi"/>
        </w:rPr>
        <w:t xml:space="preserve"> </w:t>
      </w:r>
      <w:r w:rsidRPr="002B008A">
        <w:rPr>
          <w:rFonts w:ascii="Times New Roman" w:hAnsi="Times New Roman" w:cs="Times New Roman"/>
          <w:sz w:val="26"/>
          <w:szCs w:val="26"/>
          <w:lang w:val="vi"/>
        </w:rPr>
        <w:t>hình hoạt</w:t>
      </w:r>
      <w:r w:rsidRPr="002B008A">
        <w:rPr>
          <w:rFonts w:ascii="Times New Roman" w:hAnsi="Times New Roman" w:cs="Times New Roman"/>
          <w:spacing w:val="-1"/>
          <w:sz w:val="26"/>
          <w:szCs w:val="26"/>
          <w:lang w:val="vi"/>
        </w:rPr>
        <w:t xml:space="preserve"> </w:t>
      </w:r>
      <w:r w:rsidRPr="002B008A">
        <w:rPr>
          <w:rFonts w:ascii="Times New Roman" w:hAnsi="Times New Roman" w:cs="Times New Roman"/>
          <w:sz w:val="26"/>
          <w:szCs w:val="26"/>
          <w:lang w:val="vi"/>
        </w:rPr>
        <w:t>động cho vay</w:t>
      </w:r>
      <w:r w:rsidRPr="002B008A">
        <w:rPr>
          <w:rFonts w:ascii="Times New Roman" w:hAnsi="Times New Roman" w:cs="Times New Roman"/>
          <w:spacing w:val="-1"/>
          <w:sz w:val="26"/>
          <w:szCs w:val="26"/>
          <w:lang w:val="vi"/>
        </w:rPr>
        <w:t xml:space="preserve"> </w:t>
      </w:r>
      <w:r w:rsidRPr="002B008A">
        <w:rPr>
          <w:rFonts w:ascii="Times New Roman" w:hAnsi="Times New Roman" w:cs="Times New Roman"/>
          <w:sz w:val="26"/>
          <w:szCs w:val="26"/>
          <w:lang w:val="vi"/>
        </w:rPr>
        <w:t>tại</w:t>
      </w:r>
      <w:r w:rsidRPr="002B008A">
        <w:rPr>
          <w:rFonts w:ascii="Times New Roman" w:hAnsi="Times New Roman" w:cs="Times New Roman"/>
          <w:spacing w:val="-1"/>
          <w:sz w:val="26"/>
          <w:szCs w:val="26"/>
          <w:lang w:val="vi"/>
        </w:rPr>
        <w:t xml:space="preserve"> </w:t>
      </w:r>
      <w:r w:rsidRPr="002B008A">
        <w:rPr>
          <w:rFonts w:ascii="Times New Roman" w:hAnsi="Times New Roman" w:cs="Times New Roman"/>
          <w:sz w:val="26"/>
          <w:szCs w:val="26"/>
          <w:lang w:val="vi"/>
        </w:rPr>
        <w:t>Ngân hàng Thương mại cổ</w:t>
      </w:r>
      <w:r w:rsidRPr="002B008A">
        <w:rPr>
          <w:rFonts w:ascii="Times New Roman" w:hAnsi="Times New Roman" w:cs="Times New Roman"/>
          <w:spacing w:val="-1"/>
          <w:sz w:val="26"/>
          <w:szCs w:val="26"/>
          <w:lang w:val="vi"/>
        </w:rPr>
        <w:t xml:space="preserve"> </w:t>
      </w:r>
      <w:r w:rsidRPr="002B008A">
        <w:rPr>
          <w:rFonts w:ascii="Times New Roman" w:hAnsi="Times New Roman" w:cs="Times New Roman"/>
          <w:sz w:val="26"/>
          <w:szCs w:val="26"/>
          <w:lang w:val="vi"/>
        </w:rPr>
        <w:t>phần Quân đội - Chi nhánh Đà Nẵng giai đoạn 2023 - 2025</w:t>
      </w:r>
    </w:p>
    <w:p w14:paraId="2D4F8F0F" w14:textId="77777777" w:rsidR="00606059" w:rsidRPr="002B008A" w:rsidRDefault="00606059" w:rsidP="00064CEA">
      <w:pPr>
        <w:pStyle w:val="ListParagraph"/>
        <w:widowControl w:val="0"/>
        <w:numPr>
          <w:ilvl w:val="1"/>
          <w:numId w:val="3"/>
        </w:numPr>
        <w:tabs>
          <w:tab w:val="left" w:pos="292"/>
          <w:tab w:val="left" w:pos="709"/>
        </w:tabs>
        <w:autoSpaceDE w:val="0"/>
        <w:autoSpaceDN w:val="0"/>
        <w:spacing w:after="0" w:line="336" w:lineRule="auto"/>
        <w:ind w:left="0" w:right="1" w:firstLine="426"/>
        <w:contextualSpacing w:val="0"/>
        <w:jc w:val="both"/>
        <w:rPr>
          <w:rFonts w:ascii="Times New Roman" w:hAnsi="Times New Roman" w:cs="Times New Roman"/>
          <w:sz w:val="26"/>
          <w:szCs w:val="26"/>
          <w:lang w:val="vi"/>
        </w:rPr>
      </w:pPr>
      <w:r w:rsidRPr="002B008A">
        <w:rPr>
          <w:rFonts w:ascii="Times New Roman" w:hAnsi="Times New Roman" w:cs="Times New Roman"/>
          <w:sz w:val="26"/>
          <w:szCs w:val="26"/>
          <w:lang w:val="vi"/>
        </w:rPr>
        <w:t>Tình</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hình</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kết</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quả</w:t>
      </w:r>
      <w:r w:rsidRPr="002B008A">
        <w:rPr>
          <w:rFonts w:ascii="Times New Roman" w:hAnsi="Times New Roman" w:cs="Times New Roman"/>
          <w:spacing w:val="-4"/>
          <w:sz w:val="26"/>
          <w:szCs w:val="26"/>
          <w:lang w:val="vi"/>
        </w:rPr>
        <w:t xml:space="preserve"> </w:t>
      </w:r>
      <w:r w:rsidRPr="002B008A">
        <w:rPr>
          <w:rFonts w:ascii="Times New Roman" w:hAnsi="Times New Roman" w:cs="Times New Roman"/>
          <w:sz w:val="26"/>
          <w:szCs w:val="26"/>
          <w:lang w:val="vi"/>
        </w:rPr>
        <w:t>hoạt</w:t>
      </w:r>
      <w:r w:rsidRPr="002B008A">
        <w:rPr>
          <w:rFonts w:ascii="Times New Roman" w:hAnsi="Times New Roman" w:cs="Times New Roman"/>
          <w:spacing w:val="-5"/>
          <w:sz w:val="26"/>
          <w:szCs w:val="26"/>
          <w:lang w:val="vi"/>
        </w:rPr>
        <w:t xml:space="preserve"> </w:t>
      </w:r>
      <w:r w:rsidRPr="002B008A">
        <w:rPr>
          <w:rFonts w:ascii="Times New Roman" w:hAnsi="Times New Roman" w:cs="Times New Roman"/>
          <w:sz w:val="26"/>
          <w:szCs w:val="26"/>
          <w:lang w:val="vi"/>
        </w:rPr>
        <w:t>động</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kinh</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doanh</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của</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Ngân</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hàng</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Thương</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mại</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cổ</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phần</w:t>
      </w:r>
      <w:r w:rsidRPr="002B008A">
        <w:rPr>
          <w:rFonts w:ascii="Times New Roman" w:hAnsi="Times New Roman" w:cs="Times New Roman"/>
          <w:spacing w:val="-2"/>
          <w:sz w:val="26"/>
          <w:szCs w:val="26"/>
          <w:lang w:val="vi"/>
        </w:rPr>
        <w:t xml:space="preserve"> </w:t>
      </w:r>
      <w:r w:rsidRPr="002B008A">
        <w:rPr>
          <w:rFonts w:ascii="Times New Roman" w:hAnsi="Times New Roman" w:cs="Times New Roman"/>
          <w:sz w:val="26"/>
          <w:szCs w:val="26"/>
          <w:lang w:val="vi"/>
        </w:rPr>
        <w:t>Quân đội - Chi nhánh Đà Nẵng giai đoạn 2023 - 2025</w:t>
      </w:r>
    </w:p>
    <w:p w14:paraId="602FF0A3" w14:textId="77777777" w:rsidR="00606059" w:rsidRPr="002B008A" w:rsidRDefault="00606059" w:rsidP="00064CEA">
      <w:pPr>
        <w:pStyle w:val="ListParagraph"/>
        <w:widowControl w:val="0"/>
        <w:numPr>
          <w:ilvl w:val="1"/>
          <w:numId w:val="3"/>
        </w:numPr>
        <w:tabs>
          <w:tab w:val="left" w:pos="300"/>
          <w:tab w:val="left" w:pos="709"/>
        </w:tabs>
        <w:autoSpaceDE w:val="0"/>
        <w:autoSpaceDN w:val="0"/>
        <w:spacing w:after="0" w:line="336" w:lineRule="auto"/>
        <w:ind w:left="0" w:right="1" w:firstLine="426"/>
        <w:contextualSpacing w:val="0"/>
        <w:jc w:val="both"/>
        <w:rPr>
          <w:rFonts w:ascii="Times New Roman" w:hAnsi="Times New Roman" w:cs="Times New Roman"/>
          <w:sz w:val="26"/>
          <w:szCs w:val="26"/>
          <w:lang w:val="vi"/>
        </w:rPr>
      </w:pPr>
      <w:r w:rsidRPr="002B008A">
        <w:rPr>
          <w:rFonts w:ascii="Times New Roman" w:hAnsi="Times New Roman" w:cs="Times New Roman"/>
          <w:sz w:val="26"/>
          <w:szCs w:val="26"/>
          <w:lang w:val="vi"/>
        </w:rPr>
        <w:t>Tình hình cho vay sản xuất kinh doanh đối với khách hàng cá nhân của Ngân hàng Thương mại cổ phần Quân đội - Chi nhánh Đà Nẵng giai đoạn 2023 - 2025</w:t>
      </w:r>
    </w:p>
    <w:p w14:paraId="2A2F9447" w14:textId="5AA745BC" w:rsidR="00606059" w:rsidRPr="002B008A" w:rsidRDefault="00606059" w:rsidP="00064CEA">
      <w:pPr>
        <w:pStyle w:val="ListParagraph"/>
        <w:numPr>
          <w:ilvl w:val="0"/>
          <w:numId w:val="7"/>
        </w:numPr>
        <w:tabs>
          <w:tab w:val="left" w:pos="567"/>
        </w:tabs>
        <w:spacing w:after="0" w:line="336" w:lineRule="auto"/>
        <w:ind w:left="0" w:firstLine="284"/>
        <w:rPr>
          <w:rFonts w:ascii="Times New Roman" w:hAnsi="Times New Roman" w:cs="Times New Roman"/>
          <w:b/>
          <w:sz w:val="26"/>
          <w:szCs w:val="26"/>
          <w:lang w:val="vi"/>
        </w:rPr>
      </w:pPr>
      <w:r w:rsidRPr="002B008A">
        <w:rPr>
          <w:rFonts w:ascii="Times New Roman" w:hAnsi="Times New Roman" w:cs="Times New Roman"/>
          <w:b/>
          <w:sz w:val="26"/>
          <w:szCs w:val="26"/>
          <w:lang w:val="vi"/>
        </w:rPr>
        <w:t>Các</w:t>
      </w:r>
      <w:r w:rsidRPr="002B008A">
        <w:rPr>
          <w:rFonts w:ascii="Times New Roman" w:hAnsi="Times New Roman" w:cs="Times New Roman"/>
          <w:b/>
          <w:spacing w:val="-5"/>
          <w:sz w:val="26"/>
          <w:szCs w:val="26"/>
          <w:lang w:val="vi"/>
        </w:rPr>
        <w:t xml:space="preserve"> </w:t>
      </w:r>
      <w:r w:rsidRPr="002B008A">
        <w:rPr>
          <w:rFonts w:ascii="Times New Roman" w:hAnsi="Times New Roman" w:cs="Times New Roman"/>
          <w:b/>
          <w:sz w:val="26"/>
          <w:szCs w:val="26"/>
          <w:lang w:val="vi"/>
        </w:rPr>
        <w:t>bảng</w:t>
      </w:r>
      <w:r w:rsidRPr="002B008A">
        <w:rPr>
          <w:rFonts w:ascii="Times New Roman" w:hAnsi="Times New Roman" w:cs="Times New Roman"/>
          <w:b/>
          <w:spacing w:val="-3"/>
          <w:sz w:val="26"/>
          <w:szCs w:val="26"/>
          <w:lang w:val="vi"/>
        </w:rPr>
        <w:t xml:space="preserve"> </w:t>
      </w:r>
      <w:r w:rsidRPr="002B008A">
        <w:rPr>
          <w:rFonts w:ascii="Times New Roman" w:hAnsi="Times New Roman" w:cs="Times New Roman"/>
          <w:b/>
          <w:sz w:val="26"/>
          <w:szCs w:val="26"/>
          <w:lang w:val="vi"/>
        </w:rPr>
        <w:t>biểu,</w:t>
      </w:r>
      <w:r w:rsidRPr="002B008A">
        <w:rPr>
          <w:rFonts w:ascii="Times New Roman" w:hAnsi="Times New Roman" w:cs="Times New Roman"/>
          <w:b/>
          <w:spacing w:val="-3"/>
          <w:sz w:val="26"/>
          <w:szCs w:val="26"/>
          <w:lang w:val="vi"/>
        </w:rPr>
        <w:t xml:space="preserve"> </w:t>
      </w:r>
      <w:r w:rsidRPr="002B008A">
        <w:rPr>
          <w:rFonts w:ascii="Times New Roman" w:hAnsi="Times New Roman" w:cs="Times New Roman"/>
          <w:b/>
          <w:sz w:val="26"/>
          <w:szCs w:val="26"/>
          <w:lang w:val="vi"/>
        </w:rPr>
        <w:t>hình</w:t>
      </w:r>
      <w:r w:rsidRPr="002B008A">
        <w:rPr>
          <w:rFonts w:ascii="Times New Roman" w:hAnsi="Times New Roman" w:cs="Times New Roman"/>
          <w:b/>
          <w:spacing w:val="-3"/>
          <w:sz w:val="26"/>
          <w:szCs w:val="26"/>
          <w:lang w:val="vi"/>
        </w:rPr>
        <w:t xml:space="preserve"> </w:t>
      </w:r>
      <w:r w:rsidRPr="002B008A">
        <w:rPr>
          <w:rFonts w:ascii="Times New Roman" w:hAnsi="Times New Roman" w:cs="Times New Roman"/>
          <w:b/>
          <w:sz w:val="26"/>
          <w:szCs w:val="26"/>
          <w:lang w:val="vi"/>
        </w:rPr>
        <w:t>vẽ</w:t>
      </w:r>
      <w:r w:rsidRPr="002B008A">
        <w:rPr>
          <w:rFonts w:ascii="Times New Roman" w:hAnsi="Times New Roman" w:cs="Times New Roman"/>
          <w:b/>
          <w:spacing w:val="-4"/>
          <w:sz w:val="26"/>
          <w:szCs w:val="26"/>
          <w:lang w:val="vi"/>
        </w:rPr>
        <w:t xml:space="preserve"> </w:t>
      </w:r>
      <w:r w:rsidRPr="002B008A">
        <w:rPr>
          <w:rFonts w:ascii="Times New Roman" w:hAnsi="Times New Roman" w:cs="Times New Roman"/>
          <w:b/>
          <w:sz w:val="26"/>
          <w:szCs w:val="26"/>
          <w:lang w:val="vi"/>
        </w:rPr>
        <w:t>và</w:t>
      </w:r>
      <w:r w:rsidRPr="002B008A">
        <w:rPr>
          <w:rFonts w:ascii="Times New Roman" w:hAnsi="Times New Roman" w:cs="Times New Roman"/>
          <w:b/>
          <w:spacing w:val="-6"/>
          <w:sz w:val="26"/>
          <w:szCs w:val="26"/>
          <w:lang w:val="vi"/>
        </w:rPr>
        <w:t xml:space="preserve"> </w:t>
      </w:r>
      <w:r w:rsidRPr="002B008A">
        <w:rPr>
          <w:rFonts w:ascii="Times New Roman" w:hAnsi="Times New Roman" w:cs="Times New Roman"/>
          <w:b/>
          <w:sz w:val="26"/>
          <w:szCs w:val="26"/>
          <w:lang w:val="vi"/>
        </w:rPr>
        <w:t>đồ</w:t>
      </w:r>
      <w:r w:rsidRPr="002B008A">
        <w:rPr>
          <w:rFonts w:ascii="Times New Roman" w:hAnsi="Times New Roman" w:cs="Times New Roman"/>
          <w:b/>
          <w:spacing w:val="-3"/>
          <w:sz w:val="26"/>
          <w:szCs w:val="26"/>
          <w:lang w:val="vi"/>
        </w:rPr>
        <w:t xml:space="preserve"> </w:t>
      </w:r>
      <w:r w:rsidR="00360678" w:rsidRPr="002B008A">
        <w:rPr>
          <w:rFonts w:ascii="Times New Roman" w:hAnsi="Times New Roman" w:cs="Times New Roman"/>
          <w:b/>
          <w:spacing w:val="-5"/>
          <w:sz w:val="26"/>
          <w:szCs w:val="26"/>
          <w:lang w:val="vi"/>
        </w:rPr>
        <w:t>thị:</w:t>
      </w:r>
    </w:p>
    <w:p w14:paraId="7E583351" w14:textId="0B5C542B" w:rsidR="00606059" w:rsidRPr="002B008A" w:rsidRDefault="00606059" w:rsidP="00064CEA">
      <w:pPr>
        <w:pStyle w:val="BodyText"/>
        <w:spacing w:line="336" w:lineRule="auto"/>
        <w:ind w:left="0" w:firstLine="720"/>
        <w:jc w:val="both"/>
      </w:pPr>
      <w:r w:rsidRPr="002B008A">
        <w:t>Bảng</w:t>
      </w:r>
      <w:r w:rsidRPr="002B008A">
        <w:rPr>
          <w:spacing w:val="18"/>
        </w:rPr>
        <w:t xml:space="preserve"> </w:t>
      </w:r>
      <w:r w:rsidRPr="002B008A">
        <w:t>biểu,</w:t>
      </w:r>
      <w:r w:rsidRPr="002B008A">
        <w:rPr>
          <w:spacing w:val="18"/>
        </w:rPr>
        <w:t xml:space="preserve"> </w:t>
      </w:r>
      <w:r w:rsidRPr="002B008A">
        <w:t>hình</w:t>
      </w:r>
      <w:r w:rsidRPr="002B008A">
        <w:rPr>
          <w:spacing w:val="18"/>
        </w:rPr>
        <w:t xml:space="preserve"> </w:t>
      </w:r>
      <w:r w:rsidRPr="002B008A">
        <w:t>vẽ</w:t>
      </w:r>
      <w:r w:rsidRPr="002B008A">
        <w:rPr>
          <w:spacing w:val="18"/>
        </w:rPr>
        <w:t xml:space="preserve"> </w:t>
      </w:r>
      <w:r w:rsidRPr="002B008A">
        <w:t>và</w:t>
      </w:r>
      <w:r w:rsidRPr="002B008A">
        <w:rPr>
          <w:spacing w:val="18"/>
        </w:rPr>
        <w:t xml:space="preserve"> </w:t>
      </w:r>
      <w:r w:rsidRPr="002B008A">
        <w:t>đồ thị xem</w:t>
      </w:r>
      <w:r w:rsidRPr="002B008A">
        <w:rPr>
          <w:spacing w:val="20"/>
        </w:rPr>
        <w:t xml:space="preserve"> </w:t>
      </w:r>
      <w:r w:rsidRPr="002B008A">
        <w:t>tại danh</w:t>
      </w:r>
      <w:r w:rsidRPr="002B008A">
        <w:rPr>
          <w:spacing w:val="20"/>
        </w:rPr>
        <w:t xml:space="preserve"> </w:t>
      </w:r>
      <w:r w:rsidRPr="002B008A">
        <w:t>mục</w:t>
      </w:r>
      <w:r w:rsidRPr="002B008A">
        <w:rPr>
          <w:spacing w:val="18"/>
        </w:rPr>
        <w:t xml:space="preserve"> </w:t>
      </w:r>
      <w:r w:rsidRPr="002B008A">
        <w:t>các</w:t>
      </w:r>
      <w:r w:rsidRPr="002B008A">
        <w:rPr>
          <w:spacing w:val="18"/>
        </w:rPr>
        <w:t xml:space="preserve"> </w:t>
      </w:r>
      <w:r w:rsidRPr="002B008A">
        <w:t>bảng</w:t>
      </w:r>
      <w:r w:rsidRPr="002B008A">
        <w:rPr>
          <w:spacing w:val="18"/>
        </w:rPr>
        <w:t xml:space="preserve"> </w:t>
      </w:r>
      <w:r w:rsidRPr="002B008A">
        <w:t>biểu</w:t>
      </w:r>
      <w:r w:rsidRPr="002B008A">
        <w:rPr>
          <w:spacing w:val="18"/>
        </w:rPr>
        <w:t xml:space="preserve"> </w:t>
      </w:r>
      <w:r w:rsidRPr="002B008A">
        <w:t>và hình</w:t>
      </w:r>
      <w:r w:rsidRPr="002B008A">
        <w:rPr>
          <w:spacing w:val="18"/>
        </w:rPr>
        <w:t xml:space="preserve"> </w:t>
      </w:r>
      <w:r w:rsidRPr="002B008A">
        <w:t>vẽ</w:t>
      </w:r>
      <w:r w:rsidRPr="002B008A">
        <w:rPr>
          <w:spacing w:val="18"/>
        </w:rPr>
        <w:t xml:space="preserve"> </w:t>
      </w:r>
      <w:r w:rsidRPr="002B008A">
        <w:t>của</w:t>
      </w:r>
      <w:r w:rsidRPr="002B008A">
        <w:rPr>
          <w:spacing w:val="18"/>
        </w:rPr>
        <w:t xml:space="preserve"> </w:t>
      </w:r>
      <w:r w:rsidRPr="002B008A">
        <w:t xml:space="preserve">khóa </w:t>
      </w:r>
      <w:r w:rsidRPr="002B008A">
        <w:rPr>
          <w:spacing w:val="-2"/>
        </w:rPr>
        <w:t>luận.</w:t>
      </w:r>
    </w:p>
    <w:p w14:paraId="18B5AE3A" w14:textId="09D47A79" w:rsidR="00606059" w:rsidRPr="002B008A" w:rsidRDefault="00606059" w:rsidP="00064CEA">
      <w:pPr>
        <w:pStyle w:val="ListParagraph"/>
        <w:numPr>
          <w:ilvl w:val="0"/>
          <w:numId w:val="7"/>
        </w:numPr>
        <w:tabs>
          <w:tab w:val="left" w:pos="567"/>
        </w:tabs>
        <w:spacing w:after="0" w:line="336" w:lineRule="auto"/>
        <w:ind w:left="0" w:firstLine="284"/>
        <w:rPr>
          <w:rFonts w:ascii="Times New Roman" w:hAnsi="Times New Roman" w:cs="Times New Roman"/>
          <w:b/>
          <w:sz w:val="26"/>
          <w:szCs w:val="26"/>
        </w:rPr>
      </w:pPr>
      <w:r w:rsidRPr="002B008A">
        <w:rPr>
          <w:rFonts w:ascii="Times New Roman" w:hAnsi="Times New Roman" w:cs="Times New Roman"/>
          <w:b/>
          <w:sz w:val="26"/>
          <w:szCs w:val="26"/>
        </w:rPr>
        <w:t>Giảng</w:t>
      </w:r>
      <w:r w:rsidRPr="002B008A">
        <w:rPr>
          <w:rFonts w:ascii="Times New Roman" w:hAnsi="Times New Roman" w:cs="Times New Roman"/>
          <w:b/>
          <w:spacing w:val="-7"/>
          <w:sz w:val="26"/>
          <w:szCs w:val="26"/>
        </w:rPr>
        <w:t xml:space="preserve"> </w:t>
      </w:r>
      <w:r w:rsidRPr="002B008A">
        <w:rPr>
          <w:rFonts w:ascii="Times New Roman" w:hAnsi="Times New Roman" w:cs="Times New Roman"/>
          <w:b/>
          <w:sz w:val="26"/>
          <w:szCs w:val="26"/>
        </w:rPr>
        <w:t>viên</w:t>
      </w:r>
      <w:r w:rsidRPr="002B008A">
        <w:rPr>
          <w:rFonts w:ascii="Times New Roman" w:hAnsi="Times New Roman" w:cs="Times New Roman"/>
          <w:b/>
          <w:spacing w:val="-7"/>
          <w:sz w:val="26"/>
          <w:szCs w:val="26"/>
        </w:rPr>
        <w:t xml:space="preserve"> </w:t>
      </w:r>
      <w:r w:rsidRPr="002B008A">
        <w:rPr>
          <w:rFonts w:ascii="Times New Roman" w:hAnsi="Times New Roman" w:cs="Times New Roman"/>
          <w:b/>
          <w:sz w:val="26"/>
          <w:szCs w:val="26"/>
        </w:rPr>
        <w:t>hướng</w:t>
      </w:r>
      <w:r w:rsidRPr="002B008A">
        <w:rPr>
          <w:rFonts w:ascii="Times New Roman" w:hAnsi="Times New Roman" w:cs="Times New Roman"/>
          <w:b/>
          <w:spacing w:val="-4"/>
          <w:sz w:val="26"/>
          <w:szCs w:val="26"/>
        </w:rPr>
        <w:t xml:space="preserve"> </w:t>
      </w:r>
      <w:r w:rsidR="00360678" w:rsidRPr="002B008A">
        <w:rPr>
          <w:rFonts w:ascii="Times New Roman" w:hAnsi="Times New Roman" w:cs="Times New Roman"/>
          <w:b/>
          <w:spacing w:val="-5"/>
          <w:sz w:val="26"/>
          <w:szCs w:val="26"/>
        </w:rPr>
        <w:t>dẫn</w:t>
      </w:r>
      <w:r w:rsidR="00360678" w:rsidRPr="002B008A">
        <w:rPr>
          <w:rFonts w:ascii="Times New Roman" w:hAnsi="Times New Roman" w:cs="Times New Roman"/>
          <w:b/>
          <w:spacing w:val="-5"/>
          <w:sz w:val="26"/>
          <w:szCs w:val="26"/>
          <w:lang w:val="vi-VN"/>
        </w:rPr>
        <w:t>:</w:t>
      </w:r>
    </w:p>
    <w:p w14:paraId="0CE9AE08" w14:textId="77777777" w:rsidR="00606059" w:rsidRPr="002B008A" w:rsidRDefault="00606059" w:rsidP="00064CEA">
      <w:pPr>
        <w:pStyle w:val="BodyText"/>
        <w:spacing w:line="336" w:lineRule="auto"/>
        <w:ind w:left="0" w:firstLine="720"/>
        <w:jc w:val="both"/>
      </w:pPr>
      <w:r w:rsidRPr="002B008A">
        <w:t>Thạc sĩ</w:t>
      </w:r>
      <w:r w:rsidRPr="002B008A">
        <w:rPr>
          <w:spacing w:val="-1"/>
        </w:rPr>
        <w:t xml:space="preserve"> </w:t>
      </w:r>
      <w:r w:rsidRPr="002B008A">
        <w:t>Phan</w:t>
      </w:r>
      <w:r w:rsidRPr="002B008A">
        <w:rPr>
          <w:lang w:val="vi-VN"/>
        </w:rPr>
        <w:t xml:space="preserve"> Nguyên Thùy Trâm</w:t>
      </w:r>
      <w:r w:rsidRPr="002B008A">
        <w:t>, Khoa Kinh tế,</w:t>
      </w:r>
      <w:r w:rsidRPr="002B008A">
        <w:rPr>
          <w:spacing w:val="-1"/>
        </w:rPr>
        <w:t xml:space="preserve"> </w:t>
      </w:r>
      <w:r w:rsidRPr="002B008A">
        <w:t>Ngành</w:t>
      </w:r>
      <w:r w:rsidRPr="002B008A">
        <w:rPr>
          <w:spacing w:val="-1"/>
        </w:rPr>
        <w:t xml:space="preserve"> </w:t>
      </w:r>
      <w:r w:rsidRPr="002B008A">
        <w:t>Tài</w:t>
      </w:r>
      <w:r w:rsidRPr="002B008A">
        <w:rPr>
          <w:spacing w:val="-1"/>
        </w:rPr>
        <w:t xml:space="preserve"> </w:t>
      </w:r>
      <w:r w:rsidRPr="002B008A">
        <w:t>chính -</w:t>
      </w:r>
      <w:r w:rsidRPr="002B008A">
        <w:rPr>
          <w:spacing w:val="-1"/>
        </w:rPr>
        <w:t xml:space="preserve"> </w:t>
      </w:r>
      <w:r w:rsidRPr="002B008A">
        <w:t>Ngân</w:t>
      </w:r>
      <w:r w:rsidRPr="002B008A">
        <w:rPr>
          <w:spacing w:val="-1"/>
        </w:rPr>
        <w:t xml:space="preserve"> </w:t>
      </w:r>
      <w:r w:rsidRPr="002B008A">
        <w:t>hàng, Trường Đại học Kiến trúc Đà Nẵng.</w:t>
      </w:r>
    </w:p>
    <w:p w14:paraId="7BC61CE7" w14:textId="15920DC0" w:rsidR="00606059" w:rsidRPr="002B008A" w:rsidRDefault="00606059" w:rsidP="00064CEA">
      <w:pPr>
        <w:pStyle w:val="ListParagraph"/>
        <w:widowControl w:val="0"/>
        <w:numPr>
          <w:ilvl w:val="0"/>
          <w:numId w:val="7"/>
        </w:numPr>
        <w:tabs>
          <w:tab w:val="left" w:pos="567"/>
        </w:tabs>
        <w:autoSpaceDE w:val="0"/>
        <w:autoSpaceDN w:val="0"/>
        <w:spacing w:after="0" w:line="336" w:lineRule="auto"/>
        <w:ind w:left="0" w:firstLine="284"/>
        <w:jc w:val="both"/>
        <w:rPr>
          <w:rFonts w:ascii="Times New Roman" w:hAnsi="Times New Roman" w:cs="Times New Roman"/>
          <w:b/>
          <w:sz w:val="26"/>
          <w:szCs w:val="26"/>
          <w:lang w:val="vi"/>
        </w:rPr>
      </w:pPr>
      <w:r w:rsidRPr="002B008A">
        <w:rPr>
          <w:rFonts w:ascii="Times New Roman" w:hAnsi="Times New Roman" w:cs="Times New Roman"/>
          <w:b/>
          <w:sz w:val="26"/>
          <w:szCs w:val="26"/>
          <w:lang w:val="vi"/>
        </w:rPr>
        <w:t>Ngày</w:t>
      </w:r>
      <w:r w:rsidRPr="002B008A">
        <w:rPr>
          <w:rFonts w:ascii="Times New Roman" w:hAnsi="Times New Roman" w:cs="Times New Roman"/>
          <w:b/>
          <w:spacing w:val="-6"/>
          <w:sz w:val="26"/>
          <w:szCs w:val="26"/>
          <w:lang w:val="vi"/>
        </w:rPr>
        <w:t xml:space="preserve"> </w:t>
      </w:r>
      <w:r w:rsidRPr="002B008A">
        <w:rPr>
          <w:rFonts w:ascii="Times New Roman" w:hAnsi="Times New Roman" w:cs="Times New Roman"/>
          <w:b/>
          <w:sz w:val="26"/>
          <w:szCs w:val="26"/>
          <w:lang w:val="vi"/>
        </w:rPr>
        <w:t>giao</w:t>
      </w:r>
      <w:r w:rsidRPr="002B008A">
        <w:rPr>
          <w:rFonts w:ascii="Times New Roman" w:hAnsi="Times New Roman" w:cs="Times New Roman"/>
          <w:b/>
          <w:spacing w:val="-2"/>
          <w:sz w:val="26"/>
          <w:szCs w:val="26"/>
          <w:lang w:val="vi"/>
        </w:rPr>
        <w:t xml:space="preserve"> </w:t>
      </w:r>
      <w:r w:rsidRPr="002B008A">
        <w:rPr>
          <w:rFonts w:ascii="Times New Roman" w:hAnsi="Times New Roman" w:cs="Times New Roman"/>
          <w:b/>
          <w:sz w:val="26"/>
          <w:szCs w:val="26"/>
          <w:lang w:val="vi"/>
        </w:rPr>
        <w:t>nhiệm</w:t>
      </w:r>
      <w:r w:rsidRPr="002B008A">
        <w:rPr>
          <w:rFonts w:ascii="Times New Roman" w:hAnsi="Times New Roman" w:cs="Times New Roman"/>
          <w:b/>
          <w:spacing w:val="-3"/>
          <w:sz w:val="26"/>
          <w:szCs w:val="26"/>
          <w:lang w:val="vi"/>
        </w:rPr>
        <w:t xml:space="preserve"> </w:t>
      </w:r>
      <w:r w:rsidRPr="002B008A">
        <w:rPr>
          <w:rFonts w:ascii="Times New Roman" w:hAnsi="Times New Roman" w:cs="Times New Roman"/>
          <w:b/>
          <w:sz w:val="26"/>
          <w:szCs w:val="26"/>
          <w:lang w:val="vi"/>
        </w:rPr>
        <w:t>vụ</w:t>
      </w:r>
      <w:r w:rsidRPr="002B008A">
        <w:rPr>
          <w:rFonts w:ascii="Times New Roman" w:hAnsi="Times New Roman" w:cs="Times New Roman"/>
          <w:b/>
          <w:spacing w:val="-5"/>
          <w:sz w:val="26"/>
          <w:szCs w:val="26"/>
          <w:lang w:val="vi"/>
        </w:rPr>
        <w:t xml:space="preserve"> </w:t>
      </w:r>
      <w:r w:rsidRPr="002B008A">
        <w:rPr>
          <w:rFonts w:ascii="Times New Roman" w:hAnsi="Times New Roman" w:cs="Times New Roman"/>
          <w:b/>
          <w:sz w:val="26"/>
          <w:szCs w:val="26"/>
          <w:lang w:val="vi"/>
        </w:rPr>
        <w:t>khóa</w:t>
      </w:r>
      <w:r w:rsidRPr="002B008A">
        <w:rPr>
          <w:rFonts w:ascii="Times New Roman" w:hAnsi="Times New Roman" w:cs="Times New Roman"/>
          <w:b/>
          <w:spacing w:val="-5"/>
          <w:sz w:val="26"/>
          <w:szCs w:val="26"/>
          <w:lang w:val="vi"/>
        </w:rPr>
        <w:t xml:space="preserve"> </w:t>
      </w:r>
      <w:r w:rsidRPr="002B008A">
        <w:rPr>
          <w:rFonts w:ascii="Times New Roman" w:hAnsi="Times New Roman" w:cs="Times New Roman"/>
          <w:b/>
          <w:sz w:val="26"/>
          <w:szCs w:val="26"/>
          <w:lang w:val="vi"/>
        </w:rPr>
        <w:t>luận</w:t>
      </w:r>
      <w:r w:rsidRPr="002B008A">
        <w:rPr>
          <w:rFonts w:ascii="Times New Roman" w:hAnsi="Times New Roman" w:cs="Times New Roman"/>
          <w:b/>
          <w:spacing w:val="-6"/>
          <w:sz w:val="26"/>
          <w:szCs w:val="26"/>
          <w:lang w:val="vi"/>
        </w:rPr>
        <w:t xml:space="preserve"> </w:t>
      </w:r>
      <w:r w:rsidRPr="002B008A">
        <w:rPr>
          <w:rFonts w:ascii="Times New Roman" w:hAnsi="Times New Roman" w:cs="Times New Roman"/>
          <w:b/>
          <w:sz w:val="26"/>
          <w:szCs w:val="26"/>
          <w:lang w:val="vi"/>
        </w:rPr>
        <w:t>tốt</w:t>
      </w:r>
      <w:r w:rsidRPr="002B008A">
        <w:rPr>
          <w:rFonts w:ascii="Times New Roman" w:hAnsi="Times New Roman" w:cs="Times New Roman"/>
          <w:b/>
          <w:spacing w:val="-5"/>
          <w:sz w:val="26"/>
          <w:szCs w:val="26"/>
          <w:lang w:val="vi"/>
        </w:rPr>
        <w:t xml:space="preserve"> </w:t>
      </w:r>
      <w:r w:rsidR="00360678" w:rsidRPr="002B008A">
        <w:rPr>
          <w:rFonts w:ascii="Times New Roman" w:hAnsi="Times New Roman" w:cs="Times New Roman"/>
          <w:b/>
          <w:spacing w:val="-2"/>
          <w:sz w:val="26"/>
          <w:szCs w:val="26"/>
          <w:lang w:val="vi"/>
        </w:rPr>
        <w:t>nghiệp:</w:t>
      </w:r>
      <w:r w:rsidR="00F62E86">
        <w:rPr>
          <w:rFonts w:ascii="Times New Roman" w:hAnsi="Times New Roman" w:cs="Times New Roman"/>
          <w:b/>
          <w:spacing w:val="-2"/>
          <w:sz w:val="26"/>
          <w:szCs w:val="26"/>
          <w:lang w:val="vi"/>
        </w:rPr>
        <w:t xml:space="preserve"> </w:t>
      </w:r>
      <w:r w:rsidR="00F62E86" w:rsidRPr="00F62E86">
        <w:rPr>
          <w:rFonts w:ascii="Times New Roman" w:hAnsi="Times New Roman" w:cs="Times New Roman"/>
          <w:bCs/>
          <w:spacing w:val="-2"/>
          <w:sz w:val="26"/>
          <w:szCs w:val="26"/>
          <w:lang w:val="vi"/>
        </w:rPr>
        <w:t>02/03/2026</w:t>
      </w:r>
    </w:p>
    <w:p w14:paraId="7A4FCC5D" w14:textId="44B914AF" w:rsidR="00606059" w:rsidRPr="002B008A" w:rsidRDefault="00606059" w:rsidP="00064CEA">
      <w:pPr>
        <w:pStyle w:val="ListParagraph"/>
        <w:widowControl w:val="0"/>
        <w:numPr>
          <w:ilvl w:val="0"/>
          <w:numId w:val="7"/>
        </w:numPr>
        <w:tabs>
          <w:tab w:val="left" w:pos="567"/>
        </w:tabs>
        <w:autoSpaceDE w:val="0"/>
        <w:autoSpaceDN w:val="0"/>
        <w:spacing w:after="0" w:line="336" w:lineRule="auto"/>
        <w:ind w:left="0" w:firstLine="284"/>
        <w:jc w:val="both"/>
        <w:rPr>
          <w:rFonts w:ascii="Times New Roman" w:hAnsi="Times New Roman" w:cs="Times New Roman"/>
          <w:b/>
          <w:sz w:val="26"/>
          <w:szCs w:val="26"/>
          <w:lang w:val="vi"/>
        </w:rPr>
      </w:pPr>
      <w:r w:rsidRPr="002B008A">
        <w:rPr>
          <w:rFonts w:ascii="Times New Roman" w:hAnsi="Times New Roman" w:cs="Times New Roman"/>
          <w:b/>
          <w:sz w:val="26"/>
          <w:szCs w:val="26"/>
          <w:lang w:val="vi"/>
        </w:rPr>
        <w:t>Ngày</w:t>
      </w:r>
      <w:r w:rsidRPr="002B008A">
        <w:rPr>
          <w:rFonts w:ascii="Times New Roman" w:hAnsi="Times New Roman" w:cs="Times New Roman"/>
          <w:b/>
          <w:spacing w:val="-6"/>
          <w:sz w:val="26"/>
          <w:szCs w:val="26"/>
          <w:lang w:val="vi"/>
        </w:rPr>
        <w:t xml:space="preserve"> </w:t>
      </w:r>
      <w:r w:rsidRPr="002B008A">
        <w:rPr>
          <w:rFonts w:ascii="Times New Roman" w:hAnsi="Times New Roman" w:cs="Times New Roman"/>
          <w:b/>
          <w:sz w:val="26"/>
          <w:szCs w:val="26"/>
          <w:lang w:val="vi"/>
        </w:rPr>
        <w:t>hoàn</w:t>
      </w:r>
      <w:r w:rsidRPr="002B008A">
        <w:rPr>
          <w:rFonts w:ascii="Times New Roman" w:hAnsi="Times New Roman" w:cs="Times New Roman"/>
          <w:b/>
          <w:spacing w:val="-5"/>
          <w:sz w:val="26"/>
          <w:szCs w:val="26"/>
          <w:lang w:val="vi"/>
        </w:rPr>
        <w:t xml:space="preserve"> </w:t>
      </w:r>
      <w:r w:rsidRPr="002B008A">
        <w:rPr>
          <w:rFonts w:ascii="Times New Roman" w:hAnsi="Times New Roman" w:cs="Times New Roman"/>
          <w:b/>
          <w:sz w:val="26"/>
          <w:szCs w:val="26"/>
          <w:lang w:val="vi"/>
        </w:rPr>
        <w:t>thành</w:t>
      </w:r>
      <w:r w:rsidRPr="002B008A">
        <w:rPr>
          <w:rFonts w:ascii="Times New Roman" w:hAnsi="Times New Roman" w:cs="Times New Roman"/>
          <w:b/>
          <w:spacing w:val="-6"/>
          <w:sz w:val="26"/>
          <w:szCs w:val="26"/>
          <w:lang w:val="vi"/>
        </w:rPr>
        <w:t xml:space="preserve"> </w:t>
      </w:r>
      <w:r w:rsidRPr="002B008A">
        <w:rPr>
          <w:rFonts w:ascii="Times New Roman" w:hAnsi="Times New Roman" w:cs="Times New Roman"/>
          <w:b/>
          <w:sz w:val="26"/>
          <w:szCs w:val="26"/>
          <w:lang w:val="vi"/>
        </w:rPr>
        <w:t>khóa</w:t>
      </w:r>
      <w:r w:rsidRPr="002B008A">
        <w:rPr>
          <w:rFonts w:ascii="Times New Roman" w:hAnsi="Times New Roman" w:cs="Times New Roman"/>
          <w:b/>
          <w:spacing w:val="-5"/>
          <w:sz w:val="26"/>
          <w:szCs w:val="26"/>
          <w:lang w:val="vi"/>
        </w:rPr>
        <w:t xml:space="preserve"> </w:t>
      </w:r>
      <w:r w:rsidRPr="002B008A">
        <w:rPr>
          <w:rFonts w:ascii="Times New Roman" w:hAnsi="Times New Roman" w:cs="Times New Roman"/>
          <w:b/>
          <w:sz w:val="26"/>
          <w:szCs w:val="26"/>
          <w:lang w:val="vi"/>
        </w:rPr>
        <w:t>luận</w:t>
      </w:r>
      <w:r w:rsidRPr="002B008A">
        <w:rPr>
          <w:rFonts w:ascii="Times New Roman" w:hAnsi="Times New Roman" w:cs="Times New Roman"/>
          <w:b/>
          <w:spacing w:val="-5"/>
          <w:sz w:val="26"/>
          <w:szCs w:val="26"/>
          <w:lang w:val="vi"/>
        </w:rPr>
        <w:t xml:space="preserve"> </w:t>
      </w:r>
      <w:r w:rsidRPr="002B008A">
        <w:rPr>
          <w:rFonts w:ascii="Times New Roman" w:hAnsi="Times New Roman" w:cs="Times New Roman"/>
          <w:b/>
          <w:sz w:val="26"/>
          <w:szCs w:val="26"/>
          <w:lang w:val="vi"/>
        </w:rPr>
        <w:t>tốt</w:t>
      </w:r>
      <w:r w:rsidRPr="002B008A">
        <w:rPr>
          <w:rFonts w:ascii="Times New Roman" w:hAnsi="Times New Roman" w:cs="Times New Roman"/>
          <w:b/>
          <w:spacing w:val="-6"/>
          <w:sz w:val="26"/>
          <w:szCs w:val="26"/>
          <w:lang w:val="vi"/>
        </w:rPr>
        <w:t xml:space="preserve"> </w:t>
      </w:r>
      <w:r w:rsidR="00777BB1" w:rsidRPr="002B008A">
        <w:rPr>
          <w:rFonts w:ascii="Times New Roman" w:hAnsi="Times New Roman" w:cs="Times New Roman"/>
          <w:b/>
          <w:spacing w:val="-2"/>
          <w:sz w:val="26"/>
          <w:szCs w:val="26"/>
          <w:lang w:val="vi"/>
        </w:rPr>
        <w:t xml:space="preserve">nghiệp: </w:t>
      </w:r>
      <w:r w:rsidR="00777BB1" w:rsidRPr="002B008A">
        <w:rPr>
          <w:rFonts w:ascii="Times New Roman" w:hAnsi="Times New Roman" w:cs="Times New Roman"/>
          <w:bCs/>
          <w:spacing w:val="-2"/>
          <w:sz w:val="26"/>
          <w:szCs w:val="26"/>
          <w:lang w:val="vi"/>
        </w:rPr>
        <w:t>30/05/2026</w:t>
      </w:r>
    </w:p>
    <w:p w14:paraId="62601520" w14:textId="77777777" w:rsidR="00606059" w:rsidRPr="002B008A" w:rsidRDefault="00606059" w:rsidP="00064CEA">
      <w:pPr>
        <w:spacing w:after="0" w:line="336" w:lineRule="auto"/>
        <w:ind w:right="63"/>
        <w:jc w:val="right"/>
        <w:rPr>
          <w:rFonts w:ascii="Times New Roman" w:hAnsi="Times New Roman" w:cs="Times New Roman"/>
          <w:b/>
          <w:sz w:val="26"/>
          <w:szCs w:val="26"/>
          <w:lang w:val="vi"/>
        </w:rPr>
      </w:pPr>
      <w:r w:rsidRPr="002B008A">
        <w:rPr>
          <w:rFonts w:ascii="Times New Roman" w:hAnsi="Times New Roman" w:cs="Times New Roman"/>
          <w:b/>
          <w:sz w:val="26"/>
          <w:szCs w:val="26"/>
          <w:lang w:val="vi"/>
        </w:rPr>
        <w:t>Giảng</w:t>
      </w:r>
      <w:r w:rsidRPr="002B008A">
        <w:rPr>
          <w:rFonts w:ascii="Times New Roman" w:hAnsi="Times New Roman" w:cs="Times New Roman"/>
          <w:b/>
          <w:spacing w:val="-8"/>
          <w:sz w:val="26"/>
          <w:szCs w:val="26"/>
          <w:lang w:val="vi"/>
        </w:rPr>
        <w:t xml:space="preserve"> </w:t>
      </w:r>
      <w:r w:rsidRPr="002B008A">
        <w:rPr>
          <w:rFonts w:ascii="Times New Roman" w:hAnsi="Times New Roman" w:cs="Times New Roman"/>
          <w:b/>
          <w:sz w:val="26"/>
          <w:szCs w:val="26"/>
          <w:lang w:val="vi"/>
        </w:rPr>
        <w:t>viên</w:t>
      </w:r>
      <w:r w:rsidRPr="002B008A">
        <w:rPr>
          <w:rFonts w:ascii="Times New Roman" w:hAnsi="Times New Roman" w:cs="Times New Roman"/>
          <w:b/>
          <w:spacing w:val="-4"/>
          <w:sz w:val="26"/>
          <w:szCs w:val="26"/>
          <w:lang w:val="vi"/>
        </w:rPr>
        <w:t xml:space="preserve"> </w:t>
      </w:r>
      <w:r w:rsidRPr="002B008A">
        <w:rPr>
          <w:rFonts w:ascii="Times New Roman" w:hAnsi="Times New Roman" w:cs="Times New Roman"/>
          <w:b/>
          <w:sz w:val="26"/>
          <w:szCs w:val="26"/>
          <w:lang w:val="vi"/>
        </w:rPr>
        <w:t>hướng</w:t>
      </w:r>
      <w:r w:rsidRPr="002B008A">
        <w:rPr>
          <w:rFonts w:ascii="Times New Roman" w:hAnsi="Times New Roman" w:cs="Times New Roman"/>
          <w:b/>
          <w:spacing w:val="-5"/>
          <w:sz w:val="26"/>
          <w:szCs w:val="26"/>
          <w:lang w:val="vi"/>
        </w:rPr>
        <w:t xml:space="preserve"> dẫn</w:t>
      </w:r>
    </w:p>
    <w:p w14:paraId="6C6C160C" w14:textId="3A2FB5C0" w:rsidR="00606059" w:rsidRPr="002B008A" w:rsidRDefault="00606059" w:rsidP="00064CEA">
      <w:pPr>
        <w:pStyle w:val="BodyText"/>
        <w:spacing w:line="336" w:lineRule="auto"/>
        <w:ind w:left="0" w:right="262"/>
        <w:jc w:val="right"/>
        <w:rPr>
          <w:spacing w:val="-4"/>
        </w:rPr>
        <w:sectPr w:rsidR="00606059" w:rsidRPr="002B008A" w:rsidSect="009E0361">
          <w:footerReference w:type="default" r:id="rId9"/>
          <w:pgSz w:w="11906" w:h="16838" w:code="9"/>
          <w:pgMar w:top="1134" w:right="1134" w:bottom="1134" w:left="1701" w:header="720" w:footer="720" w:gutter="0"/>
          <w:pgNumType w:fmt="upperRoman" w:start="1"/>
          <w:cols w:space="720"/>
          <w:docGrid w:linePitch="360"/>
        </w:sectPr>
      </w:pPr>
      <w:r w:rsidRPr="002B008A">
        <w:t>(ký</w:t>
      </w:r>
      <w:r w:rsidRPr="002B008A">
        <w:rPr>
          <w:spacing w:val="-6"/>
        </w:rPr>
        <w:t xml:space="preserve"> </w:t>
      </w:r>
      <w:r w:rsidRPr="002B008A">
        <w:t>và</w:t>
      </w:r>
      <w:r w:rsidRPr="002B008A">
        <w:rPr>
          <w:spacing w:val="-3"/>
        </w:rPr>
        <w:t xml:space="preserve"> </w:t>
      </w:r>
      <w:r w:rsidRPr="002B008A">
        <w:t>ghi</w:t>
      </w:r>
      <w:r w:rsidRPr="002B008A">
        <w:rPr>
          <w:spacing w:val="-1"/>
        </w:rPr>
        <w:t xml:space="preserve"> </w:t>
      </w:r>
      <w:r w:rsidRPr="002B008A">
        <w:t>rõ</w:t>
      </w:r>
      <w:r w:rsidRPr="002B008A">
        <w:rPr>
          <w:spacing w:val="-4"/>
        </w:rPr>
        <w:t xml:space="preserve"> </w:t>
      </w:r>
      <w:r w:rsidRPr="002B008A">
        <w:t>họ</w:t>
      </w:r>
      <w:r w:rsidRPr="002B008A">
        <w:rPr>
          <w:spacing w:val="-3"/>
        </w:rPr>
        <w:t xml:space="preserve"> </w:t>
      </w:r>
      <w:r w:rsidRPr="002B008A">
        <w:rPr>
          <w:spacing w:val="-4"/>
        </w:rPr>
        <w:t>tên)</w:t>
      </w:r>
    </w:p>
    <w:p w14:paraId="58244D0D" w14:textId="77777777" w:rsidR="00B80057" w:rsidRPr="00A90E6A" w:rsidRDefault="00B80057" w:rsidP="004D443C">
      <w:pPr>
        <w:pStyle w:val="Heading1"/>
        <w:rPr>
          <w:color w:val="000000" w:themeColor="text1"/>
          <w:lang w:val="vi-VN"/>
        </w:rPr>
      </w:pPr>
      <w:bookmarkStart w:id="0" w:name="_Toc230962354"/>
      <w:r w:rsidRPr="00A90E6A">
        <w:rPr>
          <w:color w:val="000000" w:themeColor="text1"/>
          <w:lang w:val="vi-VN"/>
        </w:rPr>
        <w:lastRenderedPageBreak/>
        <w:t>LỜI CẢM ƠN</w:t>
      </w:r>
      <w:bookmarkEnd w:id="0"/>
    </w:p>
    <w:p w14:paraId="03ACD1C7" w14:textId="58DC9311" w:rsidR="00B80057" w:rsidRPr="00A90E6A" w:rsidRDefault="00B80057" w:rsidP="004D443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Lời đầu tiên, em xin bày tỏ lòng biết ơn sâu sắc đến Ban Giám hiệu cùng quý Thầy, Cô giáo trường Đại học Kiến trúc</w:t>
      </w:r>
      <w:r w:rsidR="00A5369F">
        <w:rPr>
          <w:rFonts w:ascii="Times New Roman" w:hAnsi="Times New Roman" w:cs="Times New Roman"/>
          <w:color w:val="000000" w:themeColor="text1"/>
          <w:sz w:val="26"/>
          <w:szCs w:val="26"/>
        </w:rPr>
        <w:t xml:space="preserve"> Đà Nẵng</w:t>
      </w:r>
      <w:r w:rsidRPr="00A90E6A">
        <w:rPr>
          <w:rFonts w:ascii="Times New Roman" w:hAnsi="Times New Roman" w:cs="Times New Roman"/>
          <w:color w:val="000000" w:themeColor="text1"/>
          <w:sz w:val="26"/>
          <w:szCs w:val="26"/>
          <w:lang w:val="vi-VN"/>
        </w:rPr>
        <w:t xml:space="preserve">, đặc biệt là các Thầy, Cô khoa </w:t>
      </w:r>
      <w:r w:rsidR="00CA42EC" w:rsidRPr="00A90E6A">
        <w:rPr>
          <w:rFonts w:ascii="Times New Roman" w:hAnsi="Times New Roman" w:cs="Times New Roman"/>
          <w:color w:val="000000" w:themeColor="text1"/>
          <w:sz w:val="26"/>
          <w:szCs w:val="26"/>
          <w:lang w:val="vi-VN"/>
        </w:rPr>
        <w:t xml:space="preserve">Kinh </w:t>
      </w:r>
      <w:r w:rsidR="000E2463">
        <w:rPr>
          <w:rFonts w:ascii="Times New Roman" w:hAnsi="Times New Roman" w:cs="Times New Roman"/>
          <w:color w:val="000000" w:themeColor="text1"/>
          <w:sz w:val="26"/>
          <w:szCs w:val="26"/>
          <w:lang w:val="vi-VN"/>
        </w:rPr>
        <w:t>tế,</w:t>
      </w:r>
      <w:r w:rsidR="00CA42E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những người đã tận tâm truyền đạt tri thức, rèn luyện tư duy và tiếp thêm động lực cho em trong suốt những năm tháng học tập tại trường. Những bài học quý báu về quản trị và tài chính chính là nền tảng vững chắc để em thực hiện đề tài này.</w:t>
      </w:r>
    </w:p>
    <w:p w14:paraId="17F881E8" w14:textId="6EBDC3D1" w:rsidR="00B80057" w:rsidRPr="00A90E6A" w:rsidRDefault="00B80057" w:rsidP="004D443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Em xin gửi lời cảm ơn chân thành nhất tới Cô ThS.</w:t>
      </w:r>
      <w:r w:rsidRPr="00A90E6A">
        <w:rPr>
          <w:rFonts w:ascii="Times New Roman" w:hAnsi="Times New Roman" w:cs="Times New Roman"/>
          <w:kern w:val="0"/>
          <w:sz w:val="26"/>
          <w:szCs w:val="26"/>
          <w:lang w:val="vi-VN"/>
          <w14:ligatures w14:val="none"/>
        </w:rPr>
        <w:t xml:space="preserve"> </w:t>
      </w:r>
      <w:r w:rsidRPr="00A90E6A">
        <w:rPr>
          <w:rFonts w:ascii="Times New Roman" w:hAnsi="Times New Roman" w:cs="Times New Roman"/>
          <w:color w:val="000000" w:themeColor="text1"/>
          <w:sz w:val="26"/>
          <w:szCs w:val="26"/>
          <w:lang w:val="vi-VN"/>
        </w:rPr>
        <w:t>Phan Nguyên Thùy Trâm. Với sự am hiểu chuyên môn và tinh thần trách nhiệm, cô đã dành nhiều thời gian để định hướng, góp ý, chỉnh sửa và hỗ trợ em trong suốt quá trình nghiên cứu và hoàn thiện khóa luận. Những ý kiến đóng góp quý báu của cô đã giúp em hoàn thiện đề tài một cách tốt hơn cả về nội dung lẫn phương pháp trình bày.</w:t>
      </w:r>
    </w:p>
    <w:p w14:paraId="339C671E" w14:textId="244E2EFD" w:rsidR="00B80057" w:rsidRPr="00A90E6A" w:rsidRDefault="00B80057" w:rsidP="004D443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Em cũng xin gửi lời tri ân tới Ban Giám đốc cùng tập thể cán bộ nhân viên Ngân hàng TMCP Quân Đội</w:t>
      </w:r>
      <w:r w:rsidR="00CA42E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 xml:space="preserve"> Chi nhánh Đà Nẵng đã tạo điều kiện thuận lợi cho em được thực tập và tìm hiểu thực tế tại đơn vị. Đặc biệt, em xin chân thành cảm ơn chị Đinh Trần Kiều Thiện cùng các Anh, Chị tại bộ phận Quan hệ Khách hàng cá nhân đã nhiệt tình hướng dẫn, hỗ trợ và chia sẻ nhiều kinh nghiệm thực tiễn trong hoạt động cho vay sản xuất kinh doanh đối với khách hàng cá nhân. Trong thời gian thực tập, em đã có cơ hội tiếp cận môi trường làm việc thực tế, tìm hiểu quy trình nghiệp vụ tín dụng, được hướng dẫn công việc và học hỏi thêm nhiều kiến thức, kỹ năng thực tiễn. Sự hỗ trợ của các anh chị đã giúp em có cái nhìn rõ hơn về môi trường làm việc tại ngân hàng nói chung và hoạt động tín dụng tại MB nói riêng.</w:t>
      </w:r>
    </w:p>
    <w:p w14:paraId="122CA877" w14:textId="77777777" w:rsidR="00B80057" w:rsidRPr="00A90E6A" w:rsidRDefault="00B80057" w:rsidP="004D443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Cuối cùng, do kiến thức và kinh nghiệm thực tiễn còn hạn chế, bài khóa luận khó tránh khỏi những thiếu sót. Em rất mong nhận được những ý kiến đóng góp quý báu từ quý Thầy, Cô cùng các anh chị tại ngân hàng để đề tài được hoàn thiện hơn và có giá trị thực tiễn cao hơn.</w:t>
      </w:r>
    </w:p>
    <w:p w14:paraId="5647AA68" w14:textId="5C37F241" w:rsidR="00B80057" w:rsidRPr="00A90E6A" w:rsidRDefault="00B80057" w:rsidP="004D443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Em xin kính chúc quý Thầy, Cô cùng các anh chị tại MB </w:t>
      </w:r>
      <w:r w:rsidR="009A4E83" w:rsidRPr="00A90E6A">
        <w:rPr>
          <w:rFonts w:ascii="Times New Roman" w:hAnsi="Times New Roman" w:cs="Times New Roman"/>
          <w:color w:val="000000" w:themeColor="text1"/>
          <w:sz w:val="26"/>
          <w:szCs w:val="26"/>
          <w:lang w:val="vi-VN"/>
        </w:rPr>
        <w:t xml:space="preserve">Đà Nẵng </w:t>
      </w:r>
      <w:r w:rsidRPr="00A90E6A">
        <w:rPr>
          <w:rFonts w:ascii="Times New Roman" w:hAnsi="Times New Roman" w:cs="Times New Roman"/>
          <w:color w:val="000000" w:themeColor="text1"/>
          <w:sz w:val="26"/>
          <w:szCs w:val="26"/>
          <w:lang w:val="vi-VN"/>
        </w:rPr>
        <w:t>luôn dồi dào sức khỏe, hạnh phúc và gặt hái được nhiều thành công trong công việc và cuộc sống.</w:t>
      </w:r>
    </w:p>
    <w:p w14:paraId="16613512" w14:textId="77777777" w:rsidR="00B80057" w:rsidRPr="00A90E6A" w:rsidRDefault="00B80057" w:rsidP="004D443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Em xin chân thành cảm ơn!</w:t>
      </w:r>
    </w:p>
    <w:p w14:paraId="2A3DAC7C" w14:textId="77777777" w:rsidR="00B80057" w:rsidRPr="00A90E6A" w:rsidRDefault="00B80057" w:rsidP="004D443C">
      <w:pPr>
        <w:spacing w:after="0" w:line="360" w:lineRule="auto"/>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br w:type="page"/>
      </w:r>
    </w:p>
    <w:p w14:paraId="1B0EECB0" w14:textId="1287052C" w:rsidR="00B80057" w:rsidRPr="00A90E6A" w:rsidRDefault="00B80057" w:rsidP="00F0715A">
      <w:pPr>
        <w:pStyle w:val="Heading1"/>
        <w:rPr>
          <w:color w:val="000000" w:themeColor="text1"/>
          <w:lang w:val="vi-VN"/>
        </w:rPr>
      </w:pPr>
      <w:bookmarkStart w:id="1" w:name="_Toc230962355"/>
      <w:r w:rsidRPr="00A90E6A">
        <w:rPr>
          <w:color w:val="000000" w:themeColor="text1"/>
          <w:lang w:val="vi-VN"/>
        </w:rPr>
        <w:lastRenderedPageBreak/>
        <w:t>NHẬN XÉT CỦA CƠ QUAN THỰC TẬP</w:t>
      </w:r>
      <w:r w:rsidRPr="00A90E6A">
        <w:rPr>
          <w:b w:val="0"/>
          <w:noProof/>
          <w:spacing w:val="8"/>
        </w:rPr>
        <w:drawing>
          <wp:anchor distT="0" distB="0" distL="0" distR="0" simplePos="0" relativeHeight="251697152" behindDoc="1" locked="0" layoutInCell="1" allowOverlap="1" wp14:anchorId="6490F0F4" wp14:editId="2778B59B">
            <wp:simplePos x="0" y="0"/>
            <wp:positionH relativeFrom="page">
              <wp:posOffset>1342708</wp:posOffset>
            </wp:positionH>
            <wp:positionV relativeFrom="paragraph">
              <wp:posOffset>430530</wp:posOffset>
            </wp:positionV>
            <wp:extent cx="5215255" cy="8165465"/>
            <wp:effectExtent l="0" t="0" r="4445" b="6985"/>
            <wp:wrapTopAndBottom/>
            <wp:docPr id="564" name="Image 564" descr="A close-up of a pap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4" name="Image 564" descr="A close-up of a paper  AI-generated content may be incorrect."/>
                    <pic:cNvPicPr/>
                  </pic:nvPicPr>
                  <pic:blipFill>
                    <a:blip r:embed="rId10" cstate="print"/>
                    <a:stretch>
                      <a:fillRect/>
                    </a:stretch>
                  </pic:blipFill>
                  <pic:spPr>
                    <a:xfrm>
                      <a:off x="0" y="0"/>
                      <a:ext cx="5215255" cy="8165465"/>
                    </a:xfrm>
                    <a:prstGeom prst="rect">
                      <a:avLst/>
                    </a:prstGeom>
                  </pic:spPr>
                </pic:pic>
              </a:graphicData>
            </a:graphic>
            <wp14:sizeRelH relativeFrom="margin">
              <wp14:pctWidth>0</wp14:pctWidth>
            </wp14:sizeRelH>
            <wp14:sizeRelV relativeFrom="margin">
              <wp14:pctHeight>0</wp14:pctHeight>
            </wp14:sizeRelV>
          </wp:anchor>
        </w:drawing>
      </w:r>
      <w:bookmarkEnd w:id="1"/>
      <w:r w:rsidR="00B825DD" w:rsidRPr="00A33AD7">
        <w:rPr>
          <w:color w:val="000000" w:themeColor="text1"/>
          <w:lang w:val="vi-VN"/>
        </w:rPr>
        <w:t xml:space="preserve"> </w:t>
      </w:r>
      <w:r w:rsidRPr="00A90E6A">
        <w:rPr>
          <w:color w:val="000000" w:themeColor="text1"/>
          <w:lang w:val="vi-VN"/>
        </w:rPr>
        <w:br w:type="page"/>
      </w:r>
    </w:p>
    <w:bookmarkStart w:id="2" w:name="_Toc230962356" w:displacedByCustomXml="next"/>
    <w:sdt>
      <w:sdtPr>
        <w:rPr>
          <w:rFonts w:ascii="Times New Roman" w:eastAsiaTheme="minorHAnsi" w:hAnsi="Times New Roman" w:cs="Times New Roman"/>
          <w:color w:val="auto"/>
          <w:kern w:val="2"/>
          <w:sz w:val="26"/>
          <w:szCs w:val="26"/>
          <w14:ligatures w14:val="standardContextual"/>
        </w:rPr>
        <w:id w:val="-317730303"/>
        <w:docPartObj>
          <w:docPartGallery w:val="Table of Contents"/>
          <w:docPartUnique/>
        </w:docPartObj>
      </w:sdtPr>
      <w:sdtEndPr>
        <w:rPr>
          <w:b/>
          <w:bCs/>
          <w:noProof/>
        </w:rPr>
      </w:sdtEndPr>
      <w:sdtContent>
        <w:p w14:paraId="66E8F592" w14:textId="74963F0D" w:rsidR="00D3348D" w:rsidRPr="00A90E6A" w:rsidRDefault="007D3E6E" w:rsidP="00D27110">
          <w:pPr>
            <w:pStyle w:val="TOCHeading"/>
            <w:spacing w:before="0" w:line="360" w:lineRule="auto"/>
            <w:jc w:val="center"/>
            <w:outlineLvl w:val="0"/>
            <w:rPr>
              <w:rFonts w:ascii="Times New Roman" w:hAnsi="Times New Roman" w:cs="Times New Roman"/>
              <w:b/>
              <w:bCs/>
              <w:color w:val="auto"/>
              <w:sz w:val="26"/>
              <w:szCs w:val="26"/>
              <w:lang w:val="vi-VN"/>
            </w:rPr>
          </w:pPr>
          <w:r w:rsidRPr="00A90E6A">
            <w:rPr>
              <w:rFonts w:ascii="Times New Roman" w:hAnsi="Times New Roman" w:cs="Times New Roman"/>
              <w:b/>
              <w:bCs/>
              <w:color w:val="auto"/>
              <w:sz w:val="26"/>
              <w:szCs w:val="26"/>
              <w:lang w:val="vi-VN"/>
            </w:rPr>
            <w:t>MỤC LỤC</w:t>
          </w:r>
          <w:bookmarkEnd w:id="2"/>
        </w:p>
        <w:p w14:paraId="6546A900" w14:textId="1806215F" w:rsidR="00B957BA" w:rsidRDefault="007D3E6E">
          <w:pPr>
            <w:pStyle w:val="TOC1"/>
            <w:rPr>
              <w:rFonts w:asciiTheme="minorHAnsi" w:eastAsiaTheme="minorEastAsia" w:hAnsiTheme="minorHAnsi" w:cstheme="minorBidi"/>
              <w:b w:val="0"/>
              <w:bCs w:val="0"/>
              <w:sz w:val="24"/>
              <w:szCs w:val="24"/>
              <w:lang w:val="en-US"/>
            </w:rPr>
          </w:pPr>
          <w:r w:rsidRPr="00A90E6A">
            <w:fldChar w:fldCharType="begin"/>
          </w:r>
          <w:r w:rsidRPr="00A90E6A">
            <w:instrText xml:space="preserve"> TOC \o "1-4" \h \z \u </w:instrText>
          </w:r>
          <w:r w:rsidRPr="00A90E6A">
            <w:fldChar w:fldCharType="separate"/>
          </w:r>
          <w:hyperlink w:anchor="_Toc230962354" w:history="1">
            <w:r w:rsidR="00B957BA" w:rsidRPr="002336AD">
              <w:rPr>
                <w:rStyle w:val="Hyperlink"/>
              </w:rPr>
              <w:t>LỜI CẢM ƠN</w:t>
            </w:r>
            <w:r w:rsidR="00B957BA">
              <w:rPr>
                <w:webHidden/>
              </w:rPr>
              <w:tab/>
            </w:r>
            <w:r w:rsidR="00B957BA">
              <w:rPr>
                <w:webHidden/>
              </w:rPr>
              <w:fldChar w:fldCharType="begin"/>
            </w:r>
            <w:r w:rsidR="00B957BA">
              <w:rPr>
                <w:webHidden/>
              </w:rPr>
              <w:instrText xml:space="preserve"> PAGEREF _Toc230962354 \h </w:instrText>
            </w:r>
            <w:r w:rsidR="00B957BA">
              <w:rPr>
                <w:webHidden/>
              </w:rPr>
            </w:r>
            <w:r w:rsidR="00B957BA">
              <w:rPr>
                <w:webHidden/>
              </w:rPr>
              <w:fldChar w:fldCharType="separate"/>
            </w:r>
            <w:r w:rsidR="00B957BA">
              <w:rPr>
                <w:webHidden/>
              </w:rPr>
              <w:t>i</w:t>
            </w:r>
            <w:r w:rsidR="00B957BA">
              <w:rPr>
                <w:webHidden/>
              </w:rPr>
              <w:fldChar w:fldCharType="end"/>
            </w:r>
          </w:hyperlink>
        </w:p>
        <w:p w14:paraId="62CE595D" w14:textId="78825679" w:rsidR="00B957BA" w:rsidRDefault="00B957BA">
          <w:pPr>
            <w:pStyle w:val="TOC1"/>
            <w:rPr>
              <w:rFonts w:asciiTheme="minorHAnsi" w:eastAsiaTheme="minorEastAsia" w:hAnsiTheme="minorHAnsi" w:cstheme="minorBidi"/>
              <w:b w:val="0"/>
              <w:bCs w:val="0"/>
              <w:sz w:val="24"/>
              <w:szCs w:val="24"/>
              <w:lang w:val="en-US"/>
            </w:rPr>
          </w:pPr>
          <w:hyperlink w:anchor="_Toc230962355" w:history="1">
            <w:r w:rsidRPr="002336AD">
              <w:rPr>
                <w:rStyle w:val="Hyperlink"/>
              </w:rPr>
              <w:t>NHẬN XÉT CỦA CƠ QUAN THỰC TẬP</w:t>
            </w:r>
            <w:r>
              <w:rPr>
                <w:webHidden/>
              </w:rPr>
              <w:tab/>
            </w:r>
            <w:r>
              <w:rPr>
                <w:webHidden/>
              </w:rPr>
              <w:fldChar w:fldCharType="begin"/>
            </w:r>
            <w:r>
              <w:rPr>
                <w:webHidden/>
              </w:rPr>
              <w:instrText xml:space="preserve"> PAGEREF _Toc230962355 \h </w:instrText>
            </w:r>
            <w:r>
              <w:rPr>
                <w:webHidden/>
              </w:rPr>
            </w:r>
            <w:r>
              <w:rPr>
                <w:webHidden/>
              </w:rPr>
              <w:fldChar w:fldCharType="separate"/>
            </w:r>
            <w:r>
              <w:rPr>
                <w:webHidden/>
              </w:rPr>
              <w:t>ii</w:t>
            </w:r>
            <w:r>
              <w:rPr>
                <w:webHidden/>
              </w:rPr>
              <w:fldChar w:fldCharType="end"/>
            </w:r>
          </w:hyperlink>
        </w:p>
        <w:p w14:paraId="21472200" w14:textId="1350B887" w:rsidR="00B957BA" w:rsidRDefault="00B957BA">
          <w:pPr>
            <w:pStyle w:val="TOC1"/>
            <w:rPr>
              <w:rFonts w:asciiTheme="minorHAnsi" w:eastAsiaTheme="minorEastAsia" w:hAnsiTheme="minorHAnsi" w:cstheme="minorBidi"/>
              <w:b w:val="0"/>
              <w:bCs w:val="0"/>
              <w:sz w:val="24"/>
              <w:szCs w:val="24"/>
              <w:lang w:val="en-US"/>
            </w:rPr>
          </w:pPr>
          <w:hyperlink w:anchor="_Toc230962356" w:history="1">
            <w:r w:rsidRPr="002336AD">
              <w:rPr>
                <w:rStyle w:val="Hyperlink"/>
              </w:rPr>
              <w:t>MỤC LỤC</w:t>
            </w:r>
            <w:r>
              <w:rPr>
                <w:webHidden/>
              </w:rPr>
              <w:tab/>
            </w:r>
            <w:r>
              <w:rPr>
                <w:webHidden/>
              </w:rPr>
              <w:fldChar w:fldCharType="begin"/>
            </w:r>
            <w:r>
              <w:rPr>
                <w:webHidden/>
              </w:rPr>
              <w:instrText xml:space="preserve"> PAGEREF _Toc230962356 \h </w:instrText>
            </w:r>
            <w:r>
              <w:rPr>
                <w:webHidden/>
              </w:rPr>
            </w:r>
            <w:r>
              <w:rPr>
                <w:webHidden/>
              </w:rPr>
              <w:fldChar w:fldCharType="separate"/>
            </w:r>
            <w:r>
              <w:rPr>
                <w:webHidden/>
              </w:rPr>
              <w:t>iii</w:t>
            </w:r>
            <w:r>
              <w:rPr>
                <w:webHidden/>
              </w:rPr>
              <w:fldChar w:fldCharType="end"/>
            </w:r>
          </w:hyperlink>
        </w:p>
        <w:p w14:paraId="40F00BFA" w14:textId="6572792A" w:rsidR="00B957BA" w:rsidRDefault="00B957BA">
          <w:pPr>
            <w:pStyle w:val="TOC1"/>
            <w:rPr>
              <w:rFonts w:asciiTheme="minorHAnsi" w:eastAsiaTheme="minorEastAsia" w:hAnsiTheme="minorHAnsi" w:cstheme="minorBidi"/>
              <w:b w:val="0"/>
              <w:bCs w:val="0"/>
              <w:sz w:val="24"/>
              <w:szCs w:val="24"/>
              <w:lang w:val="en-US"/>
            </w:rPr>
          </w:pPr>
          <w:hyperlink w:anchor="_Toc230962357" w:history="1">
            <w:r w:rsidRPr="002336AD">
              <w:rPr>
                <w:rStyle w:val="Hyperlink"/>
              </w:rPr>
              <w:t>DANH SÁCH CÁC BẢNG BIỂU</w:t>
            </w:r>
            <w:r>
              <w:rPr>
                <w:webHidden/>
              </w:rPr>
              <w:tab/>
            </w:r>
            <w:r>
              <w:rPr>
                <w:webHidden/>
              </w:rPr>
              <w:fldChar w:fldCharType="begin"/>
            </w:r>
            <w:r>
              <w:rPr>
                <w:webHidden/>
              </w:rPr>
              <w:instrText xml:space="preserve"> PAGEREF _Toc230962357 \h </w:instrText>
            </w:r>
            <w:r>
              <w:rPr>
                <w:webHidden/>
              </w:rPr>
            </w:r>
            <w:r>
              <w:rPr>
                <w:webHidden/>
              </w:rPr>
              <w:fldChar w:fldCharType="separate"/>
            </w:r>
            <w:r>
              <w:rPr>
                <w:webHidden/>
              </w:rPr>
              <w:t>vi</w:t>
            </w:r>
            <w:r>
              <w:rPr>
                <w:webHidden/>
              </w:rPr>
              <w:fldChar w:fldCharType="end"/>
            </w:r>
          </w:hyperlink>
        </w:p>
        <w:p w14:paraId="54085594" w14:textId="3DB574D8" w:rsidR="00B957BA" w:rsidRDefault="00B957BA">
          <w:pPr>
            <w:pStyle w:val="TOC1"/>
            <w:rPr>
              <w:rFonts w:asciiTheme="minorHAnsi" w:eastAsiaTheme="minorEastAsia" w:hAnsiTheme="minorHAnsi" w:cstheme="minorBidi"/>
              <w:b w:val="0"/>
              <w:bCs w:val="0"/>
              <w:sz w:val="24"/>
              <w:szCs w:val="24"/>
              <w:lang w:val="en-US"/>
            </w:rPr>
          </w:pPr>
          <w:hyperlink w:anchor="_Toc230962358" w:history="1">
            <w:r w:rsidRPr="002336AD">
              <w:rPr>
                <w:rStyle w:val="Hyperlink"/>
              </w:rPr>
              <w:t>DANH SÁCH HÌNH, SƠ ĐỒ</w:t>
            </w:r>
            <w:r>
              <w:rPr>
                <w:webHidden/>
              </w:rPr>
              <w:tab/>
            </w:r>
            <w:r>
              <w:rPr>
                <w:webHidden/>
              </w:rPr>
              <w:fldChar w:fldCharType="begin"/>
            </w:r>
            <w:r>
              <w:rPr>
                <w:webHidden/>
              </w:rPr>
              <w:instrText xml:space="preserve"> PAGEREF _Toc230962358 \h </w:instrText>
            </w:r>
            <w:r>
              <w:rPr>
                <w:webHidden/>
              </w:rPr>
            </w:r>
            <w:r>
              <w:rPr>
                <w:webHidden/>
              </w:rPr>
              <w:fldChar w:fldCharType="separate"/>
            </w:r>
            <w:r>
              <w:rPr>
                <w:webHidden/>
              </w:rPr>
              <w:t>vii</w:t>
            </w:r>
            <w:r>
              <w:rPr>
                <w:webHidden/>
              </w:rPr>
              <w:fldChar w:fldCharType="end"/>
            </w:r>
          </w:hyperlink>
        </w:p>
        <w:p w14:paraId="5EC7EDD9" w14:textId="261D5DF1" w:rsidR="00B957BA" w:rsidRDefault="00B957BA">
          <w:pPr>
            <w:pStyle w:val="TOC1"/>
            <w:rPr>
              <w:rFonts w:asciiTheme="minorHAnsi" w:eastAsiaTheme="minorEastAsia" w:hAnsiTheme="minorHAnsi" w:cstheme="minorBidi"/>
              <w:b w:val="0"/>
              <w:bCs w:val="0"/>
              <w:sz w:val="24"/>
              <w:szCs w:val="24"/>
              <w:lang w:val="en-US"/>
            </w:rPr>
          </w:pPr>
          <w:hyperlink w:anchor="_Toc230962359" w:history="1">
            <w:r w:rsidRPr="002336AD">
              <w:rPr>
                <w:rStyle w:val="Hyperlink"/>
              </w:rPr>
              <w:t>DANH MỤC VIẾT TẮT</w:t>
            </w:r>
            <w:r>
              <w:rPr>
                <w:webHidden/>
              </w:rPr>
              <w:tab/>
            </w:r>
            <w:r>
              <w:rPr>
                <w:webHidden/>
              </w:rPr>
              <w:fldChar w:fldCharType="begin"/>
            </w:r>
            <w:r>
              <w:rPr>
                <w:webHidden/>
              </w:rPr>
              <w:instrText xml:space="preserve"> PAGEREF _Toc230962359 \h </w:instrText>
            </w:r>
            <w:r>
              <w:rPr>
                <w:webHidden/>
              </w:rPr>
            </w:r>
            <w:r>
              <w:rPr>
                <w:webHidden/>
              </w:rPr>
              <w:fldChar w:fldCharType="separate"/>
            </w:r>
            <w:r>
              <w:rPr>
                <w:webHidden/>
              </w:rPr>
              <w:t>viii</w:t>
            </w:r>
            <w:r>
              <w:rPr>
                <w:webHidden/>
              </w:rPr>
              <w:fldChar w:fldCharType="end"/>
            </w:r>
          </w:hyperlink>
        </w:p>
        <w:p w14:paraId="36FC8AEE" w14:textId="3DEA9224" w:rsidR="00B957BA" w:rsidRDefault="00B957BA">
          <w:pPr>
            <w:pStyle w:val="TOC1"/>
            <w:rPr>
              <w:rFonts w:asciiTheme="minorHAnsi" w:eastAsiaTheme="minorEastAsia" w:hAnsiTheme="minorHAnsi" w:cstheme="minorBidi"/>
              <w:b w:val="0"/>
              <w:bCs w:val="0"/>
              <w:sz w:val="24"/>
              <w:szCs w:val="24"/>
              <w:lang w:val="en-US"/>
            </w:rPr>
          </w:pPr>
          <w:hyperlink w:anchor="_Toc230962360" w:history="1">
            <w:r w:rsidRPr="002336AD">
              <w:rPr>
                <w:rStyle w:val="Hyperlink"/>
              </w:rPr>
              <w:t>LỜI MỞ ĐẦU</w:t>
            </w:r>
            <w:r>
              <w:rPr>
                <w:webHidden/>
              </w:rPr>
              <w:tab/>
            </w:r>
            <w:r>
              <w:rPr>
                <w:webHidden/>
              </w:rPr>
              <w:fldChar w:fldCharType="begin"/>
            </w:r>
            <w:r>
              <w:rPr>
                <w:webHidden/>
              </w:rPr>
              <w:instrText xml:space="preserve"> PAGEREF _Toc230962360 \h </w:instrText>
            </w:r>
            <w:r>
              <w:rPr>
                <w:webHidden/>
              </w:rPr>
            </w:r>
            <w:r>
              <w:rPr>
                <w:webHidden/>
              </w:rPr>
              <w:fldChar w:fldCharType="separate"/>
            </w:r>
            <w:r>
              <w:rPr>
                <w:webHidden/>
              </w:rPr>
              <w:t>ix</w:t>
            </w:r>
            <w:r>
              <w:rPr>
                <w:webHidden/>
              </w:rPr>
              <w:fldChar w:fldCharType="end"/>
            </w:r>
          </w:hyperlink>
        </w:p>
        <w:p w14:paraId="116A91EC" w14:textId="5BAE1710" w:rsidR="00B957BA" w:rsidRDefault="00B957BA">
          <w:pPr>
            <w:pStyle w:val="TOC2"/>
            <w:rPr>
              <w:rFonts w:asciiTheme="minorHAnsi" w:eastAsiaTheme="minorEastAsia" w:hAnsiTheme="minorHAnsi" w:cstheme="minorBidi"/>
              <w:b w:val="0"/>
              <w:bCs w:val="0"/>
              <w:sz w:val="24"/>
              <w:szCs w:val="24"/>
              <w:lang w:val="en-US"/>
            </w:rPr>
          </w:pPr>
          <w:hyperlink w:anchor="_Toc230962361" w:history="1">
            <w:r w:rsidRPr="002336AD">
              <w:rPr>
                <w:rStyle w:val="Hyperlink"/>
              </w:rPr>
              <w:t>1. Lý do chọn đề tài</w:t>
            </w:r>
            <w:r>
              <w:rPr>
                <w:webHidden/>
              </w:rPr>
              <w:tab/>
            </w:r>
            <w:r>
              <w:rPr>
                <w:webHidden/>
              </w:rPr>
              <w:fldChar w:fldCharType="begin"/>
            </w:r>
            <w:r>
              <w:rPr>
                <w:webHidden/>
              </w:rPr>
              <w:instrText xml:space="preserve"> PAGEREF _Toc230962361 \h </w:instrText>
            </w:r>
            <w:r>
              <w:rPr>
                <w:webHidden/>
              </w:rPr>
            </w:r>
            <w:r>
              <w:rPr>
                <w:webHidden/>
              </w:rPr>
              <w:fldChar w:fldCharType="separate"/>
            </w:r>
            <w:r>
              <w:rPr>
                <w:webHidden/>
              </w:rPr>
              <w:t>ix</w:t>
            </w:r>
            <w:r>
              <w:rPr>
                <w:webHidden/>
              </w:rPr>
              <w:fldChar w:fldCharType="end"/>
            </w:r>
          </w:hyperlink>
        </w:p>
        <w:p w14:paraId="406CCCD2" w14:textId="61FC2493" w:rsidR="00B957BA" w:rsidRDefault="00B957BA">
          <w:pPr>
            <w:pStyle w:val="TOC2"/>
            <w:rPr>
              <w:rFonts w:asciiTheme="minorHAnsi" w:eastAsiaTheme="minorEastAsia" w:hAnsiTheme="minorHAnsi" w:cstheme="minorBidi"/>
              <w:b w:val="0"/>
              <w:bCs w:val="0"/>
              <w:sz w:val="24"/>
              <w:szCs w:val="24"/>
              <w:lang w:val="en-US"/>
            </w:rPr>
          </w:pPr>
          <w:hyperlink w:anchor="_Toc230962362" w:history="1">
            <w:r w:rsidRPr="002336AD">
              <w:rPr>
                <w:rStyle w:val="Hyperlink"/>
              </w:rPr>
              <w:t>2. Mục tiêu nghiên cứu</w:t>
            </w:r>
            <w:r>
              <w:rPr>
                <w:webHidden/>
              </w:rPr>
              <w:tab/>
            </w:r>
            <w:r>
              <w:rPr>
                <w:webHidden/>
              </w:rPr>
              <w:fldChar w:fldCharType="begin"/>
            </w:r>
            <w:r>
              <w:rPr>
                <w:webHidden/>
              </w:rPr>
              <w:instrText xml:space="preserve"> PAGEREF _Toc230962362 \h </w:instrText>
            </w:r>
            <w:r>
              <w:rPr>
                <w:webHidden/>
              </w:rPr>
            </w:r>
            <w:r>
              <w:rPr>
                <w:webHidden/>
              </w:rPr>
              <w:fldChar w:fldCharType="separate"/>
            </w:r>
            <w:r>
              <w:rPr>
                <w:webHidden/>
              </w:rPr>
              <w:t>x</w:t>
            </w:r>
            <w:r>
              <w:rPr>
                <w:webHidden/>
              </w:rPr>
              <w:fldChar w:fldCharType="end"/>
            </w:r>
          </w:hyperlink>
        </w:p>
        <w:p w14:paraId="28FA7612" w14:textId="19463413" w:rsidR="00B957BA" w:rsidRDefault="00B957BA" w:rsidP="00B957BA">
          <w:pPr>
            <w:pStyle w:val="TOC3"/>
            <w:rPr>
              <w:rFonts w:asciiTheme="minorHAnsi" w:eastAsiaTheme="minorEastAsia" w:hAnsiTheme="minorHAnsi" w:cstheme="minorBidi"/>
              <w:sz w:val="24"/>
              <w:szCs w:val="24"/>
              <w:lang w:val="en-US"/>
            </w:rPr>
          </w:pPr>
          <w:hyperlink w:anchor="_Toc230962363" w:history="1">
            <w:r w:rsidRPr="002336AD">
              <w:rPr>
                <w:rStyle w:val="Hyperlink"/>
              </w:rPr>
              <w:t>2.1. Mục tiêu chung</w:t>
            </w:r>
            <w:r>
              <w:rPr>
                <w:webHidden/>
              </w:rPr>
              <w:tab/>
            </w:r>
            <w:r>
              <w:rPr>
                <w:webHidden/>
              </w:rPr>
              <w:fldChar w:fldCharType="begin"/>
            </w:r>
            <w:r>
              <w:rPr>
                <w:webHidden/>
              </w:rPr>
              <w:instrText xml:space="preserve"> PAGEREF _Toc230962363 \h </w:instrText>
            </w:r>
            <w:r>
              <w:rPr>
                <w:webHidden/>
              </w:rPr>
            </w:r>
            <w:r>
              <w:rPr>
                <w:webHidden/>
              </w:rPr>
              <w:fldChar w:fldCharType="separate"/>
            </w:r>
            <w:r>
              <w:rPr>
                <w:webHidden/>
              </w:rPr>
              <w:t>x</w:t>
            </w:r>
            <w:r>
              <w:rPr>
                <w:webHidden/>
              </w:rPr>
              <w:fldChar w:fldCharType="end"/>
            </w:r>
          </w:hyperlink>
        </w:p>
        <w:p w14:paraId="2B906BF4" w14:textId="360F164B" w:rsidR="00B957BA" w:rsidRDefault="00B957BA" w:rsidP="00B957BA">
          <w:pPr>
            <w:pStyle w:val="TOC3"/>
            <w:rPr>
              <w:rFonts w:asciiTheme="minorHAnsi" w:eastAsiaTheme="minorEastAsia" w:hAnsiTheme="minorHAnsi" w:cstheme="minorBidi"/>
              <w:sz w:val="24"/>
              <w:szCs w:val="24"/>
              <w:lang w:val="en-US"/>
            </w:rPr>
          </w:pPr>
          <w:hyperlink w:anchor="_Toc230962364" w:history="1">
            <w:r w:rsidRPr="002336AD">
              <w:rPr>
                <w:rStyle w:val="Hyperlink"/>
              </w:rPr>
              <w:t>2.2. Mục tiêu cụ thể</w:t>
            </w:r>
            <w:r>
              <w:rPr>
                <w:webHidden/>
              </w:rPr>
              <w:tab/>
            </w:r>
            <w:r>
              <w:rPr>
                <w:webHidden/>
              </w:rPr>
              <w:fldChar w:fldCharType="begin"/>
            </w:r>
            <w:r>
              <w:rPr>
                <w:webHidden/>
              </w:rPr>
              <w:instrText xml:space="preserve"> PAGEREF _Toc230962364 \h </w:instrText>
            </w:r>
            <w:r>
              <w:rPr>
                <w:webHidden/>
              </w:rPr>
            </w:r>
            <w:r>
              <w:rPr>
                <w:webHidden/>
              </w:rPr>
              <w:fldChar w:fldCharType="separate"/>
            </w:r>
            <w:r>
              <w:rPr>
                <w:webHidden/>
              </w:rPr>
              <w:t>x</w:t>
            </w:r>
            <w:r>
              <w:rPr>
                <w:webHidden/>
              </w:rPr>
              <w:fldChar w:fldCharType="end"/>
            </w:r>
          </w:hyperlink>
        </w:p>
        <w:p w14:paraId="5E8A3A31" w14:textId="021AA3A8" w:rsidR="00B957BA" w:rsidRDefault="00B957BA">
          <w:pPr>
            <w:pStyle w:val="TOC2"/>
            <w:rPr>
              <w:rFonts w:asciiTheme="minorHAnsi" w:eastAsiaTheme="minorEastAsia" w:hAnsiTheme="minorHAnsi" w:cstheme="minorBidi"/>
              <w:b w:val="0"/>
              <w:bCs w:val="0"/>
              <w:sz w:val="24"/>
              <w:szCs w:val="24"/>
              <w:lang w:val="en-US"/>
            </w:rPr>
          </w:pPr>
          <w:hyperlink w:anchor="_Toc230962365" w:history="1">
            <w:r w:rsidRPr="002336AD">
              <w:rPr>
                <w:rStyle w:val="Hyperlink"/>
              </w:rPr>
              <w:t>3. Đối tượng và phạm vi nghiên cứu</w:t>
            </w:r>
            <w:r>
              <w:rPr>
                <w:webHidden/>
              </w:rPr>
              <w:tab/>
            </w:r>
            <w:r>
              <w:rPr>
                <w:webHidden/>
              </w:rPr>
              <w:fldChar w:fldCharType="begin"/>
            </w:r>
            <w:r>
              <w:rPr>
                <w:webHidden/>
              </w:rPr>
              <w:instrText xml:space="preserve"> PAGEREF _Toc230962365 \h </w:instrText>
            </w:r>
            <w:r>
              <w:rPr>
                <w:webHidden/>
              </w:rPr>
            </w:r>
            <w:r>
              <w:rPr>
                <w:webHidden/>
              </w:rPr>
              <w:fldChar w:fldCharType="separate"/>
            </w:r>
            <w:r>
              <w:rPr>
                <w:webHidden/>
              </w:rPr>
              <w:t>x</w:t>
            </w:r>
            <w:r>
              <w:rPr>
                <w:webHidden/>
              </w:rPr>
              <w:fldChar w:fldCharType="end"/>
            </w:r>
          </w:hyperlink>
        </w:p>
        <w:p w14:paraId="77E75FBC" w14:textId="03BA3B0C" w:rsidR="00B957BA" w:rsidRDefault="00B957BA" w:rsidP="00B957BA">
          <w:pPr>
            <w:pStyle w:val="TOC3"/>
            <w:rPr>
              <w:rFonts w:asciiTheme="minorHAnsi" w:eastAsiaTheme="minorEastAsia" w:hAnsiTheme="minorHAnsi" w:cstheme="minorBidi"/>
              <w:sz w:val="24"/>
              <w:szCs w:val="24"/>
              <w:lang w:val="en-US"/>
            </w:rPr>
          </w:pPr>
          <w:hyperlink w:anchor="_Toc230962366" w:history="1">
            <w:r w:rsidRPr="002336AD">
              <w:rPr>
                <w:rStyle w:val="Hyperlink"/>
              </w:rPr>
              <w:t>3.1. Đối tượng nghiên cứu</w:t>
            </w:r>
            <w:r>
              <w:rPr>
                <w:webHidden/>
              </w:rPr>
              <w:tab/>
            </w:r>
            <w:r>
              <w:rPr>
                <w:webHidden/>
              </w:rPr>
              <w:fldChar w:fldCharType="begin"/>
            </w:r>
            <w:r>
              <w:rPr>
                <w:webHidden/>
              </w:rPr>
              <w:instrText xml:space="preserve"> PAGEREF _Toc230962366 \h </w:instrText>
            </w:r>
            <w:r>
              <w:rPr>
                <w:webHidden/>
              </w:rPr>
            </w:r>
            <w:r>
              <w:rPr>
                <w:webHidden/>
              </w:rPr>
              <w:fldChar w:fldCharType="separate"/>
            </w:r>
            <w:r>
              <w:rPr>
                <w:webHidden/>
              </w:rPr>
              <w:t>x</w:t>
            </w:r>
            <w:r>
              <w:rPr>
                <w:webHidden/>
              </w:rPr>
              <w:fldChar w:fldCharType="end"/>
            </w:r>
          </w:hyperlink>
        </w:p>
        <w:p w14:paraId="0250ABC2" w14:textId="031E5B6E" w:rsidR="00B957BA" w:rsidRDefault="00B957BA" w:rsidP="00B957BA">
          <w:pPr>
            <w:pStyle w:val="TOC3"/>
            <w:rPr>
              <w:rFonts w:asciiTheme="minorHAnsi" w:eastAsiaTheme="minorEastAsia" w:hAnsiTheme="minorHAnsi" w:cstheme="minorBidi"/>
              <w:sz w:val="24"/>
              <w:szCs w:val="24"/>
              <w:lang w:val="en-US"/>
            </w:rPr>
          </w:pPr>
          <w:hyperlink w:anchor="_Toc230962367" w:history="1">
            <w:r w:rsidRPr="002336AD">
              <w:rPr>
                <w:rStyle w:val="Hyperlink"/>
              </w:rPr>
              <w:t>3.2. Phạm vi nghiên cứu</w:t>
            </w:r>
            <w:r>
              <w:rPr>
                <w:webHidden/>
              </w:rPr>
              <w:tab/>
            </w:r>
            <w:r>
              <w:rPr>
                <w:webHidden/>
              </w:rPr>
              <w:fldChar w:fldCharType="begin"/>
            </w:r>
            <w:r>
              <w:rPr>
                <w:webHidden/>
              </w:rPr>
              <w:instrText xml:space="preserve"> PAGEREF _Toc230962367 \h </w:instrText>
            </w:r>
            <w:r>
              <w:rPr>
                <w:webHidden/>
              </w:rPr>
            </w:r>
            <w:r>
              <w:rPr>
                <w:webHidden/>
              </w:rPr>
              <w:fldChar w:fldCharType="separate"/>
            </w:r>
            <w:r>
              <w:rPr>
                <w:webHidden/>
              </w:rPr>
              <w:t>x</w:t>
            </w:r>
            <w:r>
              <w:rPr>
                <w:webHidden/>
              </w:rPr>
              <w:fldChar w:fldCharType="end"/>
            </w:r>
          </w:hyperlink>
        </w:p>
        <w:p w14:paraId="6BD9D9B6" w14:textId="0C17B075" w:rsidR="00B957BA" w:rsidRDefault="00B957BA">
          <w:pPr>
            <w:pStyle w:val="TOC2"/>
            <w:rPr>
              <w:rFonts w:asciiTheme="minorHAnsi" w:eastAsiaTheme="minorEastAsia" w:hAnsiTheme="minorHAnsi" w:cstheme="minorBidi"/>
              <w:b w:val="0"/>
              <w:bCs w:val="0"/>
              <w:sz w:val="24"/>
              <w:szCs w:val="24"/>
              <w:lang w:val="en-US"/>
            </w:rPr>
          </w:pPr>
          <w:hyperlink w:anchor="_Toc230962368" w:history="1">
            <w:r w:rsidRPr="002336AD">
              <w:rPr>
                <w:rStyle w:val="Hyperlink"/>
              </w:rPr>
              <w:t>4. Phương pháp nghiên cứu</w:t>
            </w:r>
            <w:r>
              <w:rPr>
                <w:webHidden/>
              </w:rPr>
              <w:tab/>
            </w:r>
            <w:r>
              <w:rPr>
                <w:webHidden/>
              </w:rPr>
              <w:fldChar w:fldCharType="begin"/>
            </w:r>
            <w:r>
              <w:rPr>
                <w:webHidden/>
              </w:rPr>
              <w:instrText xml:space="preserve"> PAGEREF _Toc230962368 \h </w:instrText>
            </w:r>
            <w:r>
              <w:rPr>
                <w:webHidden/>
              </w:rPr>
            </w:r>
            <w:r>
              <w:rPr>
                <w:webHidden/>
              </w:rPr>
              <w:fldChar w:fldCharType="separate"/>
            </w:r>
            <w:r>
              <w:rPr>
                <w:webHidden/>
              </w:rPr>
              <w:t>x</w:t>
            </w:r>
            <w:r>
              <w:rPr>
                <w:webHidden/>
              </w:rPr>
              <w:fldChar w:fldCharType="end"/>
            </w:r>
          </w:hyperlink>
        </w:p>
        <w:p w14:paraId="1F8209B7" w14:textId="3FA0F506" w:rsidR="00B957BA" w:rsidRDefault="00B957BA">
          <w:pPr>
            <w:pStyle w:val="TOC2"/>
            <w:rPr>
              <w:rFonts w:asciiTheme="minorHAnsi" w:eastAsiaTheme="minorEastAsia" w:hAnsiTheme="minorHAnsi" w:cstheme="minorBidi"/>
              <w:b w:val="0"/>
              <w:bCs w:val="0"/>
              <w:sz w:val="24"/>
              <w:szCs w:val="24"/>
              <w:lang w:val="en-US"/>
            </w:rPr>
          </w:pPr>
          <w:hyperlink w:anchor="_Toc230962369" w:history="1">
            <w:r w:rsidRPr="002336AD">
              <w:rPr>
                <w:rStyle w:val="Hyperlink"/>
              </w:rPr>
              <w:t>5. Bố cục đề tài</w:t>
            </w:r>
            <w:r>
              <w:rPr>
                <w:webHidden/>
              </w:rPr>
              <w:tab/>
            </w:r>
            <w:r>
              <w:rPr>
                <w:webHidden/>
              </w:rPr>
              <w:fldChar w:fldCharType="begin"/>
            </w:r>
            <w:r>
              <w:rPr>
                <w:webHidden/>
              </w:rPr>
              <w:instrText xml:space="preserve"> PAGEREF _Toc230962369 \h </w:instrText>
            </w:r>
            <w:r>
              <w:rPr>
                <w:webHidden/>
              </w:rPr>
            </w:r>
            <w:r>
              <w:rPr>
                <w:webHidden/>
              </w:rPr>
              <w:fldChar w:fldCharType="separate"/>
            </w:r>
            <w:r>
              <w:rPr>
                <w:webHidden/>
              </w:rPr>
              <w:t>xi</w:t>
            </w:r>
            <w:r>
              <w:rPr>
                <w:webHidden/>
              </w:rPr>
              <w:fldChar w:fldCharType="end"/>
            </w:r>
          </w:hyperlink>
        </w:p>
        <w:p w14:paraId="5ABB7FEE" w14:textId="10E45670" w:rsidR="00B957BA" w:rsidRDefault="00B957BA">
          <w:pPr>
            <w:pStyle w:val="TOC1"/>
            <w:rPr>
              <w:rFonts w:asciiTheme="minorHAnsi" w:eastAsiaTheme="minorEastAsia" w:hAnsiTheme="minorHAnsi" w:cstheme="minorBidi"/>
              <w:b w:val="0"/>
              <w:bCs w:val="0"/>
              <w:sz w:val="24"/>
              <w:szCs w:val="24"/>
              <w:lang w:val="en-US"/>
            </w:rPr>
          </w:pPr>
          <w:hyperlink w:anchor="_Toc230962370" w:history="1">
            <w:r w:rsidRPr="002336AD">
              <w:rPr>
                <w:rStyle w:val="Hyperlink"/>
              </w:rPr>
              <w:t>CHƯƠNG I: CƠ SỞ LÝ LUẬN VỀ HIỆU QUẢ HOẠT ĐỘNG CHO VAY SẢN XUẤT KINH DOANH ĐỐI VỚI KHÁCH HÀNG CÁ NHÂN TẠI NGÂN HÀNG THƯƠNG MẠI</w:t>
            </w:r>
            <w:r>
              <w:rPr>
                <w:webHidden/>
              </w:rPr>
              <w:tab/>
            </w:r>
            <w:r>
              <w:rPr>
                <w:webHidden/>
              </w:rPr>
              <w:fldChar w:fldCharType="begin"/>
            </w:r>
            <w:r>
              <w:rPr>
                <w:webHidden/>
              </w:rPr>
              <w:instrText xml:space="preserve"> PAGEREF _Toc230962370 \h </w:instrText>
            </w:r>
            <w:r>
              <w:rPr>
                <w:webHidden/>
              </w:rPr>
            </w:r>
            <w:r>
              <w:rPr>
                <w:webHidden/>
              </w:rPr>
              <w:fldChar w:fldCharType="separate"/>
            </w:r>
            <w:r>
              <w:rPr>
                <w:webHidden/>
              </w:rPr>
              <w:t>1</w:t>
            </w:r>
            <w:r>
              <w:rPr>
                <w:webHidden/>
              </w:rPr>
              <w:fldChar w:fldCharType="end"/>
            </w:r>
          </w:hyperlink>
        </w:p>
        <w:p w14:paraId="6627AE1E" w14:textId="56022E69" w:rsidR="00B957BA" w:rsidRDefault="00B957BA">
          <w:pPr>
            <w:pStyle w:val="TOC2"/>
            <w:tabs>
              <w:tab w:val="left" w:pos="960"/>
            </w:tabs>
            <w:rPr>
              <w:rFonts w:asciiTheme="minorHAnsi" w:eastAsiaTheme="minorEastAsia" w:hAnsiTheme="minorHAnsi" w:cstheme="minorBidi"/>
              <w:b w:val="0"/>
              <w:bCs w:val="0"/>
              <w:sz w:val="24"/>
              <w:szCs w:val="24"/>
              <w:lang w:val="en-US"/>
            </w:rPr>
          </w:pPr>
          <w:hyperlink w:anchor="_Toc230962371" w:history="1">
            <w:r w:rsidRPr="002336AD">
              <w:rPr>
                <w:rStyle w:val="Hyperlink"/>
              </w:rPr>
              <w:t>1.1</w:t>
            </w:r>
            <w:r>
              <w:rPr>
                <w:rFonts w:asciiTheme="minorHAnsi" w:eastAsiaTheme="minorEastAsia" w:hAnsiTheme="minorHAnsi" w:cstheme="minorBidi"/>
                <w:b w:val="0"/>
                <w:bCs w:val="0"/>
                <w:sz w:val="24"/>
                <w:szCs w:val="24"/>
                <w:lang w:val="en-US"/>
              </w:rPr>
              <w:tab/>
            </w:r>
            <w:r w:rsidRPr="002336AD">
              <w:rPr>
                <w:rStyle w:val="Hyperlink"/>
              </w:rPr>
              <w:t>Ngân hàng thương mại và các hoạt động kinh doanh của ngân hàng thương mại.</w:t>
            </w:r>
            <w:r>
              <w:rPr>
                <w:webHidden/>
              </w:rPr>
              <w:tab/>
            </w:r>
            <w:r>
              <w:rPr>
                <w:webHidden/>
              </w:rPr>
              <w:fldChar w:fldCharType="begin"/>
            </w:r>
            <w:r>
              <w:rPr>
                <w:webHidden/>
              </w:rPr>
              <w:instrText xml:space="preserve"> PAGEREF _Toc230962371 \h </w:instrText>
            </w:r>
            <w:r>
              <w:rPr>
                <w:webHidden/>
              </w:rPr>
            </w:r>
            <w:r>
              <w:rPr>
                <w:webHidden/>
              </w:rPr>
              <w:fldChar w:fldCharType="separate"/>
            </w:r>
            <w:r>
              <w:rPr>
                <w:webHidden/>
              </w:rPr>
              <w:t>1</w:t>
            </w:r>
            <w:r>
              <w:rPr>
                <w:webHidden/>
              </w:rPr>
              <w:fldChar w:fldCharType="end"/>
            </w:r>
          </w:hyperlink>
        </w:p>
        <w:p w14:paraId="1B4F9AE1" w14:textId="2B94EF3C" w:rsidR="00B957BA" w:rsidRDefault="00B957BA" w:rsidP="00B957BA">
          <w:pPr>
            <w:pStyle w:val="TOC3"/>
            <w:rPr>
              <w:rFonts w:asciiTheme="minorHAnsi" w:eastAsiaTheme="minorEastAsia" w:hAnsiTheme="minorHAnsi" w:cstheme="minorBidi"/>
              <w:sz w:val="24"/>
              <w:szCs w:val="24"/>
              <w:lang w:val="en-US"/>
            </w:rPr>
          </w:pPr>
          <w:hyperlink w:anchor="_Toc230962372" w:history="1">
            <w:r w:rsidRPr="002336AD">
              <w:rPr>
                <w:rStyle w:val="Hyperlink"/>
              </w:rPr>
              <w:t>1.1.1</w:t>
            </w:r>
            <w:r>
              <w:rPr>
                <w:rFonts w:asciiTheme="minorHAnsi" w:eastAsiaTheme="minorEastAsia" w:hAnsiTheme="minorHAnsi" w:cstheme="minorBidi"/>
                <w:sz w:val="24"/>
                <w:szCs w:val="24"/>
                <w:lang w:val="en-US"/>
              </w:rPr>
              <w:tab/>
            </w:r>
            <w:r w:rsidRPr="002336AD">
              <w:rPr>
                <w:rStyle w:val="Hyperlink"/>
              </w:rPr>
              <w:t>Khái niệm ngân hàng thương mại.</w:t>
            </w:r>
            <w:r>
              <w:rPr>
                <w:webHidden/>
              </w:rPr>
              <w:tab/>
            </w:r>
            <w:r>
              <w:rPr>
                <w:webHidden/>
              </w:rPr>
              <w:fldChar w:fldCharType="begin"/>
            </w:r>
            <w:r>
              <w:rPr>
                <w:webHidden/>
              </w:rPr>
              <w:instrText xml:space="preserve"> PAGEREF _Toc230962372 \h </w:instrText>
            </w:r>
            <w:r>
              <w:rPr>
                <w:webHidden/>
              </w:rPr>
            </w:r>
            <w:r>
              <w:rPr>
                <w:webHidden/>
              </w:rPr>
              <w:fldChar w:fldCharType="separate"/>
            </w:r>
            <w:r>
              <w:rPr>
                <w:webHidden/>
              </w:rPr>
              <w:t>1</w:t>
            </w:r>
            <w:r>
              <w:rPr>
                <w:webHidden/>
              </w:rPr>
              <w:fldChar w:fldCharType="end"/>
            </w:r>
          </w:hyperlink>
        </w:p>
        <w:p w14:paraId="57F56561" w14:textId="29283184" w:rsidR="00B957BA" w:rsidRDefault="00B957BA" w:rsidP="00B957BA">
          <w:pPr>
            <w:pStyle w:val="TOC3"/>
            <w:rPr>
              <w:rFonts w:asciiTheme="minorHAnsi" w:eastAsiaTheme="minorEastAsia" w:hAnsiTheme="minorHAnsi" w:cstheme="minorBidi"/>
              <w:sz w:val="24"/>
              <w:szCs w:val="24"/>
              <w:lang w:val="en-US"/>
            </w:rPr>
          </w:pPr>
          <w:hyperlink w:anchor="_Toc230962373" w:history="1">
            <w:r w:rsidRPr="002336AD">
              <w:rPr>
                <w:rStyle w:val="Hyperlink"/>
              </w:rPr>
              <w:t>1.1.2</w:t>
            </w:r>
            <w:r>
              <w:rPr>
                <w:rFonts w:asciiTheme="minorHAnsi" w:eastAsiaTheme="minorEastAsia" w:hAnsiTheme="minorHAnsi" w:cstheme="minorBidi"/>
                <w:sz w:val="24"/>
                <w:szCs w:val="24"/>
                <w:lang w:val="en-US"/>
              </w:rPr>
              <w:tab/>
            </w:r>
            <w:r w:rsidRPr="002336AD">
              <w:rPr>
                <w:rStyle w:val="Hyperlink"/>
              </w:rPr>
              <w:t>Hoạt động kinh doanh của ngân hàng thương mại.</w:t>
            </w:r>
            <w:r>
              <w:rPr>
                <w:webHidden/>
              </w:rPr>
              <w:tab/>
            </w:r>
            <w:r>
              <w:rPr>
                <w:webHidden/>
              </w:rPr>
              <w:fldChar w:fldCharType="begin"/>
            </w:r>
            <w:r>
              <w:rPr>
                <w:webHidden/>
              </w:rPr>
              <w:instrText xml:space="preserve"> PAGEREF _Toc230962373 \h </w:instrText>
            </w:r>
            <w:r>
              <w:rPr>
                <w:webHidden/>
              </w:rPr>
            </w:r>
            <w:r>
              <w:rPr>
                <w:webHidden/>
              </w:rPr>
              <w:fldChar w:fldCharType="separate"/>
            </w:r>
            <w:r>
              <w:rPr>
                <w:webHidden/>
              </w:rPr>
              <w:t>2</w:t>
            </w:r>
            <w:r>
              <w:rPr>
                <w:webHidden/>
              </w:rPr>
              <w:fldChar w:fldCharType="end"/>
            </w:r>
          </w:hyperlink>
        </w:p>
        <w:p w14:paraId="7C3F2A8D" w14:textId="56151C8B" w:rsidR="00B957BA" w:rsidRDefault="00B957BA" w:rsidP="00B957BA">
          <w:pPr>
            <w:pStyle w:val="TOC3"/>
            <w:rPr>
              <w:rFonts w:asciiTheme="minorHAnsi" w:eastAsiaTheme="minorEastAsia" w:hAnsiTheme="minorHAnsi" w:cstheme="minorBidi"/>
              <w:sz w:val="24"/>
              <w:szCs w:val="24"/>
              <w:lang w:val="en-US"/>
            </w:rPr>
          </w:pPr>
          <w:hyperlink w:anchor="_Toc230962374" w:history="1">
            <w:r w:rsidRPr="002336AD">
              <w:rPr>
                <w:rStyle w:val="Hyperlink"/>
              </w:rPr>
              <w:t>1.1.3</w:t>
            </w:r>
            <w:r>
              <w:rPr>
                <w:rFonts w:asciiTheme="minorHAnsi" w:eastAsiaTheme="minorEastAsia" w:hAnsiTheme="minorHAnsi" w:cstheme="minorBidi"/>
                <w:sz w:val="24"/>
                <w:szCs w:val="24"/>
                <w:lang w:val="en-US"/>
              </w:rPr>
              <w:tab/>
            </w:r>
            <w:r w:rsidRPr="002336AD">
              <w:rPr>
                <w:rStyle w:val="Hyperlink"/>
              </w:rPr>
              <w:t>Vai trò của ngân hàng thương mại.</w:t>
            </w:r>
            <w:r>
              <w:rPr>
                <w:webHidden/>
              </w:rPr>
              <w:tab/>
            </w:r>
            <w:r>
              <w:rPr>
                <w:webHidden/>
              </w:rPr>
              <w:fldChar w:fldCharType="begin"/>
            </w:r>
            <w:r>
              <w:rPr>
                <w:webHidden/>
              </w:rPr>
              <w:instrText xml:space="preserve"> PAGEREF _Toc230962374 \h </w:instrText>
            </w:r>
            <w:r>
              <w:rPr>
                <w:webHidden/>
              </w:rPr>
            </w:r>
            <w:r>
              <w:rPr>
                <w:webHidden/>
              </w:rPr>
              <w:fldChar w:fldCharType="separate"/>
            </w:r>
            <w:r>
              <w:rPr>
                <w:webHidden/>
              </w:rPr>
              <w:t>3</w:t>
            </w:r>
            <w:r>
              <w:rPr>
                <w:webHidden/>
              </w:rPr>
              <w:fldChar w:fldCharType="end"/>
            </w:r>
          </w:hyperlink>
        </w:p>
        <w:p w14:paraId="1E506E24" w14:textId="07435D17" w:rsidR="00B957BA" w:rsidRDefault="00B957BA">
          <w:pPr>
            <w:pStyle w:val="TOC2"/>
            <w:tabs>
              <w:tab w:val="left" w:pos="960"/>
            </w:tabs>
            <w:rPr>
              <w:rFonts w:asciiTheme="minorHAnsi" w:eastAsiaTheme="minorEastAsia" w:hAnsiTheme="minorHAnsi" w:cstheme="minorBidi"/>
              <w:b w:val="0"/>
              <w:bCs w:val="0"/>
              <w:sz w:val="24"/>
              <w:szCs w:val="24"/>
              <w:lang w:val="en-US"/>
            </w:rPr>
          </w:pPr>
          <w:hyperlink w:anchor="_Toc230962375" w:history="1">
            <w:r w:rsidRPr="002336AD">
              <w:rPr>
                <w:rStyle w:val="Hyperlink"/>
              </w:rPr>
              <w:t>1.2</w:t>
            </w:r>
            <w:r>
              <w:rPr>
                <w:rFonts w:asciiTheme="minorHAnsi" w:eastAsiaTheme="minorEastAsia" w:hAnsiTheme="minorHAnsi" w:cstheme="minorBidi"/>
                <w:b w:val="0"/>
                <w:bCs w:val="0"/>
                <w:sz w:val="24"/>
                <w:szCs w:val="24"/>
                <w:lang w:val="en-US"/>
              </w:rPr>
              <w:tab/>
            </w:r>
            <w:r w:rsidRPr="002336AD">
              <w:rPr>
                <w:rStyle w:val="Hyperlink"/>
              </w:rPr>
              <w:t>Hoạt động cho vay sản xuất kinh doanh đối với khách hàng cá nhân tại ngân hàng thương mại.</w:t>
            </w:r>
            <w:r>
              <w:rPr>
                <w:webHidden/>
              </w:rPr>
              <w:tab/>
            </w:r>
            <w:r>
              <w:rPr>
                <w:webHidden/>
              </w:rPr>
              <w:fldChar w:fldCharType="begin"/>
            </w:r>
            <w:r>
              <w:rPr>
                <w:webHidden/>
              </w:rPr>
              <w:instrText xml:space="preserve"> PAGEREF _Toc230962375 \h </w:instrText>
            </w:r>
            <w:r>
              <w:rPr>
                <w:webHidden/>
              </w:rPr>
            </w:r>
            <w:r>
              <w:rPr>
                <w:webHidden/>
              </w:rPr>
              <w:fldChar w:fldCharType="separate"/>
            </w:r>
            <w:r>
              <w:rPr>
                <w:webHidden/>
              </w:rPr>
              <w:t>5</w:t>
            </w:r>
            <w:r>
              <w:rPr>
                <w:webHidden/>
              </w:rPr>
              <w:fldChar w:fldCharType="end"/>
            </w:r>
          </w:hyperlink>
        </w:p>
        <w:p w14:paraId="0E9E2BEE" w14:textId="271295AF" w:rsidR="00B957BA" w:rsidRDefault="00B957BA" w:rsidP="00B957BA">
          <w:pPr>
            <w:pStyle w:val="TOC3"/>
            <w:rPr>
              <w:rFonts w:asciiTheme="minorHAnsi" w:eastAsiaTheme="minorEastAsia" w:hAnsiTheme="minorHAnsi" w:cstheme="minorBidi"/>
              <w:sz w:val="24"/>
              <w:szCs w:val="24"/>
              <w:lang w:val="en-US"/>
            </w:rPr>
          </w:pPr>
          <w:hyperlink w:anchor="_Toc230962376" w:history="1">
            <w:r w:rsidRPr="002336AD">
              <w:rPr>
                <w:rStyle w:val="Hyperlink"/>
              </w:rPr>
              <w:t>1.2.1</w:t>
            </w:r>
            <w:r>
              <w:rPr>
                <w:rFonts w:asciiTheme="minorHAnsi" w:eastAsiaTheme="minorEastAsia" w:hAnsiTheme="minorHAnsi" w:cstheme="minorBidi"/>
                <w:sz w:val="24"/>
                <w:szCs w:val="24"/>
                <w:lang w:val="en-US"/>
              </w:rPr>
              <w:tab/>
            </w:r>
            <w:r w:rsidRPr="002336AD">
              <w:rPr>
                <w:rStyle w:val="Hyperlink"/>
              </w:rPr>
              <w:t>Khái niệm cho vay sản xuất kinh doanh đối với khách hàng cá nhân.</w:t>
            </w:r>
            <w:r>
              <w:rPr>
                <w:webHidden/>
              </w:rPr>
              <w:tab/>
            </w:r>
            <w:r>
              <w:rPr>
                <w:webHidden/>
              </w:rPr>
              <w:fldChar w:fldCharType="begin"/>
            </w:r>
            <w:r>
              <w:rPr>
                <w:webHidden/>
              </w:rPr>
              <w:instrText xml:space="preserve"> PAGEREF _Toc230962376 \h </w:instrText>
            </w:r>
            <w:r>
              <w:rPr>
                <w:webHidden/>
              </w:rPr>
            </w:r>
            <w:r>
              <w:rPr>
                <w:webHidden/>
              </w:rPr>
              <w:fldChar w:fldCharType="separate"/>
            </w:r>
            <w:r>
              <w:rPr>
                <w:webHidden/>
              </w:rPr>
              <w:t>5</w:t>
            </w:r>
            <w:r>
              <w:rPr>
                <w:webHidden/>
              </w:rPr>
              <w:fldChar w:fldCharType="end"/>
            </w:r>
          </w:hyperlink>
        </w:p>
        <w:p w14:paraId="6507FC8F" w14:textId="55D836C2" w:rsidR="00B957BA" w:rsidRDefault="00B957BA" w:rsidP="00B957BA">
          <w:pPr>
            <w:pStyle w:val="TOC3"/>
            <w:rPr>
              <w:rFonts w:asciiTheme="minorHAnsi" w:eastAsiaTheme="minorEastAsia" w:hAnsiTheme="minorHAnsi" w:cstheme="minorBidi"/>
              <w:sz w:val="24"/>
              <w:szCs w:val="24"/>
              <w:lang w:val="en-US"/>
            </w:rPr>
          </w:pPr>
          <w:hyperlink w:anchor="_Toc230962377" w:history="1">
            <w:r w:rsidRPr="002336AD">
              <w:rPr>
                <w:rStyle w:val="Hyperlink"/>
              </w:rPr>
              <w:t>1.2.2</w:t>
            </w:r>
            <w:r>
              <w:rPr>
                <w:rFonts w:asciiTheme="minorHAnsi" w:eastAsiaTheme="minorEastAsia" w:hAnsiTheme="minorHAnsi" w:cstheme="minorBidi"/>
                <w:sz w:val="24"/>
                <w:szCs w:val="24"/>
                <w:lang w:val="en-US"/>
              </w:rPr>
              <w:tab/>
            </w:r>
            <w:r w:rsidRPr="002336AD">
              <w:rPr>
                <w:rStyle w:val="Hyperlink"/>
              </w:rPr>
              <w:t>Đặc điểm cho vay sản xuất kinh doanh đối với khách hàng cá nhân.</w:t>
            </w:r>
            <w:r>
              <w:rPr>
                <w:webHidden/>
              </w:rPr>
              <w:tab/>
            </w:r>
            <w:r>
              <w:rPr>
                <w:webHidden/>
              </w:rPr>
              <w:fldChar w:fldCharType="begin"/>
            </w:r>
            <w:r>
              <w:rPr>
                <w:webHidden/>
              </w:rPr>
              <w:instrText xml:space="preserve"> PAGEREF _Toc230962377 \h </w:instrText>
            </w:r>
            <w:r>
              <w:rPr>
                <w:webHidden/>
              </w:rPr>
            </w:r>
            <w:r>
              <w:rPr>
                <w:webHidden/>
              </w:rPr>
              <w:fldChar w:fldCharType="separate"/>
            </w:r>
            <w:r>
              <w:rPr>
                <w:webHidden/>
              </w:rPr>
              <w:t>6</w:t>
            </w:r>
            <w:r>
              <w:rPr>
                <w:webHidden/>
              </w:rPr>
              <w:fldChar w:fldCharType="end"/>
            </w:r>
          </w:hyperlink>
        </w:p>
        <w:p w14:paraId="7E70F581" w14:textId="01DF83E8" w:rsidR="00B957BA" w:rsidRDefault="00B957BA" w:rsidP="00B957BA">
          <w:pPr>
            <w:pStyle w:val="TOC3"/>
            <w:rPr>
              <w:rFonts w:asciiTheme="minorHAnsi" w:eastAsiaTheme="minorEastAsia" w:hAnsiTheme="minorHAnsi" w:cstheme="minorBidi"/>
              <w:sz w:val="24"/>
              <w:szCs w:val="24"/>
              <w:lang w:val="en-US"/>
            </w:rPr>
          </w:pPr>
          <w:hyperlink w:anchor="_Toc230962378" w:history="1">
            <w:r w:rsidRPr="002336AD">
              <w:rPr>
                <w:rStyle w:val="Hyperlink"/>
              </w:rPr>
              <w:t>1.2.3</w:t>
            </w:r>
            <w:r>
              <w:rPr>
                <w:rFonts w:asciiTheme="minorHAnsi" w:eastAsiaTheme="minorEastAsia" w:hAnsiTheme="minorHAnsi" w:cstheme="minorBidi"/>
                <w:sz w:val="24"/>
                <w:szCs w:val="24"/>
                <w:lang w:val="en-US"/>
              </w:rPr>
              <w:tab/>
            </w:r>
            <w:r w:rsidRPr="002336AD">
              <w:rPr>
                <w:rStyle w:val="Hyperlink"/>
              </w:rPr>
              <w:t>Phân loại cho vay sản xuất kinh doanh đối với khách hàng cá nhân.</w:t>
            </w:r>
            <w:r>
              <w:rPr>
                <w:webHidden/>
              </w:rPr>
              <w:tab/>
            </w:r>
            <w:r>
              <w:rPr>
                <w:webHidden/>
              </w:rPr>
              <w:fldChar w:fldCharType="begin"/>
            </w:r>
            <w:r>
              <w:rPr>
                <w:webHidden/>
              </w:rPr>
              <w:instrText xml:space="preserve"> PAGEREF _Toc230962378 \h </w:instrText>
            </w:r>
            <w:r>
              <w:rPr>
                <w:webHidden/>
              </w:rPr>
            </w:r>
            <w:r>
              <w:rPr>
                <w:webHidden/>
              </w:rPr>
              <w:fldChar w:fldCharType="separate"/>
            </w:r>
            <w:r>
              <w:rPr>
                <w:webHidden/>
              </w:rPr>
              <w:t>7</w:t>
            </w:r>
            <w:r>
              <w:rPr>
                <w:webHidden/>
              </w:rPr>
              <w:fldChar w:fldCharType="end"/>
            </w:r>
          </w:hyperlink>
        </w:p>
        <w:p w14:paraId="4E8743DC" w14:textId="3E1C331C" w:rsidR="00B957BA" w:rsidRDefault="00B957BA" w:rsidP="00B957BA">
          <w:pPr>
            <w:pStyle w:val="TOC3"/>
            <w:rPr>
              <w:rFonts w:asciiTheme="minorHAnsi" w:eastAsiaTheme="minorEastAsia" w:hAnsiTheme="minorHAnsi" w:cstheme="minorBidi"/>
              <w:sz w:val="24"/>
              <w:szCs w:val="24"/>
              <w:lang w:val="en-US"/>
            </w:rPr>
          </w:pPr>
          <w:hyperlink w:anchor="_Toc230962379" w:history="1">
            <w:r w:rsidRPr="002336AD">
              <w:rPr>
                <w:rStyle w:val="Hyperlink"/>
              </w:rPr>
              <w:t>1.2.4</w:t>
            </w:r>
            <w:r>
              <w:rPr>
                <w:rFonts w:asciiTheme="minorHAnsi" w:eastAsiaTheme="minorEastAsia" w:hAnsiTheme="minorHAnsi" w:cstheme="minorBidi"/>
                <w:sz w:val="24"/>
                <w:szCs w:val="24"/>
                <w:lang w:val="en-US"/>
              </w:rPr>
              <w:tab/>
            </w:r>
            <w:r w:rsidRPr="002336AD">
              <w:rPr>
                <w:rStyle w:val="Hyperlink"/>
              </w:rPr>
              <w:t>Vai trò của cho vay sản xuất kinh doanh đối với khách hàng cá nhân.</w:t>
            </w:r>
            <w:r>
              <w:rPr>
                <w:webHidden/>
              </w:rPr>
              <w:tab/>
            </w:r>
            <w:r>
              <w:rPr>
                <w:webHidden/>
              </w:rPr>
              <w:fldChar w:fldCharType="begin"/>
            </w:r>
            <w:r>
              <w:rPr>
                <w:webHidden/>
              </w:rPr>
              <w:instrText xml:space="preserve"> PAGEREF _Toc230962379 \h </w:instrText>
            </w:r>
            <w:r>
              <w:rPr>
                <w:webHidden/>
              </w:rPr>
            </w:r>
            <w:r>
              <w:rPr>
                <w:webHidden/>
              </w:rPr>
              <w:fldChar w:fldCharType="separate"/>
            </w:r>
            <w:r>
              <w:rPr>
                <w:webHidden/>
              </w:rPr>
              <w:t>8</w:t>
            </w:r>
            <w:r>
              <w:rPr>
                <w:webHidden/>
              </w:rPr>
              <w:fldChar w:fldCharType="end"/>
            </w:r>
          </w:hyperlink>
        </w:p>
        <w:p w14:paraId="36431B46" w14:textId="1CA9168E" w:rsidR="00B957BA" w:rsidRDefault="00B957BA">
          <w:pPr>
            <w:pStyle w:val="TOC2"/>
            <w:tabs>
              <w:tab w:val="left" w:pos="960"/>
            </w:tabs>
            <w:rPr>
              <w:rFonts w:asciiTheme="minorHAnsi" w:eastAsiaTheme="minorEastAsia" w:hAnsiTheme="minorHAnsi" w:cstheme="minorBidi"/>
              <w:b w:val="0"/>
              <w:bCs w:val="0"/>
              <w:sz w:val="24"/>
              <w:szCs w:val="24"/>
              <w:lang w:val="en-US"/>
            </w:rPr>
          </w:pPr>
          <w:hyperlink w:anchor="_Toc230962380" w:history="1">
            <w:r w:rsidRPr="002336AD">
              <w:rPr>
                <w:rStyle w:val="Hyperlink"/>
              </w:rPr>
              <w:t>1.3</w:t>
            </w:r>
            <w:r>
              <w:rPr>
                <w:rFonts w:asciiTheme="minorHAnsi" w:eastAsiaTheme="minorEastAsia" w:hAnsiTheme="minorHAnsi" w:cstheme="minorBidi"/>
                <w:b w:val="0"/>
                <w:bCs w:val="0"/>
                <w:sz w:val="24"/>
                <w:szCs w:val="24"/>
                <w:lang w:val="en-US"/>
              </w:rPr>
              <w:tab/>
            </w:r>
            <w:r w:rsidRPr="002336AD">
              <w:rPr>
                <w:rStyle w:val="Hyperlink"/>
              </w:rPr>
              <w:t>Hiệu quả hoạt động cho vay sản xuất kinh doanh đối với khách hàng cá nhân tại ngân hàng thương mại.</w:t>
            </w:r>
            <w:r>
              <w:rPr>
                <w:webHidden/>
              </w:rPr>
              <w:tab/>
            </w:r>
            <w:r>
              <w:rPr>
                <w:webHidden/>
              </w:rPr>
              <w:fldChar w:fldCharType="begin"/>
            </w:r>
            <w:r>
              <w:rPr>
                <w:webHidden/>
              </w:rPr>
              <w:instrText xml:space="preserve"> PAGEREF _Toc230962380 \h </w:instrText>
            </w:r>
            <w:r>
              <w:rPr>
                <w:webHidden/>
              </w:rPr>
            </w:r>
            <w:r>
              <w:rPr>
                <w:webHidden/>
              </w:rPr>
              <w:fldChar w:fldCharType="separate"/>
            </w:r>
            <w:r>
              <w:rPr>
                <w:webHidden/>
              </w:rPr>
              <w:t>9</w:t>
            </w:r>
            <w:r>
              <w:rPr>
                <w:webHidden/>
              </w:rPr>
              <w:fldChar w:fldCharType="end"/>
            </w:r>
          </w:hyperlink>
        </w:p>
        <w:p w14:paraId="477A29CA" w14:textId="1FE6C005" w:rsidR="00B957BA" w:rsidRDefault="00B957BA" w:rsidP="00B957BA">
          <w:pPr>
            <w:pStyle w:val="TOC3"/>
            <w:rPr>
              <w:rFonts w:asciiTheme="minorHAnsi" w:eastAsiaTheme="minorEastAsia" w:hAnsiTheme="minorHAnsi" w:cstheme="minorBidi"/>
              <w:sz w:val="24"/>
              <w:szCs w:val="24"/>
              <w:lang w:val="en-US"/>
            </w:rPr>
          </w:pPr>
          <w:hyperlink w:anchor="_Toc230962381" w:history="1">
            <w:r w:rsidRPr="002336AD">
              <w:rPr>
                <w:rStyle w:val="Hyperlink"/>
              </w:rPr>
              <w:t>1.3.1</w:t>
            </w:r>
            <w:r>
              <w:rPr>
                <w:rFonts w:asciiTheme="minorHAnsi" w:eastAsiaTheme="minorEastAsia" w:hAnsiTheme="minorHAnsi" w:cstheme="minorBidi"/>
                <w:sz w:val="24"/>
                <w:szCs w:val="24"/>
                <w:lang w:val="en-US"/>
              </w:rPr>
              <w:tab/>
            </w:r>
            <w:r w:rsidRPr="002336AD">
              <w:rPr>
                <w:rStyle w:val="Hyperlink"/>
              </w:rPr>
              <w:t>Quan điểm về hiệu quả cho vay sản xuất kinh doanh đối với khách hàng cá nhân.</w:t>
            </w:r>
            <w:r>
              <w:rPr>
                <w:webHidden/>
              </w:rPr>
              <w:tab/>
            </w:r>
            <w:r w:rsidR="00AD153E">
              <w:rPr>
                <w:webHidden/>
                <w:lang w:val="en-US"/>
              </w:rPr>
              <w:tab/>
            </w:r>
            <w:r>
              <w:rPr>
                <w:webHidden/>
              </w:rPr>
              <w:fldChar w:fldCharType="begin"/>
            </w:r>
            <w:r>
              <w:rPr>
                <w:webHidden/>
              </w:rPr>
              <w:instrText xml:space="preserve"> PAGEREF _Toc230962381 \h </w:instrText>
            </w:r>
            <w:r>
              <w:rPr>
                <w:webHidden/>
              </w:rPr>
            </w:r>
            <w:r>
              <w:rPr>
                <w:webHidden/>
              </w:rPr>
              <w:fldChar w:fldCharType="separate"/>
            </w:r>
            <w:r>
              <w:rPr>
                <w:webHidden/>
              </w:rPr>
              <w:t>9</w:t>
            </w:r>
            <w:r>
              <w:rPr>
                <w:webHidden/>
              </w:rPr>
              <w:fldChar w:fldCharType="end"/>
            </w:r>
          </w:hyperlink>
        </w:p>
        <w:p w14:paraId="34A210A9" w14:textId="38B41F70" w:rsidR="00B957BA" w:rsidRDefault="00B957BA" w:rsidP="00B957BA">
          <w:pPr>
            <w:pStyle w:val="TOC3"/>
            <w:rPr>
              <w:rFonts w:asciiTheme="minorHAnsi" w:eastAsiaTheme="minorEastAsia" w:hAnsiTheme="minorHAnsi" w:cstheme="minorBidi"/>
              <w:sz w:val="24"/>
              <w:szCs w:val="24"/>
              <w:lang w:val="en-US"/>
            </w:rPr>
          </w:pPr>
          <w:hyperlink w:anchor="_Toc230962382" w:history="1">
            <w:r w:rsidRPr="002336AD">
              <w:rPr>
                <w:rStyle w:val="Hyperlink"/>
              </w:rPr>
              <w:t>1.3.2</w:t>
            </w:r>
            <w:r>
              <w:rPr>
                <w:rFonts w:asciiTheme="minorHAnsi" w:eastAsiaTheme="minorEastAsia" w:hAnsiTheme="minorHAnsi" w:cstheme="minorBidi"/>
                <w:sz w:val="24"/>
                <w:szCs w:val="24"/>
                <w:lang w:val="en-US"/>
              </w:rPr>
              <w:tab/>
            </w:r>
            <w:r w:rsidRPr="002336AD">
              <w:rPr>
                <w:rStyle w:val="Hyperlink"/>
              </w:rPr>
              <w:t>Các chỉ tiêu đánh giá hiệu quả cho vay sản xuất kinh doanh đối với khách hàng cá nhân.</w:t>
            </w:r>
            <w:r>
              <w:rPr>
                <w:webHidden/>
              </w:rPr>
              <w:tab/>
            </w:r>
            <w:r>
              <w:rPr>
                <w:webHidden/>
              </w:rPr>
              <w:fldChar w:fldCharType="begin"/>
            </w:r>
            <w:r>
              <w:rPr>
                <w:webHidden/>
              </w:rPr>
              <w:instrText xml:space="preserve"> PAGEREF _Toc230962382 \h </w:instrText>
            </w:r>
            <w:r>
              <w:rPr>
                <w:webHidden/>
              </w:rPr>
            </w:r>
            <w:r>
              <w:rPr>
                <w:webHidden/>
              </w:rPr>
              <w:fldChar w:fldCharType="separate"/>
            </w:r>
            <w:r>
              <w:rPr>
                <w:webHidden/>
              </w:rPr>
              <w:t>10</w:t>
            </w:r>
            <w:r>
              <w:rPr>
                <w:webHidden/>
              </w:rPr>
              <w:fldChar w:fldCharType="end"/>
            </w:r>
          </w:hyperlink>
        </w:p>
        <w:p w14:paraId="4865FAE9" w14:textId="7D5FB0C7" w:rsidR="00B957BA" w:rsidRDefault="00B957BA" w:rsidP="00B957BA">
          <w:pPr>
            <w:pStyle w:val="TOC3"/>
            <w:rPr>
              <w:rFonts w:asciiTheme="minorHAnsi" w:eastAsiaTheme="minorEastAsia" w:hAnsiTheme="minorHAnsi" w:cstheme="minorBidi"/>
              <w:sz w:val="24"/>
              <w:szCs w:val="24"/>
              <w:lang w:val="en-US"/>
            </w:rPr>
          </w:pPr>
          <w:hyperlink w:anchor="_Toc230962383" w:history="1">
            <w:r w:rsidRPr="002336AD">
              <w:rPr>
                <w:rStyle w:val="Hyperlink"/>
              </w:rPr>
              <w:t>1.3.3</w:t>
            </w:r>
            <w:r>
              <w:rPr>
                <w:rFonts w:asciiTheme="minorHAnsi" w:eastAsiaTheme="minorEastAsia" w:hAnsiTheme="minorHAnsi" w:cstheme="minorBidi"/>
                <w:sz w:val="24"/>
                <w:szCs w:val="24"/>
                <w:lang w:val="en-US"/>
              </w:rPr>
              <w:tab/>
            </w:r>
            <w:r w:rsidRPr="002336AD">
              <w:rPr>
                <w:rStyle w:val="Hyperlink"/>
              </w:rPr>
              <w:t>Các nhân tố ảnh hưởng đến hiệu quả cho vay sản xuất kinh doanh đối với khách hàng cá nhân.</w:t>
            </w:r>
            <w:r>
              <w:rPr>
                <w:webHidden/>
              </w:rPr>
              <w:tab/>
            </w:r>
            <w:r>
              <w:rPr>
                <w:webHidden/>
              </w:rPr>
              <w:fldChar w:fldCharType="begin"/>
            </w:r>
            <w:r>
              <w:rPr>
                <w:webHidden/>
              </w:rPr>
              <w:instrText xml:space="preserve"> PAGEREF _Toc230962383 \h </w:instrText>
            </w:r>
            <w:r>
              <w:rPr>
                <w:webHidden/>
              </w:rPr>
            </w:r>
            <w:r>
              <w:rPr>
                <w:webHidden/>
              </w:rPr>
              <w:fldChar w:fldCharType="separate"/>
            </w:r>
            <w:r>
              <w:rPr>
                <w:webHidden/>
              </w:rPr>
              <w:t>14</w:t>
            </w:r>
            <w:r>
              <w:rPr>
                <w:webHidden/>
              </w:rPr>
              <w:fldChar w:fldCharType="end"/>
            </w:r>
          </w:hyperlink>
        </w:p>
        <w:p w14:paraId="0B579C7B" w14:textId="3B5B4355" w:rsidR="00B957BA" w:rsidRDefault="00B957BA">
          <w:pPr>
            <w:pStyle w:val="TOC1"/>
            <w:rPr>
              <w:rFonts w:asciiTheme="minorHAnsi" w:eastAsiaTheme="minorEastAsia" w:hAnsiTheme="minorHAnsi" w:cstheme="minorBidi"/>
              <w:b w:val="0"/>
              <w:bCs w:val="0"/>
              <w:sz w:val="24"/>
              <w:szCs w:val="24"/>
              <w:lang w:val="en-US"/>
            </w:rPr>
          </w:pPr>
          <w:hyperlink w:anchor="_Toc230962384" w:history="1">
            <w:r w:rsidRPr="002336AD">
              <w:rPr>
                <w:rStyle w:val="Hyperlink"/>
              </w:rPr>
              <w:t>TÓM TẮT CHƯƠNG 1</w:t>
            </w:r>
            <w:r>
              <w:rPr>
                <w:webHidden/>
              </w:rPr>
              <w:tab/>
            </w:r>
            <w:r>
              <w:rPr>
                <w:webHidden/>
              </w:rPr>
              <w:fldChar w:fldCharType="begin"/>
            </w:r>
            <w:r>
              <w:rPr>
                <w:webHidden/>
              </w:rPr>
              <w:instrText xml:space="preserve"> PAGEREF _Toc230962384 \h </w:instrText>
            </w:r>
            <w:r>
              <w:rPr>
                <w:webHidden/>
              </w:rPr>
            </w:r>
            <w:r>
              <w:rPr>
                <w:webHidden/>
              </w:rPr>
              <w:fldChar w:fldCharType="separate"/>
            </w:r>
            <w:r>
              <w:rPr>
                <w:webHidden/>
              </w:rPr>
              <w:t>17</w:t>
            </w:r>
            <w:r>
              <w:rPr>
                <w:webHidden/>
              </w:rPr>
              <w:fldChar w:fldCharType="end"/>
            </w:r>
          </w:hyperlink>
        </w:p>
        <w:p w14:paraId="3B1ADA60" w14:textId="3480C3ED" w:rsidR="00B957BA" w:rsidRDefault="00B957BA">
          <w:pPr>
            <w:pStyle w:val="TOC1"/>
            <w:rPr>
              <w:rFonts w:asciiTheme="minorHAnsi" w:eastAsiaTheme="minorEastAsia" w:hAnsiTheme="minorHAnsi" w:cstheme="minorBidi"/>
              <w:b w:val="0"/>
              <w:bCs w:val="0"/>
              <w:sz w:val="24"/>
              <w:szCs w:val="24"/>
              <w:lang w:val="en-US"/>
            </w:rPr>
          </w:pPr>
          <w:hyperlink w:anchor="_Toc230962385" w:history="1">
            <w:r w:rsidRPr="002336AD">
              <w:rPr>
                <w:rStyle w:val="Hyperlink"/>
              </w:rPr>
              <w:t>CHƯƠNG II: THỰC TRẠNG HIỆU QUẢ HOẠT ĐỘNG CHO VAY SẢN XUẤT KINH DOANH ĐỐI VỚI KHÁCH HÀNG CÁ NHÂN TẠI NGÂN HÀNG TMCP QUÂN ĐỘI – CHI NHÁNH ĐÀ NẴNG</w:t>
            </w:r>
            <w:r>
              <w:rPr>
                <w:webHidden/>
              </w:rPr>
              <w:tab/>
            </w:r>
            <w:r>
              <w:rPr>
                <w:webHidden/>
              </w:rPr>
              <w:fldChar w:fldCharType="begin"/>
            </w:r>
            <w:r>
              <w:rPr>
                <w:webHidden/>
              </w:rPr>
              <w:instrText xml:space="preserve"> PAGEREF _Toc230962385 \h </w:instrText>
            </w:r>
            <w:r>
              <w:rPr>
                <w:webHidden/>
              </w:rPr>
            </w:r>
            <w:r>
              <w:rPr>
                <w:webHidden/>
              </w:rPr>
              <w:fldChar w:fldCharType="separate"/>
            </w:r>
            <w:r>
              <w:rPr>
                <w:webHidden/>
              </w:rPr>
              <w:t>18</w:t>
            </w:r>
            <w:r>
              <w:rPr>
                <w:webHidden/>
              </w:rPr>
              <w:fldChar w:fldCharType="end"/>
            </w:r>
          </w:hyperlink>
        </w:p>
        <w:p w14:paraId="1038577D" w14:textId="6F0293F8" w:rsidR="00B957BA" w:rsidRDefault="00B957BA">
          <w:pPr>
            <w:pStyle w:val="TOC2"/>
            <w:rPr>
              <w:rFonts w:asciiTheme="minorHAnsi" w:eastAsiaTheme="minorEastAsia" w:hAnsiTheme="minorHAnsi" w:cstheme="minorBidi"/>
              <w:b w:val="0"/>
              <w:bCs w:val="0"/>
              <w:sz w:val="24"/>
              <w:szCs w:val="24"/>
              <w:lang w:val="en-US"/>
            </w:rPr>
          </w:pPr>
          <w:hyperlink w:anchor="_Toc230962386" w:history="1">
            <w:r w:rsidRPr="002336AD">
              <w:rPr>
                <w:rStyle w:val="Hyperlink"/>
              </w:rPr>
              <w:t>2.1 Khái quát về ngân hàng TMCP Quân đội – Chi nhánh Đà Nẵng.</w:t>
            </w:r>
            <w:r>
              <w:rPr>
                <w:webHidden/>
              </w:rPr>
              <w:tab/>
            </w:r>
            <w:r>
              <w:rPr>
                <w:webHidden/>
              </w:rPr>
              <w:fldChar w:fldCharType="begin"/>
            </w:r>
            <w:r>
              <w:rPr>
                <w:webHidden/>
              </w:rPr>
              <w:instrText xml:space="preserve"> PAGEREF _Toc230962386 \h </w:instrText>
            </w:r>
            <w:r>
              <w:rPr>
                <w:webHidden/>
              </w:rPr>
            </w:r>
            <w:r>
              <w:rPr>
                <w:webHidden/>
              </w:rPr>
              <w:fldChar w:fldCharType="separate"/>
            </w:r>
            <w:r>
              <w:rPr>
                <w:webHidden/>
              </w:rPr>
              <w:t>18</w:t>
            </w:r>
            <w:r>
              <w:rPr>
                <w:webHidden/>
              </w:rPr>
              <w:fldChar w:fldCharType="end"/>
            </w:r>
          </w:hyperlink>
        </w:p>
        <w:p w14:paraId="5C811C3E" w14:textId="4AC3E0AC" w:rsidR="00B957BA" w:rsidRDefault="00B957BA" w:rsidP="00B957BA">
          <w:pPr>
            <w:pStyle w:val="TOC3"/>
            <w:rPr>
              <w:rFonts w:asciiTheme="minorHAnsi" w:eastAsiaTheme="minorEastAsia" w:hAnsiTheme="minorHAnsi" w:cstheme="minorBidi"/>
              <w:sz w:val="24"/>
              <w:szCs w:val="24"/>
              <w:lang w:val="en-US"/>
            </w:rPr>
          </w:pPr>
          <w:hyperlink w:anchor="_Toc230962387" w:history="1">
            <w:r w:rsidRPr="002336AD">
              <w:rPr>
                <w:rStyle w:val="Hyperlink"/>
              </w:rPr>
              <w:t>2.1.1</w:t>
            </w:r>
            <w:r>
              <w:rPr>
                <w:rStyle w:val="Hyperlink"/>
                <w:lang w:val="en-US"/>
              </w:rPr>
              <w:t xml:space="preserve"> </w:t>
            </w:r>
            <w:r w:rsidRPr="002336AD">
              <w:rPr>
                <w:rStyle w:val="Hyperlink"/>
              </w:rPr>
              <w:t xml:space="preserve"> Lịch sử hình thành và quá trình phát triển của ngân hàng TMCP Quân đội – Chi nhánh Đà Nẵng.</w:t>
            </w:r>
            <w:r>
              <w:rPr>
                <w:webHidden/>
              </w:rPr>
              <w:tab/>
            </w:r>
            <w:r>
              <w:rPr>
                <w:webHidden/>
              </w:rPr>
              <w:fldChar w:fldCharType="begin"/>
            </w:r>
            <w:r>
              <w:rPr>
                <w:webHidden/>
              </w:rPr>
              <w:instrText xml:space="preserve"> PAGEREF _Toc230962387 \h </w:instrText>
            </w:r>
            <w:r>
              <w:rPr>
                <w:webHidden/>
              </w:rPr>
            </w:r>
            <w:r>
              <w:rPr>
                <w:webHidden/>
              </w:rPr>
              <w:fldChar w:fldCharType="separate"/>
            </w:r>
            <w:r>
              <w:rPr>
                <w:webHidden/>
              </w:rPr>
              <w:t>18</w:t>
            </w:r>
            <w:r>
              <w:rPr>
                <w:webHidden/>
              </w:rPr>
              <w:fldChar w:fldCharType="end"/>
            </w:r>
          </w:hyperlink>
        </w:p>
        <w:p w14:paraId="60255B73" w14:textId="726130D1" w:rsidR="00B957BA" w:rsidRDefault="00B957BA" w:rsidP="00B957BA">
          <w:pPr>
            <w:pStyle w:val="TOC3"/>
            <w:rPr>
              <w:rFonts w:asciiTheme="minorHAnsi" w:eastAsiaTheme="minorEastAsia" w:hAnsiTheme="minorHAnsi" w:cstheme="minorBidi"/>
              <w:sz w:val="24"/>
              <w:szCs w:val="24"/>
              <w:lang w:val="en-US"/>
            </w:rPr>
          </w:pPr>
          <w:hyperlink w:anchor="_Toc230962388" w:history="1">
            <w:r w:rsidRPr="002336AD">
              <w:rPr>
                <w:rStyle w:val="Hyperlink"/>
              </w:rPr>
              <w:t xml:space="preserve">2.1.2 </w:t>
            </w:r>
            <w:r>
              <w:rPr>
                <w:rStyle w:val="Hyperlink"/>
                <w:lang w:val="en-US"/>
              </w:rPr>
              <w:t xml:space="preserve"> </w:t>
            </w:r>
            <w:r w:rsidRPr="002336AD">
              <w:rPr>
                <w:rStyle w:val="Hyperlink"/>
              </w:rPr>
              <w:t>Hoạt động kinh doanh của ngân hàng TMCP Quân đội – Chi nhánh Đà Nẵng.</w:t>
            </w:r>
            <w:r>
              <w:rPr>
                <w:webHidden/>
              </w:rPr>
              <w:tab/>
            </w:r>
            <w:r w:rsidR="00AD153E">
              <w:rPr>
                <w:webHidden/>
                <w:lang w:val="en-US"/>
              </w:rPr>
              <w:tab/>
            </w:r>
            <w:r>
              <w:rPr>
                <w:webHidden/>
              </w:rPr>
              <w:fldChar w:fldCharType="begin"/>
            </w:r>
            <w:r>
              <w:rPr>
                <w:webHidden/>
              </w:rPr>
              <w:instrText xml:space="preserve"> PAGEREF _Toc230962388 \h </w:instrText>
            </w:r>
            <w:r>
              <w:rPr>
                <w:webHidden/>
              </w:rPr>
            </w:r>
            <w:r>
              <w:rPr>
                <w:webHidden/>
              </w:rPr>
              <w:fldChar w:fldCharType="separate"/>
            </w:r>
            <w:r>
              <w:rPr>
                <w:webHidden/>
              </w:rPr>
              <w:t>19</w:t>
            </w:r>
            <w:r>
              <w:rPr>
                <w:webHidden/>
              </w:rPr>
              <w:fldChar w:fldCharType="end"/>
            </w:r>
          </w:hyperlink>
        </w:p>
        <w:p w14:paraId="14323E52" w14:textId="24541E98" w:rsidR="00B957BA" w:rsidRDefault="00B957BA" w:rsidP="00B957BA">
          <w:pPr>
            <w:pStyle w:val="TOC3"/>
            <w:rPr>
              <w:rFonts w:asciiTheme="minorHAnsi" w:eastAsiaTheme="minorEastAsia" w:hAnsiTheme="minorHAnsi" w:cstheme="minorBidi"/>
              <w:sz w:val="24"/>
              <w:szCs w:val="24"/>
              <w:lang w:val="en-US"/>
            </w:rPr>
          </w:pPr>
          <w:hyperlink w:anchor="_Toc230962389" w:history="1">
            <w:r w:rsidRPr="002336AD">
              <w:rPr>
                <w:rStyle w:val="Hyperlink"/>
              </w:rPr>
              <w:t xml:space="preserve">2.1.3 </w:t>
            </w:r>
            <w:r>
              <w:rPr>
                <w:rStyle w:val="Hyperlink"/>
                <w:lang w:val="en-US"/>
              </w:rPr>
              <w:t xml:space="preserve"> </w:t>
            </w:r>
            <w:r w:rsidRPr="002336AD">
              <w:rPr>
                <w:rStyle w:val="Hyperlink"/>
              </w:rPr>
              <w:t>Cơ cấu tổ chức và nhiệm vụ các phòng ban của ngân hàng TMCP Quân đội – Chi nhánh Đà Nẵng.</w:t>
            </w:r>
            <w:r>
              <w:rPr>
                <w:webHidden/>
              </w:rPr>
              <w:tab/>
            </w:r>
            <w:r>
              <w:rPr>
                <w:webHidden/>
              </w:rPr>
              <w:fldChar w:fldCharType="begin"/>
            </w:r>
            <w:r>
              <w:rPr>
                <w:webHidden/>
              </w:rPr>
              <w:instrText xml:space="preserve"> PAGEREF _Toc230962389 \h </w:instrText>
            </w:r>
            <w:r>
              <w:rPr>
                <w:webHidden/>
              </w:rPr>
            </w:r>
            <w:r>
              <w:rPr>
                <w:webHidden/>
              </w:rPr>
              <w:fldChar w:fldCharType="separate"/>
            </w:r>
            <w:r>
              <w:rPr>
                <w:webHidden/>
              </w:rPr>
              <w:t>19</w:t>
            </w:r>
            <w:r>
              <w:rPr>
                <w:webHidden/>
              </w:rPr>
              <w:fldChar w:fldCharType="end"/>
            </w:r>
          </w:hyperlink>
        </w:p>
        <w:p w14:paraId="668D86B6" w14:textId="4A266C4F" w:rsidR="00B957BA" w:rsidRDefault="00B957BA" w:rsidP="00B957BA">
          <w:pPr>
            <w:pStyle w:val="TOC3"/>
            <w:rPr>
              <w:rFonts w:asciiTheme="minorHAnsi" w:eastAsiaTheme="minorEastAsia" w:hAnsiTheme="minorHAnsi" w:cstheme="minorBidi"/>
              <w:sz w:val="24"/>
              <w:szCs w:val="24"/>
              <w:lang w:val="en-US"/>
            </w:rPr>
          </w:pPr>
          <w:hyperlink w:anchor="_Toc230962390" w:history="1">
            <w:r w:rsidRPr="002336AD">
              <w:rPr>
                <w:rStyle w:val="Hyperlink"/>
              </w:rPr>
              <w:t xml:space="preserve">2.1.4 </w:t>
            </w:r>
            <w:r>
              <w:rPr>
                <w:rStyle w:val="Hyperlink"/>
                <w:lang w:val="en-US"/>
              </w:rPr>
              <w:t xml:space="preserve"> </w:t>
            </w:r>
            <w:r w:rsidRPr="002336AD">
              <w:rPr>
                <w:rStyle w:val="Hyperlink"/>
              </w:rPr>
              <w:t>Kết quả hoạt động kinh doanh của ngân hàng TMCP Quân đội – Chi nhánh Đà Nẵng.</w:t>
            </w:r>
            <w:r>
              <w:rPr>
                <w:webHidden/>
              </w:rPr>
              <w:tab/>
            </w:r>
            <w:r>
              <w:rPr>
                <w:webHidden/>
              </w:rPr>
              <w:fldChar w:fldCharType="begin"/>
            </w:r>
            <w:r>
              <w:rPr>
                <w:webHidden/>
              </w:rPr>
              <w:instrText xml:space="preserve"> PAGEREF _Toc230962390 \h </w:instrText>
            </w:r>
            <w:r>
              <w:rPr>
                <w:webHidden/>
              </w:rPr>
            </w:r>
            <w:r>
              <w:rPr>
                <w:webHidden/>
              </w:rPr>
              <w:fldChar w:fldCharType="separate"/>
            </w:r>
            <w:r>
              <w:rPr>
                <w:webHidden/>
              </w:rPr>
              <w:t>21</w:t>
            </w:r>
            <w:r>
              <w:rPr>
                <w:webHidden/>
              </w:rPr>
              <w:fldChar w:fldCharType="end"/>
            </w:r>
          </w:hyperlink>
        </w:p>
        <w:p w14:paraId="5E75D36D" w14:textId="3ACDDD2F" w:rsidR="00B957BA" w:rsidRDefault="00B957BA">
          <w:pPr>
            <w:pStyle w:val="TOC2"/>
            <w:rPr>
              <w:rFonts w:asciiTheme="minorHAnsi" w:eastAsiaTheme="minorEastAsia" w:hAnsiTheme="minorHAnsi" w:cstheme="minorBidi"/>
              <w:b w:val="0"/>
              <w:bCs w:val="0"/>
              <w:sz w:val="24"/>
              <w:szCs w:val="24"/>
              <w:lang w:val="en-US"/>
            </w:rPr>
          </w:pPr>
          <w:hyperlink w:anchor="_Toc230962391" w:history="1">
            <w:r w:rsidRPr="002336AD">
              <w:rPr>
                <w:rStyle w:val="Hyperlink"/>
              </w:rPr>
              <w:t>2.2 Thực trạng hiệu quả hoạt động cho vay sản xuất kinh doanh đối với khách hàng cá nhân tại ngân hàng TMCP Quân đội – Chi nhánh Đà Nẵng.</w:t>
            </w:r>
            <w:r>
              <w:rPr>
                <w:webHidden/>
              </w:rPr>
              <w:tab/>
            </w:r>
            <w:r>
              <w:rPr>
                <w:webHidden/>
              </w:rPr>
              <w:fldChar w:fldCharType="begin"/>
            </w:r>
            <w:r>
              <w:rPr>
                <w:webHidden/>
              </w:rPr>
              <w:instrText xml:space="preserve"> PAGEREF _Toc230962391 \h </w:instrText>
            </w:r>
            <w:r>
              <w:rPr>
                <w:webHidden/>
              </w:rPr>
            </w:r>
            <w:r>
              <w:rPr>
                <w:webHidden/>
              </w:rPr>
              <w:fldChar w:fldCharType="separate"/>
            </w:r>
            <w:r>
              <w:rPr>
                <w:webHidden/>
              </w:rPr>
              <w:t>27</w:t>
            </w:r>
            <w:r>
              <w:rPr>
                <w:webHidden/>
              </w:rPr>
              <w:fldChar w:fldCharType="end"/>
            </w:r>
          </w:hyperlink>
        </w:p>
        <w:p w14:paraId="693CD83C" w14:textId="159ABA30" w:rsidR="00B957BA" w:rsidRDefault="00B957BA" w:rsidP="00B957BA">
          <w:pPr>
            <w:pStyle w:val="TOC3"/>
            <w:rPr>
              <w:rFonts w:asciiTheme="minorHAnsi" w:eastAsiaTheme="minorEastAsia" w:hAnsiTheme="minorHAnsi" w:cstheme="minorBidi"/>
              <w:sz w:val="24"/>
              <w:szCs w:val="24"/>
              <w:lang w:val="en-US"/>
            </w:rPr>
          </w:pPr>
          <w:hyperlink w:anchor="_Toc230962392" w:history="1">
            <w:r w:rsidRPr="002336AD">
              <w:rPr>
                <w:rStyle w:val="Hyperlink"/>
              </w:rPr>
              <w:t>2.2.1</w:t>
            </w:r>
            <w:r>
              <w:rPr>
                <w:rFonts w:asciiTheme="minorHAnsi" w:eastAsiaTheme="minorEastAsia" w:hAnsiTheme="minorHAnsi" w:cstheme="minorBidi"/>
                <w:sz w:val="24"/>
                <w:szCs w:val="24"/>
                <w:lang w:val="en-US"/>
              </w:rPr>
              <w:tab/>
            </w:r>
            <w:r w:rsidRPr="002336AD">
              <w:rPr>
                <w:rStyle w:val="Hyperlink"/>
              </w:rPr>
              <w:t>Quy định chung về cho vay sản xuất kinh doanh đối với khách hàng cá nhân.</w:t>
            </w:r>
            <w:r>
              <w:rPr>
                <w:webHidden/>
              </w:rPr>
              <w:tab/>
            </w:r>
            <w:r w:rsidR="00AD153E">
              <w:rPr>
                <w:webHidden/>
                <w:lang w:val="en-US"/>
              </w:rPr>
              <w:tab/>
            </w:r>
            <w:r>
              <w:rPr>
                <w:webHidden/>
              </w:rPr>
              <w:fldChar w:fldCharType="begin"/>
            </w:r>
            <w:r>
              <w:rPr>
                <w:webHidden/>
              </w:rPr>
              <w:instrText xml:space="preserve"> PAGEREF _Toc230962392 \h </w:instrText>
            </w:r>
            <w:r>
              <w:rPr>
                <w:webHidden/>
              </w:rPr>
            </w:r>
            <w:r>
              <w:rPr>
                <w:webHidden/>
              </w:rPr>
              <w:fldChar w:fldCharType="separate"/>
            </w:r>
            <w:r>
              <w:rPr>
                <w:webHidden/>
              </w:rPr>
              <w:t>27</w:t>
            </w:r>
            <w:r>
              <w:rPr>
                <w:webHidden/>
              </w:rPr>
              <w:fldChar w:fldCharType="end"/>
            </w:r>
          </w:hyperlink>
        </w:p>
        <w:p w14:paraId="5E405541" w14:textId="5309ADF2" w:rsidR="00B957BA" w:rsidRDefault="00B957BA" w:rsidP="00B957BA">
          <w:pPr>
            <w:pStyle w:val="TOC3"/>
            <w:rPr>
              <w:rFonts w:asciiTheme="minorHAnsi" w:eastAsiaTheme="minorEastAsia" w:hAnsiTheme="minorHAnsi" w:cstheme="minorBidi"/>
              <w:sz w:val="24"/>
              <w:szCs w:val="24"/>
              <w:lang w:val="en-US"/>
            </w:rPr>
          </w:pPr>
          <w:hyperlink w:anchor="_Toc230962393" w:history="1">
            <w:r w:rsidRPr="002336AD">
              <w:rPr>
                <w:rStyle w:val="Hyperlink"/>
              </w:rPr>
              <w:t>2.2.2</w:t>
            </w:r>
            <w:r>
              <w:rPr>
                <w:rFonts w:asciiTheme="minorHAnsi" w:eastAsiaTheme="minorEastAsia" w:hAnsiTheme="minorHAnsi" w:cstheme="minorBidi"/>
                <w:sz w:val="24"/>
                <w:szCs w:val="24"/>
                <w:lang w:val="en-US"/>
              </w:rPr>
              <w:tab/>
            </w:r>
            <w:r w:rsidRPr="002336AD">
              <w:rPr>
                <w:rStyle w:val="Hyperlink"/>
              </w:rPr>
              <w:t>Quy trình cho vay sản xuất kinh doanh đối với khách hàng cá nhân.</w:t>
            </w:r>
            <w:r>
              <w:rPr>
                <w:webHidden/>
              </w:rPr>
              <w:tab/>
            </w:r>
            <w:r>
              <w:rPr>
                <w:webHidden/>
              </w:rPr>
              <w:fldChar w:fldCharType="begin"/>
            </w:r>
            <w:r>
              <w:rPr>
                <w:webHidden/>
              </w:rPr>
              <w:instrText xml:space="preserve"> PAGEREF _Toc230962393 \h </w:instrText>
            </w:r>
            <w:r>
              <w:rPr>
                <w:webHidden/>
              </w:rPr>
            </w:r>
            <w:r>
              <w:rPr>
                <w:webHidden/>
              </w:rPr>
              <w:fldChar w:fldCharType="separate"/>
            </w:r>
            <w:r>
              <w:rPr>
                <w:webHidden/>
              </w:rPr>
              <w:t>31</w:t>
            </w:r>
            <w:r>
              <w:rPr>
                <w:webHidden/>
              </w:rPr>
              <w:fldChar w:fldCharType="end"/>
            </w:r>
          </w:hyperlink>
        </w:p>
        <w:p w14:paraId="6513882F" w14:textId="2FC3C5BF" w:rsidR="00B957BA" w:rsidRDefault="00B957BA" w:rsidP="00B957BA">
          <w:pPr>
            <w:pStyle w:val="TOC3"/>
            <w:rPr>
              <w:rFonts w:asciiTheme="minorHAnsi" w:eastAsiaTheme="minorEastAsia" w:hAnsiTheme="minorHAnsi" w:cstheme="minorBidi"/>
              <w:sz w:val="24"/>
              <w:szCs w:val="24"/>
              <w:lang w:val="en-US"/>
            </w:rPr>
          </w:pPr>
          <w:hyperlink w:anchor="_Toc230962394" w:history="1">
            <w:r w:rsidRPr="002336AD">
              <w:rPr>
                <w:rStyle w:val="Hyperlink"/>
              </w:rPr>
              <w:t>2.2.3</w:t>
            </w:r>
            <w:r>
              <w:rPr>
                <w:rFonts w:asciiTheme="minorHAnsi" w:eastAsiaTheme="minorEastAsia" w:hAnsiTheme="minorHAnsi" w:cstheme="minorBidi"/>
                <w:sz w:val="24"/>
                <w:szCs w:val="24"/>
                <w:lang w:val="en-US"/>
              </w:rPr>
              <w:tab/>
            </w:r>
            <w:r w:rsidRPr="002336AD">
              <w:rPr>
                <w:rStyle w:val="Hyperlink"/>
              </w:rPr>
              <w:t>So sánh sự khác nhau giữa quy định cho vay sản xuất kinh doanh đối với khách hàng cá nhân của MB với các ngân hàng khác.</w:t>
            </w:r>
            <w:r>
              <w:rPr>
                <w:webHidden/>
              </w:rPr>
              <w:tab/>
            </w:r>
            <w:r>
              <w:rPr>
                <w:webHidden/>
              </w:rPr>
              <w:fldChar w:fldCharType="begin"/>
            </w:r>
            <w:r>
              <w:rPr>
                <w:webHidden/>
              </w:rPr>
              <w:instrText xml:space="preserve"> PAGEREF _Toc230962394 \h </w:instrText>
            </w:r>
            <w:r>
              <w:rPr>
                <w:webHidden/>
              </w:rPr>
            </w:r>
            <w:r>
              <w:rPr>
                <w:webHidden/>
              </w:rPr>
              <w:fldChar w:fldCharType="separate"/>
            </w:r>
            <w:r>
              <w:rPr>
                <w:webHidden/>
              </w:rPr>
              <w:t>34</w:t>
            </w:r>
            <w:r>
              <w:rPr>
                <w:webHidden/>
              </w:rPr>
              <w:fldChar w:fldCharType="end"/>
            </w:r>
          </w:hyperlink>
        </w:p>
        <w:p w14:paraId="395C70A8" w14:textId="2101B5C2" w:rsidR="00B957BA" w:rsidRDefault="00B957BA" w:rsidP="00B957BA">
          <w:pPr>
            <w:pStyle w:val="TOC3"/>
            <w:rPr>
              <w:rFonts w:asciiTheme="minorHAnsi" w:eastAsiaTheme="minorEastAsia" w:hAnsiTheme="minorHAnsi" w:cstheme="minorBidi"/>
              <w:sz w:val="24"/>
              <w:szCs w:val="24"/>
              <w:lang w:val="en-US"/>
            </w:rPr>
          </w:pPr>
          <w:hyperlink w:anchor="_Toc230962395" w:history="1">
            <w:r w:rsidRPr="002336AD">
              <w:rPr>
                <w:rStyle w:val="Hyperlink"/>
              </w:rPr>
              <w:t>2.2.4</w:t>
            </w:r>
            <w:r>
              <w:rPr>
                <w:rFonts w:asciiTheme="minorHAnsi" w:eastAsiaTheme="minorEastAsia" w:hAnsiTheme="minorHAnsi" w:cstheme="minorBidi"/>
                <w:sz w:val="24"/>
                <w:szCs w:val="24"/>
                <w:lang w:val="en-US"/>
              </w:rPr>
              <w:tab/>
            </w:r>
            <w:r w:rsidRPr="002336AD">
              <w:rPr>
                <w:rStyle w:val="Hyperlink"/>
              </w:rPr>
              <w:t>Hiệu quả cho vay sản xuất kinh doanh đối với khách hàng cá nhân tại ngân hàng TMCP Quân đội – Chi nhánh Đà Nẵng giai đoạn 2023 – 2025.</w:t>
            </w:r>
            <w:r>
              <w:rPr>
                <w:webHidden/>
              </w:rPr>
              <w:tab/>
            </w:r>
            <w:r>
              <w:rPr>
                <w:webHidden/>
              </w:rPr>
              <w:fldChar w:fldCharType="begin"/>
            </w:r>
            <w:r>
              <w:rPr>
                <w:webHidden/>
              </w:rPr>
              <w:instrText xml:space="preserve"> PAGEREF _Toc230962395 \h </w:instrText>
            </w:r>
            <w:r>
              <w:rPr>
                <w:webHidden/>
              </w:rPr>
            </w:r>
            <w:r>
              <w:rPr>
                <w:webHidden/>
              </w:rPr>
              <w:fldChar w:fldCharType="separate"/>
            </w:r>
            <w:r>
              <w:rPr>
                <w:webHidden/>
              </w:rPr>
              <w:t>36</w:t>
            </w:r>
            <w:r>
              <w:rPr>
                <w:webHidden/>
              </w:rPr>
              <w:fldChar w:fldCharType="end"/>
            </w:r>
          </w:hyperlink>
        </w:p>
        <w:p w14:paraId="2A5AA0FE" w14:textId="689C01E2" w:rsidR="00B957BA" w:rsidRDefault="00B957BA" w:rsidP="00B957BA">
          <w:pPr>
            <w:pStyle w:val="TOC3"/>
            <w:rPr>
              <w:rFonts w:asciiTheme="minorHAnsi" w:eastAsiaTheme="minorEastAsia" w:hAnsiTheme="minorHAnsi" w:cstheme="minorBidi"/>
              <w:sz w:val="24"/>
              <w:szCs w:val="24"/>
              <w:lang w:val="en-US"/>
            </w:rPr>
          </w:pPr>
          <w:hyperlink w:anchor="_Toc230962396" w:history="1">
            <w:r w:rsidRPr="002336AD">
              <w:rPr>
                <w:rStyle w:val="Hyperlink"/>
              </w:rPr>
              <w:t>2.2.5</w:t>
            </w:r>
            <w:r>
              <w:rPr>
                <w:rFonts w:asciiTheme="minorHAnsi" w:eastAsiaTheme="minorEastAsia" w:hAnsiTheme="minorHAnsi" w:cstheme="minorBidi"/>
                <w:sz w:val="24"/>
                <w:szCs w:val="24"/>
                <w:lang w:val="en-US"/>
              </w:rPr>
              <w:tab/>
            </w:r>
            <w:r w:rsidRPr="002336AD">
              <w:rPr>
                <w:rStyle w:val="Hyperlink"/>
              </w:rPr>
              <w:t>Đánh giá thực trạng hiệu quả cho vay sản xuất kinh doanh đối với khách hàng cá nhân tại ngân hàng TMCP Quân đội – Chi nhánh Đà Nẵng.</w:t>
            </w:r>
            <w:r>
              <w:rPr>
                <w:webHidden/>
              </w:rPr>
              <w:tab/>
            </w:r>
            <w:r>
              <w:rPr>
                <w:webHidden/>
              </w:rPr>
              <w:fldChar w:fldCharType="begin"/>
            </w:r>
            <w:r>
              <w:rPr>
                <w:webHidden/>
              </w:rPr>
              <w:instrText xml:space="preserve"> PAGEREF _Toc230962396 \h </w:instrText>
            </w:r>
            <w:r>
              <w:rPr>
                <w:webHidden/>
              </w:rPr>
            </w:r>
            <w:r>
              <w:rPr>
                <w:webHidden/>
              </w:rPr>
              <w:fldChar w:fldCharType="separate"/>
            </w:r>
            <w:r>
              <w:rPr>
                <w:webHidden/>
              </w:rPr>
              <w:t>59</w:t>
            </w:r>
            <w:r>
              <w:rPr>
                <w:webHidden/>
              </w:rPr>
              <w:fldChar w:fldCharType="end"/>
            </w:r>
          </w:hyperlink>
        </w:p>
        <w:p w14:paraId="71DF0072" w14:textId="7AFCF728" w:rsidR="00B957BA" w:rsidRDefault="00B957BA">
          <w:pPr>
            <w:pStyle w:val="TOC1"/>
            <w:rPr>
              <w:rFonts w:asciiTheme="minorHAnsi" w:eastAsiaTheme="minorEastAsia" w:hAnsiTheme="minorHAnsi" w:cstheme="minorBidi"/>
              <w:b w:val="0"/>
              <w:bCs w:val="0"/>
              <w:sz w:val="24"/>
              <w:szCs w:val="24"/>
              <w:lang w:val="en-US"/>
            </w:rPr>
          </w:pPr>
          <w:hyperlink w:anchor="_Toc230962397" w:history="1">
            <w:r w:rsidRPr="002336AD">
              <w:rPr>
                <w:rStyle w:val="Hyperlink"/>
              </w:rPr>
              <w:t>TÓM TẮT CHƯƠNG 2</w:t>
            </w:r>
            <w:r>
              <w:rPr>
                <w:webHidden/>
              </w:rPr>
              <w:tab/>
            </w:r>
            <w:r>
              <w:rPr>
                <w:webHidden/>
              </w:rPr>
              <w:fldChar w:fldCharType="begin"/>
            </w:r>
            <w:r>
              <w:rPr>
                <w:webHidden/>
              </w:rPr>
              <w:instrText xml:space="preserve"> PAGEREF _Toc230962397 \h </w:instrText>
            </w:r>
            <w:r>
              <w:rPr>
                <w:webHidden/>
              </w:rPr>
            </w:r>
            <w:r>
              <w:rPr>
                <w:webHidden/>
              </w:rPr>
              <w:fldChar w:fldCharType="separate"/>
            </w:r>
            <w:r>
              <w:rPr>
                <w:webHidden/>
              </w:rPr>
              <w:t>63</w:t>
            </w:r>
            <w:r>
              <w:rPr>
                <w:webHidden/>
              </w:rPr>
              <w:fldChar w:fldCharType="end"/>
            </w:r>
          </w:hyperlink>
        </w:p>
        <w:p w14:paraId="1320FCE5" w14:textId="5CE1E875" w:rsidR="00B957BA" w:rsidRDefault="00B957BA">
          <w:pPr>
            <w:pStyle w:val="TOC1"/>
            <w:rPr>
              <w:rFonts w:asciiTheme="minorHAnsi" w:eastAsiaTheme="minorEastAsia" w:hAnsiTheme="minorHAnsi" w:cstheme="minorBidi"/>
              <w:b w:val="0"/>
              <w:bCs w:val="0"/>
              <w:sz w:val="24"/>
              <w:szCs w:val="24"/>
              <w:lang w:val="en-US"/>
            </w:rPr>
          </w:pPr>
          <w:hyperlink w:anchor="_Toc230962398" w:history="1">
            <w:r w:rsidRPr="002336AD">
              <w:rPr>
                <w:rStyle w:val="Hyperlink"/>
              </w:rPr>
              <w:t>CHƯƠNG 3: GIẢI PHÁP NÂNG CAO HIỆU QUẢ HOẠT ĐỘNG CHO VAY SẢN XUẤT KINH DOANH ĐỐI VỚI KHÁCH HÀNG CÁ NHÂN TẠI NGÂN HÀNG THƯƠNG MẠI CỔ PHẦN QUÂN ĐỘI - CHI NHÁNH ĐÀ NẴNG</w:t>
            </w:r>
            <w:r>
              <w:rPr>
                <w:webHidden/>
              </w:rPr>
              <w:tab/>
            </w:r>
            <w:r>
              <w:rPr>
                <w:webHidden/>
              </w:rPr>
              <w:fldChar w:fldCharType="begin"/>
            </w:r>
            <w:r>
              <w:rPr>
                <w:webHidden/>
              </w:rPr>
              <w:instrText xml:space="preserve"> PAGEREF _Toc230962398 \h </w:instrText>
            </w:r>
            <w:r>
              <w:rPr>
                <w:webHidden/>
              </w:rPr>
            </w:r>
            <w:r>
              <w:rPr>
                <w:webHidden/>
              </w:rPr>
              <w:fldChar w:fldCharType="separate"/>
            </w:r>
            <w:r>
              <w:rPr>
                <w:webHidden/>
              </w:rPr>
              <w:t>64</w:t>
            </w:r>
            <w:r>
              <w:rPr>
                <w:webHidden/>
              </w:rPr>
              <w:fldChar w:fldCharType="end"/>
            </w:r>
          </w:hyperlink>
        </w:p>
        <w:p w14:paraId="73928AD2" w14:textId="3F15EA4A" w:rsidR="00B957BA" w:rsidRDefault="00B957BA">
          <w:pPr>
            <w:pStyle w:val="TOC2"/>
            <w:rPr>
              <w:rFonts w:asciiTheme="minorHAnsi" w:eastAsiaTheme="minorEastAsia" w:hAnsiTheme="minorHAnsi" w:cstheme="minorBidi"/>
              <w:b w:val="0"/>
              <w:bCs w:val="0"/>
              <w:sz w:val="24"/>
              <w:szCs w:val="24"/>
              <w:lang w:val="en-US"/>
            </w:rPr>
          </w:pPr>
          <w:hyperlink w:anchor="_Toc230962399" w:history="1">
            <w:r w:rsidRPr="002336AD">
              <w:rPr>
                <w:rStyle w:val="Hyperlink"/>
              </w:rPr>
              <w:t xml:space="preserve">3.1 </w:t>
            </w:r>
            <w:r>
              <w:rPr>
                <w:rStyle w:val="Hyperlink"/>
                <w:lang w:val="en-US"/>
              </w:rPr>
              <w:t xml:space="preserve"> </w:t>
            </w:r>
            <w:r w:rsidRPr="002336AD">
              <w:rPr>
                <w:rStyle w:val="Hyperlink"/>
              </w:rPr>
              <w:t>Định hướng phát triển của ngân hàng TMCP Quân đội – Chi nhánh Đà Nẵng.</w:t>
            </w:r>
            <w:r>
              <w:rPr>
                <w:webHidden/>
              </w:rPr>
              <w:tab/>
            </w:r>
            <w:r>
              <w:rPr>
                <w:webHidden/>
              </w:rPr>
              <w:fldChar w:fldCharType="begin"/>
            </w:r>
            <w:r>
              <w:rPr>
                <w:webHidden/>
              </w:rPr>
              <w:instrText xml:space="preserve"> PAGEREF _Toc230962399 \h </w:instrText>
            </w:r>
            <w:r>
              <w:rPr>
                <w:webHidden/>
              </w:rPr>
            </w:r>
            <w:r>
              <w:rPr>
                <w:webHidden/>
              </w:rPr>
              <w:fldChar w:fldCharType="separate"/>
            </w:r>
            <w:r>
              <w:rPr>
                <w:webHidden/>
              </w:rPr>
              <w:t>64</w:t>
            </w:r>
            <w:r>
              <w:rPr>
                <w:webHidden/>
              </w:rPr>
              <w:fldChar w:fldCharType="end"/>
            </w:r>
          </w:hyperlink>
        </w:p>
        <w:p w14:paraId="57E48BE1" w14:textId="590BA692" w:rsidR="00B957BA" w:rsidRDefault="00B957BA" w:rsidP="00B957BA">
          <w:pPr>
            <w:pStyle w:val="TOC3"/>
            <w:rPr>
              <w:rFonts w:asciiTheme="minorHAnsi" w:eastAsiaTheme="minorEastAsia" w:hAnsiTheme="minorHAnsi" w:cstheme="minorBidi"/>
              <w:sz w:val="24"/>
              <w:szCs w:val="24"/>
              <w:lang w:val="en-US"/>
            </w:rPr>
          </w:pPr>
          <w:hyperlink w:anchor="_Toc230962400" w:history="1">
            <w:r w:rsidRPr="002336AD">
              <w:rPr>
                <w:rStyle w:val="Hyperlink"/>
              </w:rPr>
              <w:t xml:space="preserve">3.1.1 </w:t>
            </w:r>
            <w:r>
              <w:rPr>
                <w:rStyle w:val="Hyperlink"/>
                <w:lang w:val="en-US"/>
              </w:rPr>
              <w:t xml:space="preserve"> </w:t>
            </w:r>
            <w:r w:rsidRPr="002336AD">
              <w:rPr>
                <w:rStyle w:val="Hyperlink"/>
              </w:rPr>
              <w:t>Định hướng phát triển của ngân hàng TMCP Quân đội.</w:t>
            </w:r>
            <w:r>
              <w:rPr>
                <w:webHidden/>
              </w:rPr>
              <w:tab/>
            </w:r>
            <w:r>
              <w:rPr>
                <w:webHidden/>
              </w:rPr>
              <w:fldChar w:fldCharType="begin"/>
            </w:r>
            <w:r>
              <w:rPr>
                <w:webHidden/>
              </w:rPr>
              <w:instrText xml:space="preserve"> PAGEREF _Toc230962400 \h </w:instrText>
            </w:r>
            <w:r>
              <w:rPr>
                <w:webHidden/>
              </w:rPr>
            </w:r>
            <w:r>
              <w:rPr>
                <w:webHidden/>
              </w:rPr>
              <w:fldChar w:fldCharType="separate"/>
            </w:r>
            <w:r>
              <w:rPr>
                <w:webHidden/>
              </w:rPr>
              <w:t>64</w:t>
            </w:r>
            <w:r>
              <w:rPr>
                <w:webHidden/>
              </w:rPr>
              <w:fldChar w:fldCharType="end"/>
            </w:r>
          </w:hyperlink>
        </w:p>
        <w:p w14:paraId="75D71EA9" w14:textId="2F022474" w:rsidR="00B957BA" w:rsidRDefault="00B957BA" w:rsidP="00B957BA">
          <w:pPr>
            <w:pStyle w:val="TOC3"/>
            <w:rPr>
              <w:rFonts w:asciiTheme="minorHAnsi" w:eastAsiaTheme="minorEastAsia" w:hAnsiTheme="minorHAnsi" w:cstheme="minorBidi"/>
              <w:sz w:val="24"/>
              <w:szCs w:val="24"/>
              <w:lang w:val="en-US"/>
            </w:rPr>
          </w:pPr>
          <w:hyperlink w:anchor="_Toc230962401" w:history="1">
            <w:r w:rsidRPr="002336AD">
              <w:rPr>
                <w:rStyle w:val="Hyperlink"/>
              </w:rPr>
              <w:t xml:space="preserve">3.1.2 </w:t>
            </w:r>
            <w:r>
              <w:rPr>
                <w:rStyle w:val="Hyperlink"/>
                <w:lang w:val="en-US"/>
              </w:rPr>
              <w:t xml:space="preserve"> </w:t>
            </w:r>
            <w:r w:rsidRPr="002336AD">
              <w:rPr>
                <w:rStyle w:val="Hyperlink"/>
              </w:rPr>
              <w:t>Định hướng phát triển cho vay SXKD đối với KHCN của ngân hàng TMCP Quân đội – Chi nhánh Đà Nẵng.</w:t>
            </w:r>
            <w:r>
              <w:rPr>
                <w:webHidden/>
              </w:rPr>
              <w:tab/>
            </w:r>
            <w:r>
              <w:rPr>
                <w:webHidden/>
              </w:rPr>
              <w:fldChar w:fldCharType="begin"/>
            </w:r>
            <w:r>
              <w:rPr>
                <w:webHidden/>
              </w:rPr>
              <w:instrText xml:space="preserve"> PAGEREF _Toc230962401 \h </w:instrText>
            </w:r>
            <w:r>
              <w:rPr>
                <w:webHidden/>
              </w:rPr>
            </w:r>
            <w:r>
              <w:rPr>
                <w:webHidden/>
              </w:rPr>
              <w:fldChar w:fldCharType="separate"/>
            </w:r>
            <w:r>
              <w:rPr>
                <w:webHidden/>
              </w:rPr>
              <w:t>65</w:t>
            </w:r>
            <w:r>
              <w:rPr>
                <w:webHidden/>
              </w:rPr>
              <w:fldChar w:fldCharType="end"/>
            </w:r>
          </w:hyperlink>
        </w:p>
        <w:p w14:paraId="58C0371F" w14:textId="5BBC6F20" w:rsidR="00B957BA" w:rsidRDefault="00B957BA">
          <w:pPr>
            <w:pStyle w:val="TOC2"/>
            <w:rPr>
              <w:rFonts w:asciiTheme="minorHAnsi" w:eastAsiaTheme="minorEastAsia" w:hAnsiTheme="minorHAnsi" w:cstheme="minorBidi"/>
              <w:b w:val="0"/>
              <w:bCs w:val="0"/>
              <w:sz w:val="24"/>
              <w:szCs w:val="24"/>
              <w:lang w:val="en-US"/>
            </w:rPr>
          </w:pPr>
          <w:hyperlink w:anchor="_Toc230962402" w:history="1">
            <w:r w:rsidRPr="002336AD">
              <w:rPr>
                <w:rStyle w:val="Hyperlink"/>
              </w:rPr>
              <w:t>3.2. Giải pháp nâng cao hiệu quả hoạt động cho vay sản xuất kinh doanh đối với khách hàng cá nhân tại ngân hàng TMCP Quân đội – Chi nhánh Đà Nẵng.</w:t>
            </w:r>
            <w:r>
              <w:rPr>
                <w:webHidden/>
              </w:rPr>
              <w:tab/>
            </w:r>
            <w:r>
              <w:rPr>
                <w:webHidden/>
              </w:rPr>
              <w:fldChar w:fldCharType="begin"/>
            </w:r>
            <w:r>
              <w:rPr>
                <w:webHidden/>
              </w:rPr>
              <w:instrText xml:space="preserve"> PAGEREF _Toc230962402 \h </w:instrText>
            </w:r>
            <w:r>
              <w:rPr>
                <w:webHidden/>
              </w:rPr>
            </w:r>
            <w:r>
              <w:rPr>
                <w:webHidden/>
              </w:rPr>
              <w:fldChar w:fldCharType="separate"/>
            </w:r>
            <w:r>
              <w:rPr>
                <w:webHidden/>
              </w:rPr>
              <w:t>66</w:t>
            </w:r>
            <w:r>
              <w:rPr>
                <w:webHidden/>
              </w:rPr>
              <w:fldChar w:fldCharType="end"/>
            </w:r>
          </w:hyperlink>
        </w:p>
        <w:p w14:paraId="610F98AB" w14:textId="003D41D3" w:rsidR="00B957BA" w:rsidRDefault="00B957BA" w:rsidP="00B957BA">
          <w:pPr>
            <w:pStyle w:val="TOC3"/>
            <w:rPr>
              <w:rFonts w:asciiTheme="minorHAnsi" w:eastAsiaTheme="minorEastAsia" w:hAnsiTheme="minorHAnsi" w:cstheme="minorBidi"/>
              <w:sz w:val="24"/>
              <w:szCs w:val="24"/>
              <w:lang w:val="en-US"/>
            </w:rPr>
          </w:pPr>
          <w:hyperlink w:anchor="_Toc230962403" w:history="1">
            <w:r w:rsidRPr="002336AD">
              <w:rPr>
                <w:rStyle w:val="Hyperlink"/>
              </w:rPr>
              <w:t xml:space="preserve">3.2.1 </w:t>
            </w:r>
            <w:r>
              <w:rPr>
                <w:rStyle w:val="Hyperlink"/>
                <w:lang w:val="en-US"/>
              </w:rPr>
              <w:t xml:space="preserve"> </w:t>
            </w:r>
            <w:r w:rsidRPr="002336AD">
              <w:rPr>
                <w:rStyle w:val="Hyperlink"/>
              </w:rPr>
              <w:t>Nâng cao hiệu quả thẩm định và quản lý khoản vay.</w:t>
            </w:r>
            <w:r>
              <w:rPr>
                <w:webHidden/>
              </w:rPr>
              <w:tab/>
            </w:r>
            <w:r>
              <w:rPr>
                <w:webHidden/>
              </w:rPr>
              <w:fldChar w:fldCharType="begin"/>
            </w:r>
            <w:r>
              <w:rPr>
                <w:webHidden/>
              </w:rPr>
              <w:instrText xml:space="preserve"> PAGEREF _Toc230962403 \h </w:instrText>
            </w:r>
            <w:r>
              <w:rPr>
                <w:webHidden/>
              </w:rPr>
            </w:r>
            <w:r>
              <w:rPr>
                <w:webHidden/>
              </w:rPr>
              <w:fldChar w:fldCharType="separate"/>
            </w:r>
            <w:r>
              <w:rPr>
                <w:webHidden/>
              </w:rPr>
              <w:t>66</w:t>
            </w:r>
            <w:r>
              <w:rPr>
                <w:webHidden/>
              </w:rPr>
              <w:fldChar w:fldCharType="end"/>
            </w:r>
          </w:hyperlink>
        </w:p>
        <w:p w14:paraId="2E60D45B" w14:textId="4912DA4C" w:rsidR="00B957BA" w:rsidRDefault="00B957BA" w:rsidP="00B957BA">
          <w:pPr>
            <w:pStyle w:val="TOC3"/>
            <w:rPr>
              <w:rFonts w:asciiTheme="minorHAnsi" w:eastAsiaTheme="minorEastAsia" w:hAnsiTheme="minorHAnsi" w:cstheme="minorBidi"/>
              <w:sz w:val="24"/>
              <w:szCs w:val="24"/>
              <w:lang w:val="en-US"/>
            </w:rPr>
          </w:pPr>
          <w:hyperlink w:anchor="_Toc230962404" w:history="1">
            <w:r w:rsidRPr="002336AD">
              <w:rPr>
                <w:rStyle w:val="Hyperlink"/>
              </w:rPr>
              <w:t xml:space="preserve">3.2.2 </w:t>
            </w:r>
            <w:r>
              <w:rPr>
                <w:rStyle w:val="Hyperlink"/>
                <w:lang w:val="en-US"/>
              </w:rPr>
              <w:t xml:space="preserve"> </w:t>
            </w:r>
            <w:r w:rsidRPr="002336AD">
              <w:rPr>
                <w:rStyle w:val="Hyperlink"/>
              </w:rPr>
              <w:t>Hoàn thiện quy trình tín dụng và chính sách xét duyệt trong hoạt động cho vay SXKD đối với KHCN.</w:t>
            </w:r>
            <w:r>
              <w:rPr>
                <w:webHidden/>
              </w:rPr>
              <w:tab/>
            </w:r>
            <w:r>
              <w:rPr>
                <w:webHidden/>
              </w:rPr>
              <w:fldChar w:fldCharType="begin"/>
            </w:r>
            <w:r>
              <w:rPr>
                <w:webHidden/>
              </w:rPr>
              <w:instrText xml:space="preserve"> PAGEREF _Toc230962404 \h </w:instrText>
            </w:r>
            <w:r>
              <w:rPr>
                <w:webHidden/>
              </w:rPr>
            </w:r>
            <w:r>
              <w:rPr>
                <w:webHidden/>
              </w:rPr>
              <w:fldChar w:fldCharType="separate"/>
            </w:r>
            <w:r>
              <w:rPr>
                <w:webHidden/>
              </w:rPr>
              <w:t>67</w:t>
            </w:r>
            <w:r>
              <w:rPr>
                <w:webHidden/>
              </w:rPr>
              <w:fldChar w:fldCharType="end"/>
            </w:r>
          </w:hyperlink>
        </w:p>
        <w:p w14:paraId="53BF60AD" w14:textId="734D7A9D" w:rsidR="00B957BA" w:rsidRDefault="00B957BA" w:rsidP="00B957BA">
          <w:pPr>
            <w:pStyle w:val="TOC3"/>
            <w:rPr>
              <w:rFonts w:asciiTheme="minorHAnsi" w:eastAsiaTheme="minorEastAsia" w:hAnsiTheme="minorHAnsi" w:cstheme="minorBidi"/>
              <w:sz w:val="24"/>
              <w:szCs w:val="24"/>
              <w:lang w:val="en-US"/>
            </w:rPr>
          </w:pPr>
          <w:hyperlink w:anchor="_Toc230962405" w:history="1">
            <w:r w:rsidRPr="002336AD">
              <w:rPr>
                <w:rStyle w:val="Hyperlink"/>
              </w:rPr>
              <w:t xml:space="preserve">3.2.3 </w:t>
            </w:r>
            <w:r>
              <w:rPr>
                <w:rStyle w:val="Hyperlink"/>
                <w:lang w:val="en-US"/>
              </w:rPr>
              <w:t xml:space="preserve"> </w:t>
            </w:r>
            <w:r w:rsidRPr="002336AD">
              <w:rPr>
                <w:rStyle w:val="Hyperlink"/>
              </w:rPr>
              <w:t>Đẩy mạnh tiếp thị, thu hút và chăm sóc khách hàng trong hoạt động cho vay SXKD đối với KHCN.</w:t>
            </w:r>
            <w:r>
              <w:rPr>
                <w:webHidden/>
              </w:rPr>
              <w:tab/>
            </w:r>
            <w:r>
              <w:rPr>
                <w:webHidden/>
              </w:rPr>
              <w:fldChar w:fldCharType="begin"/>
            </w:r>
            <w:r>
              <w:rPr>
                <w:webHidden/>
              </w:rPr>
              <w:instrText xml:space="preserve"> PAGEREF _Toc230962405 \h </w:instrText>
            </w:r>
            <w:r>
              <w:rPr>
                <w:webHidden/>
              </w:rPr>
            </w:r>
            <w:r>
              <w:rPr>
                <w:webHidden/>
              </w:rPr>
              <w:fldChar w:fldCharType="separate"/>
            </w:r>
            <w:r>
              <w:rPr>
                <w:webHidden/>
              </w:rPr>
              <w:t>69</w:t>
            </w:r>
            <w:r>
              <w:rPr>
                <w:webHidden/>
              </w:rPr>
              <w:fldChar w:fldCharType="end"/>
            </w:r>
          </w:hyperlink>
        </w:p>
        <w:p w14:paraId="6FECC0D6" w14:textId="7E65BB90" w:rsidR="00B957BA" w:rsidRDefault="00B957BA" w:rsidP="00B957BA">
          <w:pPr>
            <w:pStyle w:val="TOC3"/>
            <w:rPr>
              <w:rFonts w:asciiTheme="minorHAnsi" w:eastAsiaTheme="minorEastAsia" w:hAnsiTheme="minorHAnsi" w:cstheme="minorBidi"/>
              <w:sz w:val="24"/>
              <w:szCs w:val="24"/>
              <w:lang w:val="en-US"/>
            </w:rPr>
          </w:pPr>
          <w:hyperlink w:anchor="_Toc230962406" w:history="1">
            <w:r w:rsidRPr="002336AD">
              <w:rPr>
                <w:rStyle w:val="Hyperlink"/>
              </w:rPr>
              <w:t>3.2.4</w:t>
            </w:r>
            <w:r>
              <w:rPr>
                <w:rStyle w:val="Hyperlink"/>
                <w:lang w:val="en-US"/>
              </w:rPr>
              <w:t xml:space="preserve"> </w:t>
            </w:r>
            <w:r w:rsidRPr="002336AD">
              <w:rPr>
                <w:rStyle w:val="Hyperlink"/>
              </w:rPr>
              <w:t xml:space="preserve"> Đa dạng hóa sản phẩm trong hoạt động cho vay SXKD đối với KHCN.</w:t>
            </w:r>
            <w:r>
              <w:rPr>
                <w:webHidden/>
              </w:rPr>
              <w:tab/>
            </w:r>
            <w:r>
              <w:rPr>
                <w:webHidden/>
              </w:rPr>
              <w:fldChar w:fldCharType="begin"/>
            </w:r>
            <w:r>
              <w:rPr>
                <w:webHidden/>
              </w:rPr>
              <w:instrText xml:space="preserve"> PAGEREF _Toc230962406 \h </w:instrText>
            </w:r>
            <w:r>
              <w:rPr>
                <w:webHidden/>
              </w:rPr>
            </w:r>
            <w:r>
              <w:rPr>
                <w:webHidden/>
              </w:rPr>
              <w:fldChar w:fldCharType="separate"/>
            </w:r>
            <w:r>
              <w:rPr>
                <w:webHidden/>
              </w:rPr>
              <w:t>71</w:t>
            </w:r>
            <w:r>
              <w:rPr>
                <w:webHidden/>
              </w:rPr>
              <w:fldChar w:fldCharType="end"/>
            </w:r>
          </w:hyperlink>
        </w:p>
        <w:p w14:paraId="68AEB279" w14:textId="1FD97E1F" w:rsidR="00B957BA" w:rsidRDefault="00B957BA" w:rsidP="00B957BA">
          <w:pPr>
            <w:pStyle w:val="TOC3"/>
            <w:rPr>
              <w:rFonts w:asciiTheme="minorHAnsi" w:eastAsiaTheme="minorEastAsia" w:hAnsiTheme="minorHAnsi" w:cstheme="minorBidi"/>
              <w:sz w:val="24"/>
              <w:szCs w:val="24"/>
              <w:lang w:val="en-US"/>
            </w:rPr>
          </w:pPr>
          <w:hyperlink w:anchor="_Toc230962407" w:history="1">
            <w:r w:rsidRPr="002336AD">
              <w:rPr>
                <w:rStyle w:val="Hyperlink"/>
              </w:rPr>
              <w:t>3.2.5</w:t>
            </w:r>
            <w:r>
              <w:rPr>
                <w:rStyle w:val="Hyperlink"/>
                <w:lang w:val="en-US"/>
              </w:rPr>
              <w:t xml:space="preserve"> </w:t>
            </w:r>
            <w:r w:rsidRPr="002336AD">
              <w:rPr>
                <w:rStyle w:val="Hyperlink"/>
              </w:rPr>
              <w:t xml:space="preserve"> Nâng cao chất lượng đội ngũ cán bộ tín dụng.</w:t>
            </w:r>
            <w:r>
              <w:rPr>
                <w:webHidden/>
              </w:rPr>
              <w:tab/>
            </w:r>
            <w:r>
              <w:rPr>
                <w:webHidden/>
              </w:rPr>
              <w:fldChar w:fldCharType="begin"/>
            </w:r>
            <w:r>
              <w:rPr>
                <w:webHidden/>
              </w:rPr>
              <w:instrText xml:space="preserve"> PAGEREF _Toc230962407 \h </w:instrText>
            </w:r>
            <w:r>
              <w:rPr>
                <w:webHidden/>
              </w:rPr>
            </w:r>
            <w:r>
              <w:rPr>
                <w:webHidden/>
              </w:rPr>
              <w:fldChar w:fldCharType="separate"/>
            </w:r>
            <w:r>
              <w:rPr>
                <w:webHidden/>
              </w:rPr>
              <w:t>72</w:t>
            </w:r>
            <w:r>
              <w:rPr>
                <w:webHidden/>
              </w:rPr>
              <w:fldChar w:fldCharType="end"/>
            </w:r>
          </w:hyperlink>
        </w:p>
        <w:p w14:paraId="1101B8FB" w14:textId="28588A32" w:rsidR="00B957BA" w:rsidRDefault="00B957BA">
          <w:pPr>
            <w:pStyle w:val="TOC2"/>
            <w:rPr>
              <w:rFonts w:asciiTheme="minorHAnsi" w:eastAsiaTheme="minorEastAsia" w:hAnsiTheme="minorHAnsi" w:cstheme="minorBidi"/>
              <w:b w:val="0"/>
              <w:bCs w:val="0"/>
              <w:sz w:val="24"/>
              <w:szCs w:val="24"/>
              <w:lang w:val="en-US"/>
            </w:rPr>
          </w:pPr>
          <w:hyperlink w:anchor="_Toc230962408" w:history="1">
            <w:r w:rsidRPr="002336AD">
              <w:rPr>
                <w:rStyle w:val="Hyperlink"/>
              </w:rPr>
              <w:t>3.3 Một số kiến nghị nhằm nâng cao hiệu quả cho vay SXKD đối với KHCN</w:t>
            </w:r>
            <w:r>
              <w:rPr>
                <w:webHidden/>
              </w:rPr>
              <w:tab/>
            </w:r>
            <w:r>
              <w:rPr>
                <w:webHidden/>
              </w:rPr>
              <w:fldChar w:fldCharType="begin"/>
            </w:r>
            <w:r>
              <w:rPr>
                <w:webHidden/>
              </w:rPr>
              <w:instrText xml:space="preserve"> PAGEREF _Toc230962408 \h </w:instrText>
            </w:r>
            <w:r>
              <w:rPr>
                <w:webHidden/>
              </w:rPr>
            </w:r>
            <w:r>
              <w:rPr>
                <w:webHidden/>
              </w:rPr>
              <w:fldChar w:fldCharType="separate"/>
            </w:r>
            <w:r>
              <w:rPr>
                <w:webHidden/>
              </w:rPr>
              <w:t>73</w:t>
            </w:r>
            <w:r>
              <w:rPr>
                <w:webHidden/>
              </w:rPr>
              <w:fldChar w:fldCharType="end"/>
            </w:r>
          </w:hyperlink>
        </w:p>
        <w:p w14:paraId="0A2233AD" w14:textId="75C83A02" w:rsidR="00B957BA" w:rsidRDefault="00B957BA" w:rsidP="00B957BA">
          <w:pPr>
            <w:pStyle w:val="TOC3"/>
            <w:rPr>
              <w:rFonts w:asciiTheme="minorHAnsi" w:eastAsiaTheme="minorEastAsia" w:hAnsiTheme="minorHAnsi" w:cstheme="minorBidi"/>
              <w:sz w:val="24"/>
              <w:szCs w:val="24"/>
              <w:lang w:val="en-US"/>
            </w:rPr>
          </w:pPr>
          <w:hyperlink w:anchor="_Toc230962409" w:history="1">
            <w:r w:rsidRPr="002336AD">
              <w:rPr>
                <w:rStyle w:val="Hyperlink"/>
              </w:rPr>
              <w:t xml:space="preserve">3.3.1 </w:t>
            </w:r>
            <w:r>
              <w:rPr>
                <w:rStyle w:val="Hyperlink"/>
                <w:lang w:val="en-US"/>
              </w:rPr>
              <w:t xml:space="preserve"> </w:t>
            </w:r>
            <w:r w:rsidRPr="002336AD">
              <w:rPr>
                <w:rStyle w:val="Hyperlink"/>
              </w:rPr>
              <w:t>Kiến nghị đối với NHNN Việt Nam.</w:t>
            </w:r>
            <w:r>
              <w:rPr>
                <w:webHidden/>
              </w:rPr>
              <w:tab/>
            </w:r>
            <w:r>
              <w:rPr>
                <w:webHidden/>
              </w:rPr>
              <w:fldChar w:fldCharType="begin"/>
            </w:r>
            <w:r>
              <w:rPr>
                <w:webHidden/>
              </w:rPr>
              <w:instrText xml:space="preserve"> PAGEREF _Toc230962409 \h </w:instrText>
            </w:r>
            <w:r>
              <w:rPr>
                <w:webHidden/>
              </w:rPr>
            </w:r>
            <w:r>
              <w:rPr>
                <w:webHidden/>
              </w:rPr>
              <w:fldChar w:fldCharType="separate"/>
            </w:r>
            <w:r>
              <w:rPr>
                <w:webHidden/>
              </w:rPr>
              <w:t>73</w:t>
            </w:r>
            <w:r>
              <w:rPr>
                <w:webHidden/>
              </w:rPr>
              <w:fldChar w:fldCharType="end"/>
            </w:r>
          </w:hyperlink>
        </w:p>
        <w:p w14:paraId="5D253A0E" w14:textId="57E60D4D" w:rsidR="00B957BA" w:rsidRDefault="00B957BA" w:rsidP="00B957BA">
          <w:pPr>
            <w:pStyle w:val="TOC3"/>
            <w:rPr>
              <w:rFonts w:asciiTheme="minorHAnsi" w:eastAsiaTheme="minorEastAsia" w:hAnsiTheme="minorHAnsi" w:cstheme="minorBidi"/>
              <w:sz w:val="24"/>
              <w:szCs w:val="24"/>
              <w:lang w:val="en-US"/>
            </w:rPr>
          </w:pPr>
          <w:hyperlink w:anchor="_Toc230962410" w:history="1">
            <w:r w:rsidRPr="002336AD">
              <w:rPr>
                <w:rStyle w:val="Hyperlink"/>
              </w:rPr>
              <w:t xml:space="preserve">3.3.2 </w:t>
            </w:r>
            <w:r>
              <w:rPr>
                <w:rStyle w:val="Hyperlink"/>
                <w:lang w:val="en-US"/>
              </w:rPr>
              <w:t xml:space="preserve"> </w:t>
            </w:r>
            <w:r w:rsidRPr="002336AD">
              <w:rPr>
                <w:rStyle w:val="Hyperlink"/>
              </w:rPr>
              <w:t>Kiến nghị đối với Ngân hàng TMCP Quân đội.</w:t>
            </w:r>
            <w:r>
              <w:rPr>
                <w:webHidden/>
              </w:rPr>
              <w:tab/>
            </w:r>
            <w:r>
              <w:rPr>
                <w:webHidden/>
              </w:rPr>
              <w:fldChar w:fldCharType="begin"/>
            </w:r>
            <w:r>
              <w:rPr>
                <w:webHidden/>
              </w:rPr>
              <w:instrText xml:space="preserve"> PAGEREF _Toc230962410 \h </w:instrText>
            </w:r>
            <w:r>
              <w:rPr>
                <w:webHidden/>
              </w:rPr>
            </w:r>
            <w:r>
              <w:rPr>
                <w:webHidden/>
              </w:rPr>
              <w:fldChar w:fldCharType="separate"/>
            </w:r>
            <w:r>
              <w:rPr>
                <w:webHidden/>
              </w:rPr>
              <w:t>74</w:t>
            </w:r>
            <w:r>
              <w:rPr>
                <w:webHidden/>
              </w:rPr>
              <w:fldChar w:fldCharType="end"/>
            </w:r>
          </w:hyperlink>
        </w:p>
        <w:p w14:paraId="78310C7D" w14:textId="65AD1C33" w:rsidR="00B957BA" w:rsidRDefault="00B957BA">
          <w:pPr>
            <w:pStyle w:val="TOC1"/>
            <w:rPr>
              <w:rFonts w:asciiTheme="minorHAnsi" w:eastAsiaTheme="minorEastAsia" w:hAnsiTheme="minorHAnsi" w:cstheme="minorBidi"/>
              <w:b w:val="0"/>
              <w:bCs w:val="0"/>
              <w:sz w:val="24"/>
              <w:szCs w:val="24"/>
              <w:lang w:val="en-US"/>
            </w:rPr>
          </w:pPr>
          <w:hyperlink w:anchor="_Toc230962411" w:history="1">
            <w:r w:rsidRPr="002336AD">
              <w:rPr>
                <w:rStyle w:val="Hyperlink"/>
              </w:rPr>
              <w:t>TÓM TẮT CHƯƠNG 3</w:t>
            </w:r>
            <w:r>
              <w:rPr>
                <w:webHidden/>
              </w:rPr>
              <w:tab/>
            </w:r>
            <w:r>
              <w:rPr>
                <w:webHidden/>
              </w:rPr>
              <w:fldChar w:fldCharType="begin"/>
            </w:r>
            <w:r>
              <w:rPr>
                <w:webHidden/>
              </w:rPr>
              <w:instrText xml:space="preserve"> PAGEREF _Toc230962411 \h </w:instrText>
            </w:r>
            <w:r>
              <w:rPr>
                <w:webHidden/>
              </w:rPr>
            </w:r>
            <w:r>
              <w:rPr>
                <w:webHidden/>
              </w:rPr>
              <w:fldChar w:fldCharType="separate"/>
            </w:r>
            <w:r>
              <w:rPr>
                <w:webHidden/>
              </w:rPr>
              <w:t>76</w:t>
            </w:r>
            <w:r>
              <w:rPr>
                <w:webHidden/>
              </w:rPr>
              <w:fldChar w:fldCharType="end"/>
            </w:r>
          </w:hyperlink>
        </w:p>
        <w:p w14:paraId="0CB91CB6" w14:textId="074FB65A" w:rsidR="00B957BA" w:rsidRDefault="00B957BA">
          <w:pPr>
            <w:pStyle w:val="TOC1"/>
            <w:rPr>
              <w:rFonts w:asciiTheme="minorHAnsi" w:eastAsiaTheme="minorEastAsia" w:hAnsiTheme="minorHAnsi" w:cstheme="minorBidi"/>
              <w:b w:val="0"/>
              <w:bCs w:val="0"/>
              <w:sz w:val="24"/>
              <w:szCs w:val="24"/>
              <w:lang w:val="en-US"/>
            </w:rPr>
          </w:pPr>
          <w:hyperlink w:anchor="_Toc230962412" w:history="1">
            <w:r w:rsidRPr="002336AD">
              <w:rPr>
                <w:rStyle w:val="Hyperlink"/>
              </w:rPr>
              <w:t>KẾT LUẬN</w:t>
            </w:r>
            <w:r>
              <w:rPr>
                <w:webHidden/>
              </w:rPr>
              <w:tab/>
            </w:r>
            <w:r>
              <w:rPr>
                <w:webHidden/>
              </w:rPr>
              <w:fldChar w:fldCharType="begin"/>
            </w:r>
            <w:r>
              <w:rPr>
                <w:webHidden/>
              </w:rPr>
              <w:instrText xml:space="preserve"> PAGEREF _Toc230962412 \h </w:instrText>
            </w:r>
            <w:r>
              <w:rPr>
                <w:webHidden/>
              </w:rPr>
            </w:r>
            <w:r>
              <w:rPr>
                <w:webHidden/>
              </w:rPr>
              <w:fldChar w:fldCharType="separate"/>
            </w:r>
            <w:r>
              <w:rPr>
                <w:webHidden/>
              </w:rPr>
              <w:t>77</w:t>
            </w:r>
            <w:r>
              <w:rPr>
                <w:webHidden/>
              </w:rPr>
              <w:fldChar w:fldCharType="end"/>
            </w:r>
          </w:hyperlink>
        </w:p>
        <w:p w14:paraId="348F2AFD" w14:textId="3903B023" w:rsidR="00B957BA" w:rsidRDefault="00B957BA">
          <w:pPr>
            <w:pStyle w:val="TOC1"/>
            <w:rPr>
              <w:rFonts w:asciiTheme="minorHAnsi" w:eastAsiaTheme="minorEastAsia" w:hAnsiTheme="minorHAnsi" w:cstheme="minorBidi"/>
              <w:b w:val="0"/>
              <w:bCs w:val="0"/>
              <w:sz w:val="24"/>
              <w:szCs w:val="24"/>
              <w:lang w:val="en-US"/>
            </w:rPr>
          </w:pPr>
          <w:hyperlink w:anchor="_Toc230962413" w:history="1">
            <w:r w:rsidRPr="002336AD">
              <w:rPr>
                <w:rStyle w:val="Hyperlink"/>
              </w:rPr>
              <w:t>TÀI LIỆU THAM KHẢO</w:t>
            </w:r>
            <w:r>
              <w:rPr>
                <w:webHidden/>
              </w:rPr>
              <w:tab/>
            </w:r>
            <w:r>
              <w:rPr>
                <w:webHidden/>
              </w:rPr>
              <w:fldChar w:fldCharType="begin"/>
            </w:r>
            <w:r>
              <w:rPr>
                <w:webHidden/>
              </w:rPr>
              <w:instrText xml:space="preserve"> PAGEREF _Toc230962413 \h </w:instrText>
            </w:r>
            <w:r>
              <w:rPr>
                <w:webHidden/>
              </w:rPr>
            </w:r>
            <w:r>
              <w:rPr>
                <w:webHidden/>
              </w:rPr>
              <w:fldChar w:fldCharType="separate"/>
            </w:r>
            <w:r>
              <w:rPr>
                <w:webHidden/>
              </w:rPr>
              <w:t>79</w:t>
            </w:r>
            <w:r>
              <w:rPr>
                <w:webHidden/>
              </w:rPr>
              <w:fldChar w:fldCharType="end"/>
            </w:r>
          </w:hyperlink>
        </w:p>
        <w:p w14:paraId="1221D38F" w14:textId="73710094" w:rsidR="00D3348D" w:rsidRPr="00A90E6A" w:rsidRDefault="007D3E6E" w:rsidP="00064CEA">
          <w:pPr>
            <w:tabs>
              <w:tab w:val="right" w:leader="dot" w:pos="9071"/>
            </w:tabs>
            <w:spacing w:after="0" w:line="360" w:lineRule="auto"/>
            <w:jc w:val="both"/>
            <w:rPr>
              <w:rFonts w:ascii="Times New Roman" w:hAnsi="Times New Roman" w:cs="Times New Roman"/>
              <w:b/>
              <w:bCs/>
              <w:sz w:val="26"/>
              <w:szCs w:val="26"/>
            </w:rPr>
          </w:pPr>
          <w:r w:rsidRPr="00A90E6A">
            <w:rPr>
              <w:rFonts w:ascii="Times New Roman" w:hAnsi="Times New Roman" w:cs="Times New Roman"/>
              <w:b/>
              <w:bCs/>
              <w:sz w:val="26"/>
              <w:szCs w:val="26"/>
            </w:rPr>
            <w:fldChar w:fldCharType="end"/>
          </w:r>
        </w:p>
      </w:sdtContent>
    </w:sdt>
    <w:p w14:paraId="21E51307" w14:textId="77777777" w:rsidR="00641D38" w:rsidRPr="00A90E6A" w:rsidRDefault="00641D38">
      <w:pPr>
        <w:rPr>
          <w:rFonts w:ascii="Times New Roman" w:hAnsi="Times New Roman" w:cs="Times New Roman"/>
          <w:b/>
          <w:bCs/>
          <w:color w:val="000000" w:themeColor="text1"/>
          <w:sz w:val="26"/>
          <w:szCs w:val="26"/>
          <w:lang w:val="vi-VN"/>
        </w:rPr>
      </w:pPr>
      <w:r w:rsidRPr="00A90E6A">
        <w:rPr>
          <w:rFonts w:ascii="Times New Roman" w:hAnsi="Times New Roman" w:cs="Times New Roman"/>
          <w:color w:val="000000" w:themeColor="text1"/>
          <w:sz w:val="26"/>
          <w:szCs w:val="26"/>
          <w:lang w:val="vi-VN"/>
        </w:rPr>
        <w:br w:type="page"/>
      </w:r>
    </w:p>
    <w:p w14:paraId="65016C45" w14:textId="0C90965D" w:rsidR="00B80057" w:rsidRPr="00A90E6A" w:rsidRDefault="00B80057" w:rsidP="00CA2352">
      <w:pPr>
        <w:pStyle w:val="Heading1"/>
        <w:rPr>
          <w:color w:val="000000" w:themeColor="text1"/>
          <w:lang w:val="vi-VN"/>
        </w:rPr>
      </w:pPr>
      <w:bookmarkStart w:id="3" w:name="_Toc230962357"/>
      <w:r w:rsidRPr="00A90E6A">
        <w:rPr>
          <w:color w:val="000000" w:themeColor="text1"/>
          <w:lang w:val="vi-VN"/>
        </w:rPr>
        <w:lastRenderedPageBreak/>
        <w:t>DANH SÁCH CÁC BẢNG BIỂU</w:t>
      </w:r>
      <w:bookmarkEnd w:id="3"/>
    </w:p>
    <w:p w14:paraId="24DD5D2A" w14:textId="2B683050" w:rsidR="00F4029F" w:rsidRPr="00A90E6A" w:rsidRDefault="00882F4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r w:rsidRPr="00A90E6A">
        <w:rPr>
          <w:rFonts w:ascii="Times New Roman" w:hAnsi="Times New Roman" w:cs="Times New Roman"/>
          <w:b/>
          <w:bCs/>
          <w:color w:val="000000" w:themeColor="text1"/>
          <w:sz w:val="26"/>
          <w:szCs w:val="26"/>
          <w:lang w:val="vi-VN"/>
        </w:rPr>
        <w:fldChar w:fldCharType="begin"/>
      </w:r>
      <w:r w:rsidRPr="00A90E6A">
        <w:rPr>
          <w:rFonts w:ascii="Times New Roman" w:hAnsi="Times New Roman" w:cs="Times New Roman"/>
          <w:b/>
          <w:bCs/>
          <w:color w:val="000000" w:themeColor="text1"/>
          <w:sz w:val="26"/>
          <w:szCs w:val="26"/>
          <w:lang w:val="vi-VN"/>
        </w:rPr>
        <w:instrText xml:space="preserve"> TOC \h \z \c "Bảng 2." </w:instrText>
      </w:r>
      <w:r w:rsidRPr="00A90E6A">
        <w:rPr>
          <w:rFonts w:ascii="Times New Roman" w:hAnsi="Times New Roman" w:cs="Times New Roman"/>
          <w:b/>
          <w:bCs/>
          <w:color w:val="000000" w:themeColor="text1"/>
          <w:sz w:val="26"/>
          <w:szCs w:val="26"/>
          <w:lang w:val="vi-VN"/>
        </w:rPr>
        <w:fldChar w:fldCharType="separate"/>
      </w:r>
      <w:hyperlink w:anchor="_Toc230367577" w:history="1">
        <w:r w:rsidR="00F4029F" w:rsidRPr="00A90E6A">
          <w:rPr>
            <w:rStyle w:val="Hyperlink"/>
            <w:rFonts w:ascii="Times New Roman" w:hAnsi="Times New Roman" w:cs="Times New Roman"/>
            <w:noProof/>
            <w:sz w:val="26"/>
            <w:szCs w:val="26"/>
            <w:lang w:val="vi-VN" w:bidi="th-TH"/>
          </w:rPr>
          <w:t xml:space="preserve">Bảng 2.1 </w:t>
        </w:r>
        <w:r w:rsidR="00F4029F" w:rsidRPr="00A90E6A">
          <w:rPr>
            <w:rStyle w:val="Hyperlink"/>
            <w:rFonts w:ascii="Times New Roman" w:hAnsi="Times New Roman" w:cs="Times New Roman"/>
            <w:noProof/>
            <w:sz w:val="26"/>
            <w:szCs w:val="26"/>
            <w:lang w:val="vi" w:bidi="th-TH"/>
          </w:rPr>
          <w:t>Kết quả huy động vốn của Ngân hàng TMCP Quân đội – Chi nhánh Đà Nẵng (giai đoạn 2023 - 2025).</w:t>
        </w:r>
        <w:r w:rsidR="00F4029F" w:rsidRPr="00A90E6A">
          <w:rPr>
            <w:rFonts w:ascii="Times New Roman" w:hAnsi="Times New Roman" w:cs="Times New Roman"/>
            <w:noProof/>
            <w:webHidden/>
            <w:sz w:val="26"/>
            <w:szCs w:val="26"/>
          </w:rPr>
          <w:tab/>
        </w:r>
        <w:r w:rsidR="00F4029F" w:rsidRPr="00A90E6A">
          <w:rPr>
            <w:rFonts w:ascii="Times New Roman" w:hAnsi="Times New Roman" w:cs="Times New Roman"/>
            <w:noProof/>
            <w:webHidden/>
            <w:sz w:val="26"/>
            <w:szCs w:val="26"/>
          </w:rPr>
          <w:fldChar w:fldCharType="begin"/>
        </w:r>
        <w:r w:rsidR="00F4029F" w:rsidRPr="00A90E6A">
          <w:rPr>
            <w:rFonts w:ascii="Times New Roman" w:hAnsi="Times New Roman" w:cs="Times New Roman"/>
            <w:noProof/>
            <w:webHidden/>
            <w:sz w:val="26"/>
            <w:szCs w:val="26"/>
          </w:rPr>
          <w:instrText xml:space="preserve"> PAGEREF _Toc230367577 \h </w:instrText>
        </w:r>
        <w:r w:rsidR="00F4029F" w:rsidRPr="00A90E6A">
          <w:rPr>
            <w:rFonts w:ascii="Times New Roman" w:hAnsi="Times New Roman" w:cs="Times New Roman"/>
            <w:noProof/>
            <w:webHidden/>
            <w:sz w:val="26"/>
            <w:szCs w:val="26"/>
          </w:rPr>
        </w:r>
        <w:r w:rsidR="00F4029F"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22</w:t>
        </w:r>
        <w:r w:rsidR="00F4029F" w:rsidRPr="00A90E6A">
          <w:rPr>
            <w:rFonts w:ascii="Times New Roman" w:hAnsi="Times New Roman" w:cs="Times New Roman"/>
            <w:noProof/>
            <w:webHidden/>
            <w:sz w:val="26"/>
            <w:szCs w:val="26"/>
          </w:rPr>
          <w:fldChar w:fldCharType="end"/>
        </w:r>
      </w:hyperlink>
    </w:p>
    <w:p w14:paraId="5B4BE0E8" w14:textId="6F3D4B5E"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78" w:history="1">
        <w:r w:rsidRPr="00A90E6A">
          <w:rPr>
            <w:rStyle w:val="Hyperlink"/>
            <w:rFonts w:ascii="Times New Roman" w:hAnsi="Times New Roman" w:cs="Times New Roman"/>
            <w:noProof/>
            <w:sz w:val="26"/>
            <w:szCs w:val="26"/>
            <w:lang w:val="vi-VN" w:bidi="th-TH"/>
          </w:rPr>
          <w:t xml:space="preserve">Bảng 2.2 </w:t>
        </w:r>
        <w:r w:rsidRPr="00A90E6A">
          <w:rPr>
            <w:rStyle w:val="Hyperlink"/>
            <w:rFonts w:ascii="Times New Roman" w:hAnsi="Times New Roman" w:cs="Times New Roman"/>
            <w:noProof/>
            <w:sz w:val="26"/>
            <w:szCs w:val="26"/>
            <w:lang w:val="vi" w:bidi="th-TH"/>
          </w:rPr>
          <w:t>Kết quả cho vay của Ngân hàng TMCP Quân đội – Chi nhánh Đà Nẵng (giai đoạn 2023 - 2025).</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_Toc230367578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24</w:t>
        </w:r>
        <w:r w:rsidRPr="00A90E6A">
          <w:rPr>
            <w:rFonts w:ascii="Times New Roman" w:hAnsi="Times New Roman" w:cs="Times New Roman"/>
            <w:noProof/>
            <w:webHidden/>
            <w:sz w:val="26"/>
            <w:szCs w:val="26"/>
          </w:rPr>
          <w:fldChar w:fldCharType="end"/>
        </w:r>
      </w:hyperlink>
    </w:p>
    <w:p w14:paraId="09001D85" w14:textId="05CB2E69"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79" w:history="1">
        <w:r w:rsidRPr="00A90E6A">
          <w:rPr>
            <w:rStyle w:val="Hyperlink"/>
            <w:rFonts w:ascii="Times New Roman" w:hAnsi="Times New Roman" w:cs="Times New Roman"/>
            <w:noProof/>
            <w:sz w:val="26"/>
            <w:szCs w:val="26"/>
            <w:lang w:val="vi-VN" w:bidi="th-TH"/>
          </w:rPr>
          <w:t xml:space="preserve">Bảng 2.3  </w:t>
        </w:r>
        <w:r w:rsidRPr="00A90E6A">
          <w:rPr>
            <w:rStyle w:val="Hyperlink"/>
            <w:rFonts w:ascii="Times New Roman" w:hAnsi="Times New Roman" w:cs="Times New Roman"/>
            <w:noProof/>
            <w:sz w:val="26"/>
            <w:szCs w:val="26"/>
            <w:lang w:val="vi" w:bidi="th-TH"/>
          </w:rPr>
          <w:t>Kết quả hoạt động kinh doanh của Ngân hàng TMCP Quân đội – Chi nhánh Đà Nẵng (giai đoạn 2023 – 2025</w:t>
        </w:r>
        <w:r w:rsidRPr="00A90E6A">
          <w:rPr>
            <w:rStyle w:val="Hyperlink"/>
            <w:rFonts w:ascii="Times New Roman" w:hAnsi="Times New Roman" w:cs="Times New Roman"/>
            <w:noProof/>
            <w:sz w:val="26"/>
            <w:szCs w:val="26"/>
            <w:lang w:val="vi-VN" w:bidi="th-TH"/>
          </w:rPr>
          <w:t>).</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_Toc230367579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26</w:t>
        </w:r>
        <w:r w:rsidRPr="00A90E6A">
          <w:rPr>
            <w:rFonts w:ascii="Times New Roman" w:hAnsi="Times New Roman" w:cs="Times New Roman"/>
            <w:noProof/>
            <w:webHidden/>
            <w:sz w:val="26"/>
            <w:szCs w:val="26"/>
          </w:rPr>
          <w:fldChar w:fldCharType="end"/>
        </w:r>
      </w:hyperlink>
    </w:p>
    <w:p w14:paraId="647926BE" w14:textId="0E3921E0"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80" w:history="1">
        <w:r w:rsidRPr="00A90E6A">
          <w:rPr>
            <w:rStyle w:val="Hyperlink"/>
            <w:rFonts w:ascii="Times New Roman" w:hAnsi="Times New Roman" w:cs="Times New Roman"/>
            <w:noProof/>
            <w:sz w:val="26"/>
            <w:szCs w:val="26"/>
            <w:lang w:val="vi-VN" w:bidi="th-TH"/>
          </w:rPr>
          <w:t>Bảng 2.4 Tình hình hoạt động cho vay sản xuất kinh doanh đối với khách hàng cá nhân tại Ngân hàng TMCP Quân đội – Chi nhánh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_Toc230367580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37</w:t>
        </w:r>
        <w:r w:rsidRPr="00A90E6A">
          <w:rPr>
            <w:rFonts w:ascii="Times New Roman" w:hAnsi="Times New Roman" w:cs="Times New Roman"/>
            <w:noProof/>
            <w:webHidden/>
            <w:sz w:val="26"/>
            <w:szCs w:val="26"/>
          </w:rPr>
          <w:fldChar w:fldCharType="end"/>
        </w:r>
      </w:hyperlink>
    </w:p>
    <w:p w14:paraId="16D04668" w14:textId="4FC4FFF2"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81" w:history="1">
        <w:r w:rsidRPr="00A90E6A">
          <w:rPr>
            <w:rStyle w:val="Hyperlink"/>
            <w:rFonts w:ascii="Times New Roman" w:hAnsi="Times New Roman" w:cs="Times New Roman"/>
            <w:noProof/>
            <w:sz w:val="26"/>
            <w:szCs w:val="26"/>
            <w:lang w:val="vi-VN" w:bidi="th-TH"/>
          </w:rPr>
          <w:t>Bảng 2.5 Kiểm soát rủi ro hoạt động cho vay sản xuất kinh doanh đối với khách hàng cá nhân tại Ngân hàng TMCP Quân đội – Chi nhánh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_Toc230367581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40</w:t>
        </w:r>
        <w:r w:rsidRPr="00A90E6A">
          <w:rPr>
            <w:rFonts w:ascii="Times New Roman" w:hAnsi="Times New Roman" w:cs="Times New Roman"/>
            <w:noProof/>
            <w:webHidden/>
            <w:sz w:val="26"/>
            <w:szCs w:val="26"/>
          </w:rPr>
          <w:fldChar w:fldCharType="end"/>
        </w:r>
      </w:hyperlink>
    </w:p>
    <w:p w14:paraId="4F29AF2A" w14:textId="19751B55"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82" w:history="1">
        <w:r w:rsidRPr="00A90E6A">
          <w:rPr>
            <w:rStyle w:val="Hyperlink"/>
            <w:rFonts w:ascii="Times New Roman" w:hAnsi="Times New Roman" w:cs="Times New Roman"/>
            <w:noProof/>
            <w:sz w:val="26"/>
            <w:szCs w:val="26"/>
            <w:lang w:val="vi-VN" w:bidi="th-TH"/>
          </w:rPr>
          <w:t>Bảng 2.6 Tình hình hoạt động cho vay sản xuất kinh doanh đối với khách hàng cá nhân phân theo kỳ hạn tại Ngân hàng TMCP Quân đội – Chi nhánh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_Toc230367582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43</w:t>
        </w:r>
        <w:r w:rsidRPr="00A90E6A">
          <w:rPr>
            <w:rFonts w:ascii="Times New Roman" w:hAnsi="Times New Roman" w:cs="Times New Roman"/>
            <w:noProof/>
            <w:webHidden/>
            <w:sz w:val="26"/>
            <w:szCs w:val="26"/>
          </w:rPr>
          <w:fldChar w:fldCharType="end"/>
        </w:r>
      </w:hyperlink>
    </w:p>
    <w:p w14:paraId="0D31BE9E" w14:textId="508BBB39"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83" w:history="1">
        <w:r w:rsidRPr="00A90E6A">
          <w:rPr>
            <w:rStyle w:val="Hyperlink"/>
            <w:rFonts w:ascii="Times New Roman" w:hAnsi="Times New Roman" w:cs="Times New Roman"/>
            <w:noProof/>
            <w:sz w:val="26"/>
            <w:szCs w:val="26"/>
            <w:lang w:bidi="th-TH"/>
          </w:rPr>
          <w:t xml:space="preserve">Bảng 2.7 </w:t>
        </w:r>
        <w:r w:rsidRPr="00A90E6A">
          <w:rPr>
            <w:rStyle w:val="Hyperlink"/>
            <w:rFonts w:ascii="Times New Roman" w:hAnsi="Times New Roman" w:cs="Times New Roman"/>
            <w:noProof/>
            <w:sz w:val="26"/>
            <w:szCs w:val="26"/>
            <w:lang w:val="vi-VN" w:bidi="th-TH"/>
          </w:rPr>
          <w:t>Tình hình hoạt động cho vay sản xuất kinh doanh đối với khách hàng cá nhân phân theo mục đích tại Ngân hàng TMCP Quân đội – Chi nhánh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_Toc230367583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46</w:t>
        </w:r>
        <w:r w:rsidRPr="00A90E6A">
          <w:rPr>
            <w:rFonts w:ascii="Times New Roman" w:hAnsi="Times New Roman" w:cs="Times New Roman"/>
            <w:noProof/>
            <w:webHidden/>
            <w:sz w:val="26"/>
            <w:szCs w:val="26"/>
          </w:rPr>
          <w:fldChar w:fldCharType="end"/>
        </w:r>
      </w:hyperlink>
    </w:p>
    <w:p w14:paraId="486A7D81" w14:textId="09E01AE8"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84" w:history="1">
        <w:r w:rsidRPr="00A90E6A">
          <w:rPr>
            <w:rStyle w:val="Hyperlink"/>
            <w:rFonts w:ascii="Times New Roman" w:hAnsi="Times New Roman" w:cs="Times New Roman"/>
            <w:noProof/>
            <w:sz w:val="26"/>
            <w:szCs w:val="26"/>
            <w:lang w:val="vi-VN" w:bidi="th-TH"/>
          </w:rPr>
          <w:t>Bảng 2.8 Tình hình hoạt động cho vay sản xuất kinh doanh đối với khách hàng cá nhân phân theo phương thức tại Ngân hàng TMCP Quân đội – Chi nhánh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_Toc230367584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49</w:t>
        </w:r>
        <w:r w:rsidRPr="00A90E6A">
          <w:rPr>
            <w:rFonts w:ascii="Times New Roman" w:hAnsi="Times New Roman" w:cs="Times New Roman"/>
            <w:noProof/>
            <w:webHidden/>
            <w:sz w:val="26"/>
            <w:szCs w:val="26"/>
          </w:rPr>
          <w:fldChar w:fldCharType="end"/>
        </w:r>
      </w:hyperlink>
    </w:p>
    <w:p w14:paraId="385D89FE" w14:textId="21DC61C7"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85" w:history="1">
        <w:r w:rsidRPr="00A90E6A">
          <w:rPr>
            <w:rStyle w:val="Hyperlink"/>
            <w:rFonts w:ascii="Times New Roman" w:hAnsi="Times New Roman" w:cs="Times New Roman"/>
            <w:noProof/>
            <w:sz w:val="26"/>
            <w:szCs w:val="26"/>
            <w:lang w:val="vi-VN" w:bidi="th-TH"/>
          </w:rPr>
          <w:t>Bảng 2.9 Tình hình hoạt động cho vay sản xuất kinh doanh đối với khách hàng cá nhân phân theo phương thức đảm bảo  tại Ngân hàng TMCP Quân đội – Chi nhánh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_Toc230367585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52</w:t>
        </w:r>
        <w:r w:rsidRPr="00A90E6A">
          <w:rPr>
            <w:rFonts w:ascii="Times New Roman" w:hAnsi="Times New Roman" w:cs="Times New Roman"/>
            <w:noProof/>
            <w:webHidden/>
            <w:sz w:val="26"/>
            <w:szCs w:val="26"/>
          </w:rPr>
          <w:fldChar w:fldCharType="end"/>
        </w:r>
      </w:hyperlink>
    </w:p>
    <w:p w14:paraId="77839DBA" w14:textId="76FC17D1"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86" w:history="1">
        <w:r w:rsidRPr="00A90E6A">
          <w:rPr>
            <w:rStyle w:val="Hyperlink"/>
            <w:rFonts w:ascii="Times New Roman" w:hAnsi="Times New Roman" w:cs="Times New Roman"/>
            <w:noProof/>
            <w:sz w:val="26"/>
            <w:szCs w:val="26"/>
            <w:lang w:val="vi-VN" w:bidi="th-TH"/>
          </w:rPr>
          <w:t>Bảng 2.10 Vòng quay vốn tín dụng trong hoạt động cho vay SXKD đối với KHCN tại MB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_Toc230367586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55</w:t>
        </w:r>
        <w:r w:rsidRPr="00A90E6A">
          <w:rPr>
            <w:rFonts w:ascii="Times New Roman" w:hAnsi="Times New Roman" w:cs="Times New Roman"/>
            <w:noProof/>
            <w:webHidden/>
            <w:sz w:val="26"/>
            <w:szCs w:val="26"/>
          </w:rPr>
          <w:fldChar w:fldCharType="end"/>
        </w:r>
      </w:hyperlink>
    </w:p>
    <w:p w14:paraId="0F46DB37" w14:textId="3C300B8D"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87" w:history="1">
        <w:r w:rsidRPr="00A90E6A">
          <w:rPr>
            <w:rStyle w:val="Hyperlink"/>
            <w:rFonts w:ascii="Times New Roman" w:hAnsi="Times New Roman" w:cs="Times New Roman"/>
            <w:noProof/>
            <w:sz w:val="26"/>
            <w:szCs w:val="26"/>
            <w:lang w:val="vi-VN" w:bidi="th-TH"/>
          </w:rPr>
          <w:t xml:space="preserve">Bảng 2.11 </w:t>
        </w:r>
        <w:r w:rsidRPr="00A90E6A">
          <w:rPr>
            <w:rStyle w:val="Hyperlink"/>
            <w:rFonts w:ascii="Times New Roman" w:eastAsia="Times New Roman" w:hAnsi="Times New Roman" w:cs="Times New Roman"/>
            <w:noProof/>
            <w:kern w:val="0"/>
            <w:sz w:val="26"/>
            <w:szCs w:val="26"/>
            <w:lang w:val="vi-VN" w:bidi="th-TH"/>
            <w14:ligatures w14:val="none"/>
          </w:rPr>
          <w:t xml:space="preserve">Thu nhập lãi thuần từ hoạt động </w:t>
        </w:r>
        <w:r w:rsidRPr="00A90E6A">
          <w:rPr>
            <w:rStyle w:val="Hyperlink"/>
            <w:rFonts w:ascii="Times New Roman" w:hAnsi="Times New Roman" w:cs="Times New Roman"/>
            <w:noProof/>
            <w:sz w:val="26"/>
            <w:szCs w:val="26"/>
            <w:lang w:val="vi-VN" w:bidi="th-TH"/>
          </w:rPr>
          <w:t>cho vay SXKD đối với KHCN tại MB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_Toc230367587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57</w:t>
        </w:r>
        <w:r w:rsidRPr="00A90E6A">
          <w:rPr>
            <w:rFonts w:ascii="Times New Roman" w:hAnsi="Times New Roman" w:cs="Times New Roman"/>
            <w:noProof/>
            <w:webHidden/>
            <w:sz w:val="26"/>
            <w:szCs w:val="26"/>
          </w:rPr>
          <w:fldChar w:fldCharType="end"/>
        </w:r>
      </w:hyperlink>
    </w:p>
    <w:p w14:paraId="2C547D29" w14:textId="70D465BB" w:rsidR="00F4029F" w:rsidRPr="00A90E6A" w:rsidRDefault="00F4029F"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588" w:history="1">
        <w:r w:rsidRPr="00A90E6A">
          <w:rPr>
            <w:rStyle w:val="Hyperlink"/>
            <w:rFonts w:ascii="Times New Roman" w:hAnsi="Times New Roman" w:cs="Times New Roman"/>
            <w:noProof/>
            <w:sz w:val="26"/>
            <w:szCs w:val="26"/>
            <w:lang w:val="vi-VN" w:bidi="th-TH"/>
          </w:rPr>
          <w:t xml:space="preserve">Bảng 2.12 </w:t>
        </w:r>
        <w:r w:rsidRPr="00A90E6A">
          <w:rPr>
            <w:rStyle w:val="Hyperlink"/>
            <w:rFonts w:ascii="Times New Roman" w:eastAsia="Times New Roman" w:hAnsi="Times New Roman" w:cs="Times New Roman"/>
            <w:noProof/>
            <w:kern w:val="0"/>
            <w:sz w:val="26"/>
            <w:szCs w:val="26"/>
            <w:lang w:val="vi-VN" w:bidi="th-TH"/>
            <w14:ligatures w14:val="none"/>
          </w:rPr>
          <w:t xml:space="preserve">Hệ số thu nợ từ hoạt động </w:t>
        </w:r>
        <w:r w:rsidRPr="00A90E6A">
          <w:rPr>
            <w:rStyle w:val="Hyperlink"/>
            <w:rFonts w:ascii="Times New Roman" w:hAnsi="Times New Roman" w:cs="Times New Roman"/>
            <w:noProof/>
            <w:sz w:val="26"/>
            <w:szCs w:val="26"/>
            <w:lang w:val="vi-VN" w:bidi="th-TH"/>
          </w:rPr>
          <w:t>cho vay SXKD đối với KHCN tại MB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_Toc230367588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58</w:t>
        </w:r>
        <w:r w:rsidRPr="00A90E6A">
          <w:rPr>
            <w:rFonts w:ascii="Times New Roman" w:hAnsi="Times New Roman" w:cs="Times New Roman"/>
            <w:noProof/>
            <w:webHidden/>
            <w:sz w:val="26"/>
            <w:szCs w:val="26"/>
          </w:rPr>
          <w:fldChar w:fldCharType="end"/>
        </w:r>
      </w:hyperlink>
    </w:p>
    <w:p w14:paraId="6546AAFA" w14:textId="336B6E95" w:rsidR="00B6155E" w:rsidRPr="00A90E6A" w:rsidRDefault="00882F4F" w:rsidP="00CA2352">
      <w:pPr>
        <w:spacing w:after="0" w:line="360" w:lineRule="auto"/>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fldChar w:fldCharType="end"/>
      </w:r>
    </w:p>
    <w:p w14:paraId="41731F48" w14:textId="77777777" w:rsidR="00A82BDF" w:rsidRPr="00A90E6A" w:rsidRDefault="00A82BDF" w:rsidP="00CA2352">
      <w:pPr>
        <w:spacing w:line="360" w:lineRule="auto"/>
        <w:rPr>
          <w:rFonts w:ascii="Times New Roman" w:hAnsi="Times New Roman" w:cs="Times New Roman"/>
          <w:b/>
          <w:bCs/>
          <w:sz w:val="26"/>
          <w:szCs w:val="26"/>
          <w:lang w:val="vi-VN"/>
        </w:rPr>
      </w:pPr>
      <w:r w:rsidRPr="00A90E6A">
        <w:rPr>
          <w:rFonts w:ascii="Times New Roman" w:hAnsi="Times New Roman" w:cs="Times New Roman"/>
          <w:sz w:val="26"/>
          <w:szCs w:val="26"/>
          <w:lang w:val="vi-VN"/>
        </w:rPr>
        <w:br w:type="page"/>
      </w:r>
    </w:p>
    <w:p w14:paraId="0AEE0143" w14:textId="62285C8B" w:rsidR="009C7C7A" w:rsidRPr="00A90E6A" w:rsidRDefault="009C7C7A" w:rsidP="00CA2352">
      <w:pPr>
        <w:pStyle w:val="Heading1"/>
        <w:rPr>
          <w:lang w:val="vi-VN"/>
        </w:rPr>
      </w:pPr>
      <w:bookmarkStart w:id="4" w:name="_Toc230962358"/>
      <w:r w:rsidRPr="00A90E6A">
        <w:rPr>
          <w:lang w:val="vi-VN"/>
        </w:rPr>
        <w:lastRenderedPageBreak/>
        <w:t>DANH SÁCH HÌNH, SƠ ĐỒ</w:t>
      </w:r>
      <w:bookmarkEnd w:id="4"/>
    </w:p>
    <w:p w14:paraId="5F07F2D2" w14:textId="4F76B3F1" w:rsidR="00C9406C" w:rsidRPr="00A90E6A" w:rsidRDefault="009C7C7A"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r w:rsidRPr="00A90E6A">
        <w:rPr>
          <w:rFonts w:ascii="Times New Roman" w:hAnsi="Times New Roman" w:cs="Times New Roman"/>
          <w:sz w:val="26"/>
          <w:szCs w:val="26"/>
        </w:rPr>
        <w:fldChar w:fldCharType="begin"/>
      </w:r>
      <w:r w:rsidRPr="00A90E6A">
        <w:rPr>
          <w:rFonts w:ascii="Times New Roman" w:hAnsi="Times New Roman" w:cs="Times New Roman"/>
          <w:sz w:val="26"/>
          <w:szCs w:val="26"/>
        </w:rPr>
        <w:instrText xml:space="preserve"> TOC \h \z \c "Hình 2." </w:instrText>
      </w:r>
      <w:r w:rsidRPr="00A90E6A">
        <w:rPr>
          <w:rFonts w:ascii="Times New Roman" w:hAnsi="Times New Roman" w:cs="Times New Roman"/>
          <w:sz w:val="26"/>
          <w:szCs w:val="26"/>
        </w:rPr>
        <w:fldChar w:fldCharType="separate"/>
      </w:r>
      <w:hyperlink w:anchor="_Toc230367816" w:history="1">
        <w:r w:rsidR="00C9406C" w:rsidRPr="00A90E6A">
          <w:rPr>
            <w:rStyle w:val="Hyperlink"/>
            <w:rFonts w:ascii="Times New Roman" w:hAnsi="Times New Roman" w:cs="Times New Roman"/>
            <w:noProof/>
            <w:sz w:val="26"/>
            <w:szCs w:val="26"/>
            <w:lang w:val="nl-NL" w:bidi="th-TH"/>
          </w:rPr>
          <w:t>Hình 2.1</w:t>
        </w:r>
        <w:r w:rsidR="00C9406C" w:rsidRPr="00A90E6A">
          <w:rPr>
            <w:rStyle w:val="Hyperlink"/>
            <w:rFonts w:ascii="Times New Roman" w:hAnsi="Times New Roman" w:cs="Times New Roman"/>
            <w:noProof/>
            <w:sz w:val="26"/>
            <w:szCs w:val="26"/>
            <w:lang w:val="vi-VN" w:bidi="th-TH"/>
          </w:rPr>
          <w:t xml:space="preserve"> </w:t>
        </w:r>
        <w:r w:rsidR="00C9406C" w:rsidRPr="00A90E6A">
          <w:rPr>
            <w:rStyle w:val="Hyperlink"/>
            <w:rFonts w:ascii="Times New Roman" w:hAnsi="Times New Roman" w:cs="Times New Roman"/>
            <w:noProof/>
            <w:sz w:val="26"/>
            <w:szCs w:val="26"/>
            <w:lang w:val="nl-NL" w:bidi="th-TH"/>
          </w:rPr>
          <w:t>Logo Ngân hàng TMCP Quân đội</w:t>
        </w:r>
        <w:r w:rsidR="00C9406C" w:rsidRPr="00A90E6A">
          <w:rPr>
            <w:rStyle w:val="Hyperlink"/>
            <w:rFonts w:ascii="Times New Roman" w:hAnsi="Times New Roman" w:cs="Times New Roman"/>
            <w:noProof/>
            <w:sz w:val="26"/>
            <w:szCs w:val="26"/>
            <w:lang w:val="vi-VN" w:bidi="th-TH"/>
          </w:rPr>
          <w:t>.</w:t>
        </w:r>
        <w:r w:rsidR="00C9406C" w:rsidRPr="00A90E6A">
          <w:rPr>
            <w:rFonts w:ascii="Times New Roman" w:hAnsi="Times New Roman" w:cs="Times New Roman"/>
            <w:noProof/>
            <w:webHidden/>
            <w:sz w:val="26"/>
            <w:szCs w:val="26"/>
          </w:rPr>
          <w:tab/>
        </w:r>
        <w:r w:rsidR="00C9406C" w:rsidRPr="00A90E6A">
          <w:rPr>
            <w:rFonts w:ascii="Times New Roman" w:hAnsi="Times New Roman" w:cs="Times New Roman"/>
            <w:noProof/>
            <w:webHidden/>
            <w:sz w:val="26"/>
            <w:szCs w:val="26"/>
          </w:rPr>
          <w:fldChar w:fldCharType="begin"/>
        </w:r>
        <w:r w:rsidR="00C9406C" w:rsidRPr="00A90E6A">
          <w:rPr>
            <w:rFonts w:ascii="Times New Roman" w:hAnsi="Times New Roman" w:cs="Times New Roman"/>
            <w:noProof/>
            <w:webHidden/>
            <w:sz w:val="26"/>
            <w:szCs w:val="26"/>
          </w:rPr>
          <w:instrText xml:space="preserve"> PAGEREF _Toc230367816 \h </w:instrText>
        </w:r>
        <w:r w:rsidR="00C9406C" w:rsidRPr="00A90E6A">
          <w:rPr>
            <w:rFonts w:ascii="Times New Roman" w:hAnsi="Times New Roman" w:cs="Times New Roman"/>
            <w:noProof/>
            <w:webHidden/>
            <w:sz w:val="26"/>
            <w:szCs w:val="26"/>
          </w:rPr>
        </w:r>
        <w:r w:rsidR="00C9406C"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19</w:t>
        </w:r>
        <w:r w:rsidR="00C9406C" w:rsidRPr="00A90E6A">
          <w:rPr>
            <w:rFonts w:ascii="Times New Roman" w:hAnsi="Times New Roman" w:cs="Times New Roman"/>
            <w:noProof/>
            <w:webHidden/>
            <w:sz w:val="26"/>
            <w:szCs w:val="26"/>
          </w:rPr>
          <w:fldChar w:fldCharType="end"/>
        </w:r>
      </w:hyperlink>
    </w:p>
    <w:p w14:paraId="33892936" w14:textId="55D49DE2" w:rsidR="00C9406C" w:rsidRPr="00A90E6A" w:rsidRDefault="009C7C7A"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r w:rsidRPr="00A90E6A">
        <w:rPr>
          <w:rFonts w:ascii="Times New Roman" w:hAnsi="Times New Roman" w:cs="Times New Roman"/>
          <w:sz w:val="26"/>
          <w:szCs w:val="26"/>
        </w:rPr>
        <w:fldChar w:fldCharType="end"/>
      </w:r>
      <w:r w:rsidRPr="00A90E6A">
        <w:rPr>
          <w:rFonts w:ascii="Times New Roman" w:hAnsi="Times New Roman" w:cs="Times New Roman"/>
          <w:sz w:val="26"/>
          <w:szCs w:val="26"/>
          <w:lang w:val="vi-VN"/>
        </w:rPr>
        <w:fldChar w:fldCharType="begin"/>
      </w:r>
      <w:r w:rsidRPr="00A90E6A">
        <w:rPr>
          <w:rFonts w:ascii="Times New Roman" w:hAnsi="Times New Roman" w:cs="Times New Roman"/>
          <w:sz w:val="26"/>
          <w:szCs w:val="26"/>
          <w:lang w:val="vi-VN"/>
        </w:rPr>
        <w:instrText xml:space="preserve"> TOC \h \z \c "Sơ đồ 2." </w:instrText>
      </w:r>
      <w:r w:rsidRPr="00A90E6A">
        <w:rPr>
          <w:rFonts w:ascii="Times New Roman" w:hAnsi="Times New Roman" w:cs="Times New Roman"/>
          <w:sz w:val="26"/>
          <w:szCs w:val="26"/>
          <w:lang w:val="vi-VN"/>
        </w:rPr>
        <w:fldChar w:fldCharType="separate"/>
      </w:r>
      <w:hyperlink w:anchor="_Toc230367733" w:history="1">
        <w:r w:rsidR="00C9406C" w:rsidRPr="00A90E6A">
          <w:rPr>
            <w:rStyle w:val="Hyperlink"/>
            <w:rFonts w:ascii="Times New Roman" w:hAnsi="Times New Roman" w:cs="Times New Roman"/>
            <w:noProof/>
            <w:sz w:val="26"/>
            <w:szCs w:val="26"/>
            <w:lang w:val="vi-VN" w:bidi="th-TH"/>
          </w:rPr>
          <w:t>Sơ đồ 2.1 Sơ đồ tổ chức Ngân hàng TMCP Quân đội – Chi nhánh Đà Nẵng.</w:t>
        </w:r>
        <w:r w:rsidR="00C9406C" w:rsidRPr="00A90E6A">
          <w:rPr>
            <w:rFonts w:ascii="Times New Roman" w:hAnsi="Times New Roman" w:cs="Times New Roman"/>
            <w:noProof/>
            <w:webHidden/>
            <w:sz w:val="26"/>
            <w:szCs w:val="26"/>
          </w:rPr>
          <w:tab/>
        </w:r>
        <w:r w:rsidR="00C9406C" w:rsidRPr="00A90E6A">
          <w:rPr>
            <w:rFonts w:ascii="Times New Roman" w:hAnsi="Times New Roman" w:cs="Times New Roman"/>
            <w:noProof/>
            <w:webHidden/>
            <w:sz w:val="26"/>
            <w:szCs w:val="26"/>
          </w:rPr>
          <w:fldChar w:fldCharType="begin"/>
        </w:r>
        <w:r w:rsidR="00C9406C" w:rsidRPr="00A90E6A">
          <w:rPr>
            <w:rFonts w:ascii="Times New Roman" w:hAnsi="Times New Roman" w:cs="Times New Roman"/>
            <w:noProof/>
            <w:webHidden/>
            <w:sz w:val="26"/>
            <w:szCs w:val="26"/>
          </w:rPr>
          <w:instrText xml:space="preserve"> PAGEREF _Toc230367733 \h </w:instrText>
        </w:r>
        <w:r w:rsidR="00C9406C" w:rsidRPr="00A90E6A">
          <w:rPr>
            <w:rFonts w:ascii="Times New Roman" w:hAnsi="Times New Roman" w:cs="Times New Roman"/>
            <w:noProof/>
            <w:webHidden/>
            <w:sz w:val="26"/>
            <w:szCs w:val="26"/>
          </w:rPr>
        </w:r>
        <w:r w:rsidR="00C9406C"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20</w:t>
        </w:r>
        <w:r w:rsidR="00C9406C" w:rsidRPr="00A90E6A">
          <w:rPr>
            <w:rFonts w:ascii="Times New Roman" w:hAnsi="Times New Roman" w:cs="Times New Roman"/>
            <w:noProof/>
            <w:webHidden/>
            <w:sz w:val="26"/>
            <w:szCs w:val="26"/>
          </w:rPr>
          <w:fldChar w:fldCharType="end"/>
        </w:r>
      </w:hyperlink>
    </w:p>
    <w:p w14:paraId="2FFECC6B" w14:textId="6CBAE639" w:rsidR="00C9406C" w:rsidRPr="00A90E6A" w:rsidRDefault="00C9406C" w:rsidP="00CA2352">
      <w:pPr>
        <w:pStyle w:val="TableofFigures"/>
        <w:tabs>
          <w:tab w:val="right" w:leader="dot" w:pos="9071"/>
        </w:tabs>
        <w:spacing w:line="360" w:lineRule="auto"/>
        <w:jc w:val="both"/>
        <w:rPr>
          <w:rFonts w:ascii="Times New Roman" w:eastAsiaTheme="minorEastAsia" w:hAnsi="Times New Roman" w:cs="Times New Roman"/>
          <w:noProof/>
          <w:sz w:val="26"/>
          <w:szCs w:val="26"/>
          <w:lang w:eastAsia="zh-CN"/>
        </w:rPr>
      </w:pPr>
      <w:hyperlink w:anchor="_Toc230367734" w:history="1">
        <w:r w:rsidRPr="00A90E6A">
          <w:rPr>
            <w:rStyle w:val="Hyperlink"/>
            <w:rFonts w:ascii="Times New Roman" w:hAnsi="Times New Roman" w:cs="Times New Roman"/>
            <w:noProof/>
            <w:sz w:val="26"/>
            <w:szCs w:val="26"/>
            <w:lang w:val="vi" w:bidi="th-TH"/>
          </w:rPr>
          <w:t>Sơ đồ 2.2</w:t>
        </w:r>
        <w:r w:rsidRPr="00A90E6A">
          <w:rPr>
            <w:rStyle w:val="Hyperlink"/>
            <w:rFonts w:ascii="Times New Roman" w:hAnsi="Times New Roman" w:cs="Times New Roman"/>
            <w:noProof/>
            <w:sz w:val="26"/>
            <w:szCs w:val="26"/>
            <w:lang w:val="vi-VN" w:bidi="th-TH"/>
          </w:rPr>
          <w:t xml:space="preserve"> Quy trình cho vay SXKD đối với KHCN tại Ngân hàng TMCP Quân đội – Chi nhánh Đà Nẵng.</w:t>
        </w:r>
        <w:r w:rsidRPr="00A90E6A">
          <w:rPr>
            <w:rFonts w:ascii="Times New Roman" w:hAnsi="Times New Roman" w:cs="Times New Roman"/>
            <w:noProof/>
            <w:webHidden/>
            <w:sz w:val="26"/>
            <w:szCs w:val="26"/>
          </w:rPr>
          <w:tab/>
        </w:r>
        <w:r w:rsidRPr="00A90E6A">
          <w:rPr>
            <w:rFonts w:ascii="Times New Roman" w:hAnsi="Times New Roman" w:cs="Times New Roman"/>
            <w:noProof/>
            <w:webHidden/>
            <w:sz w:val="26"/>
            <w:szCs w:val="26"/>
          </w:rPr>
          <w:fldChar w:fldCharType="begin"/>
        </w:r>
        <w:r w:rsidRPr="00A90E6A">
          <w:rPr>
            <w:rFonts w:ascii="Times New Roman" w:hAnsi="Times New Roman" w:cs="Times New Roman"/>
            <w:noProof/>
            <w:webHidden/>
            <w:sz w:val="26"/>
            <w:szCs w:val="26"/>
          </w:rPr>
          <w:instrText xml:space="preserve"> PAGEREF _Toc230367734 \h </w:instrText>
        </w:r>
        <w:r w:rsidRPr="00A90E6A">
          <w:rPr>
            <w:rFonts w:ascii="Times New Roman" w:hAnsi="Times New Roman" w:cs="Times New Roman"/>
            <w:noProof/>
            <w:webHidden/>
            <w:sz w:val="26"/>
            <w:szCs w:val="26"/>
          </w:rPr>
        </w:r>
        <w:r w:rsidRPr="00A90E6A">
          <w:rPr>
            <w:rFonts w:ascii="Times New Roman" w:hAnsi="Times New Roman" w:cs="Times New Roman"/>
            <w:noProof/>
            <w:webHidden/>
            <w:sz w:val="26"/>
            <w:szCs w:val="26"/>
          </w:rPr>
          <w:fldChar w:fldCharType="separate"/>
        </w:r>
        <w:r w:rsidR="002F2275">
          <w:rPr>
            <w:rFonts w:ascii="Times New Roman" w:hAnsi="Times New Roman" w:cs="Times New Roman"/>
            <w:noProof/>
            <w:webHidden/>
            <w:sz w:val="26"/>
            <w:szCs w:val="26"/>
          </w:rPr>
          <w:t>31</w:t>
        </w:r>
        <w:r w:rsidRPr="00A90E6A">
          <w:rPr>
            <w:rFonts w:ascii="Times New Roman" w:hAnsi="Times New Roman" w:cs="Times New Roman"/>
            <w:noProof/>
            <w:webHidden/>
            <w:sz w:val="26"/>
            <w:szCs w:val="26"/>
          </w:rPr>
          <w:fldChar w:fldCharType="end"/>
        </w:r>
      </w:hyperlink>
    </w:p>
    <w:p w14:paraId="02A37500" w14:textId="4B6C1DEF" w:rsidR="00B80057" w:rsidRPr="00A90E6A" w:rsidRDefault="009C7C7A" w:rsidP="00CA2352">
      <w:pPr>
        <w:tabs>
          <w:tab w:val="right" w:leader="dot" w:pos="9071"/>
        </w:tabs>
        <w:spacing w:after="0" w:line="360" w:lineRule="auto"/>
        <w:jc w:val="both"/>
        <w:rPr>
          <w:rFonts w:ascii="Times New Roman" w:hAnsi="Times New Roman" w:cs="Times New Roman"/>
          <w:b/>
          <w:bCs/>
          <w:color w:val="000000" w:themeColor="text1"/>
          <w:sz w:val="26"/>
          <w:szCs w:val="26"/>
          <w:lang w:val="vi-VN"/>
        </w:rPr>
      </w:pPr>
      <w:r w:rsidRPr="00A90E6A">
        <w:rPr>
          <w:rFonts w:ascii="Times New Roman" w:hAnsi="Times New Roman" w:cs="Times New Roman"/>
          <w:sz w:val="26"/>
          <w:szCs w:val="26"/>
          <w:lang w:val="vi-VN"/>
        </w:rPr>
        <w:fldChar w:fldCharType="end"/>
      </w:r>
      <w:r w:rsidR="00B80057" w:rsidRPr="00A90E6A">
        <w:rPr>
          <w:rFonts w:ascii="Times New Roman" w:hAnsi="Times New Roman" w:cs="Times New Roman"/>
          <w:b/>
          <w:bCs/>
          <w:color w:val="000000" w:themeColor="text1"/>
          <w:sz w:val="26"/>
          <w:szCs w:val="26"/>
          <w:lang w:val="vi-VN"/>
        </w:rPr>
        <w:br w:type="page"/>
      </w:r>
    </w:p>
    <w:p w14:paraId="17DD8909" w14:textId="77777777" w:rsidR="00B80057" w:rsidRPr="00A90E6A" w:rsidRDefault="00B80057" w:rsidP="00F0715A">
      <w:pPr>
        <w:pStyle w:val="Heading1"/>
        <w:rPr>
          <w:color w:val="000000" w:themeColor="text1"/>
          <w:lang w:val="vi-VN"/>
        </w:rPr>
      </w:pPr>
      <w:bookmarkStart w:id="5" w:name="_Toc230962359"/>
      <w:r w:rsidRPr="00A90E6A">
        <w:rPr>
          <w:color w:val="000000" w:themeColor="text1"/>
          <w:lang w:val="vi-VN"/>
        </w:rPr>
        <w:lastRenderedPageBreak/>
        <w:t>DANH MỤC VIẾT TẮT</w:t>
      </w:r>
      <w:bookmarkEnd w:id="5"/>
    </w:p>
    <w:tbl>
      <w:tblPr>
        <w:tblW w:w="5000" w:type="pct"/>
        <w:jc w:val="center"/>
        <w:tblCellMar>
          <w:top w:w="139" w:type="dxa"/>
          <w:left w:w="106" w:type="dxa"/>
          <w:right w:w="113" w:type="dxa"/>
        </w:tblCellMar>
        <w:tblLook w:val="04A0" w:firstRow="1" w:lastRow="0" w:firstColumn="1" w:lastColumn="0" w:noHBand="0" w:noVBand="1"/>
      </w:tblPr>
      <w:tblGrid>
        <w:gridCol w:w="745"/>
        <w:gridCol w:w="2637"/>
        <w:gridCol w:w="5679"/>
      </w:tblGrid>
      <w:tr w:rsidR="00B80057" w:rsidRPr="00A90E6A" w14:paraId="3972EE6A"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hideMark/>
          </w:tcPr>
          <w:p w14:paraId="28DEE441" w14:textId="77777777" w:rsidR="00B80057" w:rsidRPr="00A90E6A" w:rsidRDefault="00B80057" w:rsidP="006F4288">
            <w:pPr>
              <w:spacing w:line="360" w:lineRule="auto"/>
              <w:jc w:val="center"/>
              <w:rPr>
                <w:rFonts w:ascii="Times New Roman" w:hAnsi="Times New Roman" w:cs="Times New Roman"/>
                <w:b/>
                <w:sz w:val="26"/>
                <w:szCs w:val="26"/>
              </w:rPr>
            </w:pPr>
            <w:r w:rsidRPr="00A90E6A">
              <w:rPr>
                <w:rFonts w:ascii="Times New Roman" w:hAnsi="Times New Roman" w:cs="Times New Roman"/>
                <w:b/>
                <w:sz w:val="26"/>
                <w:szCs w:val="26"/>
              </w:rPr>
              <w:t>STT</w:t>
            </w:r>
          </w:p>
        </w:tc>
        <w:tc>
          <w:tcPr>
            <w:tcW w:w="1455" w:type="pct"/>
            <w:tcBorders>
              <w:top w:val="single" w:sz="4" w:space="0" w:color="000000"/>
              <w:left w:val="single" w:sz="4" w:space="0" w:color="000000"/>
              <w:bottom w:val="single" w:sz="4" w:space="0" w:color="000000"/>
              <w:right w:val="single" w:sz="4" w:space="0" w:color="000000"/>
            </w:tcBorders>
            <w:vAlign w:val="center"/>
            <w:hideMark/>
          </w:tcPr>
          <w:p w14:paraId="09E75E1E" w14:textId="77777777" w:rsidR="00B80057" w:rsidRPr="00A90E6A" w:rsidRDefault="00B80057" w:rsidP="006F4288">
            <w:pPr>
              <w:spacing w:before="120" w:after="120" w:line="360" w:lineRule="auto"/>
              <w:jc w:val="center"/>
              <w:rPr>
                <w:rFonts w:ascii="Times New Roman" w:hAnsi="Times New Roman" w:cs="Times New Roman"/>
                <w:b/>
                <w:sz w:val="26"/>
                <w:szCs w:val="26"/>
              </w:rPr>
            </w:pPr>
            <w:r w:rsidRPr="00A90E6A">
              <w:rPr>
                <w:rFonts w:ascii="Times New Roman" w:hAnsi="Times New Roman" w:cs="Times New Roman"/>
                <w:b/>
                <w:sz w:val="26"/>
                <w:szCs w:val="26"/>
              </w:rPr>
              <w:t>Ký hiệu chữ viết tắt</w:t>
            </w:r>
          </w:p>
        </w:tc>
        <w:tc>
          <w:tcPr>
            <w:tcW w:w="3134" w:type="pct"/>
            <w:tcBorders>
              <w:top w:val="single" w:sz="4" w:space="0" w:color="000000"/>
              <w:left w:val="single" w:sz="4" w:space="0" w:color="000000"/>
              <w:bottom w:val="single" w:sz="4" w:space="0" w:color="000000"/>
              <w:right w:val="single" w:sz="4" w:space="0" w:color="000000"/>
            </w:tcBorders>
            <w:vAlign w:val="center"/>
            <w:hideMark/>
          </w:tcPr>
          <w:p w14:paraId="0C1269D6" w14:textId="77777777" w:rsidR="00B80057" w:rsidRPr="00A90E6A" w:rsidRDefault="00B80057" w:rsidP="006F4288">
            <w:pPr>
              <w:spacing w:line="360" w:lineRule="auto"/>
              <w:jc w:val="center"/>
              <w:rPr>
                <w:rFonts w:ascii="Times New Roman" w:hAnsi="Times New Roman" w:cs="Times New Roman"/>
                <w:b/>
                <w:sz w:val="26"/>
                <w:szCs w:val="26"/>
              </w:rPr>
            </w:pPr>
            <w:r w:rsidRPr="00A90E6A">
              <w:rPr>
                <w:rFonts w:ascii="Times New Roman" w:hAnsi="Times New Roman" w:cs="Times New Roman"/>
                <w:b/>
                <w:sz w:val="26"/>
                <w:szCs w:val="26"/>
              </w:rPr>
              <w:t>Chữ viết đầy đủ</w:t>
            </w:r>
          </w:p>
        </w:tc>
      </w:tr>
      <w:tr w:rsidR="00B80057" w:rsidRPr="00A33AD7" w14:paraId="59912B14"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93130C7" w14:textId="77777777" w:rsidR="00B80057" w:rsidRPr="00A90E6A" w:rsidRDefault="00B80057" w:rsidP="006F4288">
            <w:pPr>
              <w:spacing w:line="360" w:lineRule="auto"/>
              <w:jc w:val="center"/>
              <w:rPr>
                <w:rFonts w:ascii="Times New Roman" w:hAnsi="Times New Roman" w:cs="Times New Roman"/>
                <w:b/>
                <w:sz w:val="26"/>
                <w:szCs w:val="26"/>
              </w:rPr>
            </w:pPr>
            <w:r w:rsidRPr="00A90E6A">
              <w:rPr>
                <w:rFonts w:ascii="Times New Roman" w:hAnsi="Times New Roman" w:cs="Times New Roman"/>
                <w:b/>
                <w:sz w:val="26"/>
                <w:szCs w:val="26"/>
              </w:rPr>
              <w:t>1</w:t>
            </w:r>
          </w:p>
        </w:tc>
        <w:tc>
          <w:tcPr>
            <w:tcW w:w="1455" w:type="pct"/>
            <w:tcBorders>
              <w:top w:val="single" w:sz="4" w:space="0" w:color="000000"/>
              <w:left w:val="single" w:sz="4" w:space="0" w:color="000000"/>
              <w:bottom w:val="single" w:sz="4" w:space="0" w:color="000000"/>
              <w:right w:val="single" w:sz="4" w:space="0" w:color="000000"/>
            </w:tcBorders>
            <w:vAlign w:val="center"/>
          </w:tcPr>
          <w:p w14:paraId="3F28F4B8" w14:textId="6DDE7D74" w:rsidR="00B80057" w:rsidRPr="00A90E6A" w:rsidRDefault="00B80057" w:rsidP="00E33809">
            <w:pPr>
              <w:spacing w:line="360" w:lineRule="auto"/>
              <w:rPr>
                <w:rFonts w:ascii="Times New Roman" w:hAnsi="Times New Roman" w:cs="Times New Roman"/>
                <w:bCs/>
                <w:sz w:val="26"/>
                <w:szCs w:val="26"/>
                <w:lang w:val="vi-VN"/>
              </w:rPr>
            </w:pPr>
            <w:r w:rsidRPr="00A90E6A">
              <w:rPr>
                <w:rFonts w:ascii="Times New Roman" w:hAnsi="Times New Roman" w:cs="Times New Roman"/>
                <w:bCs/>
                <w:sz w:val="26"/>
                <w:szCs w:val="26"/>
                <w:lang w:val="vi-VN"/>
              </w:rPr>
              <w:t>MB</w:t>
            </w:r>
          </w:p>
        </w:tc>
        <w:tc>
          <w:tcPr>
            <w:tcW w:w="3134" w:type="pct"/>
            <w:tcBorders>
              <w:top w:val="single" w:sz="4" w:space="0" w:color="000000"/>
              <w:left w:val="single" w:sz="4" w:space="0" w:color="000000"/>
              <w:bottom w:val="single" w:sz="4" w:space="0" w:color="000000"/>
              <w:right w:val="single" w:sz="4" w:space="0" w:color="000000"/>
            </w:tcBorders>
            <w:vAlign w:val="center"/>
          </w:tcPr>
          <w:p w14:paraId="21411A0D" w14:textId="5A95FD3F" w:rsidR="00B80057" w:rsidRPr="00A90E6A" w:rsidRDefault="00B80057" w:rsidP="00E33809">
            <w:pPr>
              <w:spacing w:line="360" w:lineRule="auto"/>
              <w:rPr>
                <w:rFonts w:ascii="Times New Roman" w:hAnsi="Times New Roman" w:cs="Times New Roman"/>
                <w:bCs/>
                <w:sz w:val="26"/>
                <w:szCs w:val="26"/>
                <w:lang w:val="vi-VN"/>
              </w:rPr>
            </w:pPr>
            <w:r w:rsidRPr="00A90E6A">
              <w:rPr>
                <w:rFonts w:ascii="Times New Roman" w:hAnsi="Times New Roman" w:cs="Times New Roman"/>
                <w:bCs/>
                <w:sz w:val="26"/>
                <w:szCs w:val="26"/>
                <w:lang w:val="vi-VN"/>
              </w:rPr>
              <w:t xml:space="preserve">Ngân hàng TMCP Quân </w:t>
            </w:r>
            <w:r w:rsidR="00CA42EC" w:rsidRPr="00A90E6A">
              <w:rPr>
                <w:rFonts w:ascii="Times New Roman" w:hAnsi="Times New Roman" w:cs="Times New Roman"/>
                <w:bCs/>
                <w:sz w:val="26"/>
                <w:szCs w:val="26"/>
                <w:lang w:val="vi-VN"/>
              </w:rPr>
              <w:t>đ</w:t>
            </w:r>
            <w:r w:rsidRPr="00A90E6A">
              <w:rPr>
                <w:rFonts w:ascii="Times New Roman" w:hAnsi="Times New Roman" w:cs="Times New Roman"/>
                <w:bCs/>
                <w:sz w:val="26"/>
                <w:szCs w:val="26"/>
                <w:lang w:val="vi-VN"/>
              </w:rPr>
              <w:t>ội</w:t>
            </w:r>
          </w:p>
        </w:tc>
      </w:tr>
      <w:tr w:rsidR="00B80057" w:rsidRPr="00A33AD7" w14:paraId="0EB99653"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312E8D9C" w14:textId="77777777" w:rsidR="00B80057" w:rsidRPr="00A90E6A" w:rsidRDefault="00B80057" w:rsidP="006F4288">
            <w:pPr>
              <w:spacing w:line="360" w:lineRule="auto"/>
              <w:jc w:val="center"/>
              <w:rPr>
                <w:rFonts w:ascii="Times New Roman" w:hAnsi="Times New Roman" w:cs="Times New Roman"/>
                <w:b/>
                <w:sz w:val="26"/>
                <w:szCs w:val="26"/>
              </w:rPr>
            </w:pPr>
            <w:r w:rsidRPr="00A90E6A">
              <w:rPr>
                <w:rFonts w:ascii="Times New Roman" w:hAnsi="Times New Roman" w:cs="Times New Roman"/>
                <w:b/>
                <w:sz w:val="26"/>
                <w:szCs w:val="26"/>
              </w:rPr>
              <w:t>2</w:t>
            </w:r>
          </w:p>
        </w:tc>
        <w:tc>
          <w:tcPr>
            <w:tcW w:w="1455" w:type="pct"/>
            <w:tcBorders>
              <w:top w:val="single" w:sz="4" w:space="0" w:color="000000"/>
              <w:left w:val="single" w:sz="4" w:space="0" w:color="000000"/>
              <w:bottom w:val="single" w:sz="4" w:space="0" w:color="000000"/>
              <w:right w:val="single" w:sz="4" w:space="0" w:color="000000"/>
            </w:tcBorders>
            <w:vAlign w:val="center"/>
          </w:tcPr>
          <w:p w14:paraId="61FB705D" w14:textId="77777777" w:rsidR="00B80057" w:rsidRPr="00A90E6A" w:rsidRDefault="00B80057" w:rsidP="00E33809">
            <w:pPr>
              <w:spacing w:line="360" w:lineRule="auto"/>
              <w:rPr>
                <w:rFonts w:ascii="Times New Roman" w:hAnsi="Times New Roman" w:cs="Times New Roman"/>
                <w:bCs/>
                <w:sz w:val="26"/>
                <w:szCs w:val="26"/>
                <w:lang w:val="vi-VN"/>
              </w:rPr>
            </w:pPr>
            <w:r w:rsidRPr="00A90E6A">
              <w:rPr>
                <w:rFonts w:ascii="Times New Roman" w:hAnsi="Times New Roman" w:cs="Times New Roman"/>
                <w:bCs/>
                <w:sz w:val="26"/>
                <w:szCs w:val="26"/>
                <w:lang w:val="vi-VN"/>
              </w:rPr>
              <w:t>MB Đà Nẵng</w:t>
            </w:r>
          </w:p>
        </w:tc>
        <w:tc>
          <w:tcPr>
            <w:tcW w:w="3134" w:type="pct"/>
            <w:tcBorders>
              <w:top w:val="single" w:sz="4" w:space="0" w:color="000000"/>
              <w:left w:val="single" w:sz="4" w:space="0" w:color="000000"/>
              <w:bottom w:val="single" w:sz="4" w:space="0" w:color="000000"/>
              <w:right w:val="single" w:sz="4" w:space="0" w:color="000000"/>
            </w:tcBorders>
            <w:vAlign w:val="center"/>
          </w:tcPr>
          <w:p w14:paraId="06127FB2" w14:textId="69D19B48" w:rsidR="00B80057" w:rsidRPr="00A90E6A" w:rsidRDefault="00B80057" w:rsidP="00E33809">
            <w:pPr>
              <w:spacing w:line="360" w:lineRule="auto"/>
              <w:rPr>
                <w:rFonts w:ascii="Times New Roman" w:hAnsi="Times New Roman" w:cs="Times New Roman"/>
                <w:bCs/>
                <w:sz w:val="26"/>
                <w:szCs w:val="26"/>
                <w:lang w:val="vi-VN"/>
              </w:rPr>
            </w:pPr>
            <w:r w:rsidRPr="00A90E6A">
              <w:rPr>
                <w:rFonts w:ascii="Times New Roman" w:hAnsi="Times New Roman" w:cs="Times New Roman"/>
                <w:bCs/>
                <w:sz w:val="26"/>
                <w:szCs w:val="26"/>
                <w:lang w:val="vi-VN"/>
              </w:rPr>
              <w:t xml:space="preserve">Ngân hàng TMCP Quân </w:t>
            </w:r>
            <w:r w:rsidR="00CA42EC" w:rsidRPr="00A90E6A">
              <w:rPr>
                <w:rFonts w:ascii="Times New Roman" w:hAnsi="Times New Roman" w:cs="Times New Roman"/>
                <w:bCs/>
                <w:sz w:val="26"/>
                <w:szCs w:val="26"/>
                <w:lang w:val="vi-VN"/>
              </w:rPr>
              <w:t>đ</w:t>
            </w:r>
            <w:r w:rsidRPr="00A90E6A">
              <w:rPr>
                <w:rFonts w:ascii="Times New Roman" w:hAnsi="Times New Roman" w:cs="Times New Roman"/>
                <w:bCs/>
                <w:sz w:val="26"/>
                <w:szCs w:val="26"/>
                <w:lang w:val="vi-VN"/>
              </w:rPr>
              <w:t>ội – Chi nhánh Đà Nẵng</w:t>
            </w:r>
          </w:p>
        </w:tc>
      </w:tr>
      <w:tr w:rsidR="00401A6F" w:rsidRPr="00A90E6A" w14:paraId="40E3450E"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0C8ACA6" w14:textId="47E8C653" w:rsidR="00401A6F" w:rsidRPr="00A90E6A" w:rsidRDefault="00D709E2" w:rsidP="006F4288">
            <w:pPr>
              <w:spacing w:line="360" w:lineRule="auto"/>
              <w:jc w:val="center"/>
              <w:rPr>
                <w:rFonts w:ascii="Times New Roman" w:hAnsi="Times New Roman" w:cs="Times New Roman"/>
                <w:b/>
                <w:sz w:val="26"/>
                <w:szCs w:val="26"/>
                <w:lang w:val="vi-VN"/>
              </w:rPr>
            </w:pPr>
            <w:r w:rsidRPr="00A90E6A">
              <w:rPr>
                <w:rFonts w:ascii="Times New Roman" w:hAnsi="Times New Roman" w:cs="Times New Roman"/>
                <w:b/>
                <w:sz w:val="26"/>
                <w:szCs w:val="26"/>
                <w:lang w:val="vi-VN"/>
              </w:rPr>
              <w:t>3</w:t>
            </w:r>
          </w:p>
        </w:tc>
        <w:tc>
          <w:tcPr>
            <w:tcW w:w="1455" w:type="pct"/>
            <w:tcBorders>
              <w:top w:val="single" w:sz="4" w:space="0" w:color="000000"/>
              <w:left w:val="single" w:sz="4" w:space="0" w:color="000000"/>
              <w:bottom w:val="single" w:sz="4" w:space="0" w:color="000000"/>
              <w:right w:val="single" w:sz="4" w:space="0" w:color="000000"/>
            </w:tcBorders>
            <w:vAlign w:val="center"/>
            <w:hideMark/>
          </w:tcPr>
          <w:p w14:paraId="2D93FC27" w14:textId="7E5D4F57"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GTCG</w:t>
            </w:r>
          </w:p>
        </w:tc>
        <w:tc>
          <w:tcPr>
            <w:tcW w:w="3134" w:type="pct"/>
            <w:tcBorders>
              <w:top w:val="single" w:sz="4" w:space="0" w:color="000000"/>
              <w:left w:val="single" w:sz="4" w:space="0" w:color="000000"/>
              <w:bottom w:val="single" w:sz="4" w:space="0" w:color="000000"/>
              <w:right w:val="single" w:sz="4" w:space="0" w:color="000000"/>
            </w:tcBorders>
            <w:vAlign w:val="center"/>
            <w:hideMark/>
          </w:tcPr>
          <w:p w14:paraId="213D1F37" w14:textId="5DF752A6"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Giấy tờ có giá</w:t>
            </w:r>
          </w:p>
        </w:tc>
      </w:tr>
      <w:tr w:rsidR="00401A6F" w:rsidRPr="00A90E6A" w14:paraId="4A145881"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9DCF187" w14:textId="3E311E63" w:rsidR="00401A6F" w:rsidRPr="00A90E6A" w:rsidRDefault="00D709E2" w:rsidP="006F4288">
            <w:pPr>
              <w:spacing w:line="360" w:lineRule="auto"/>
              <w:jc w:val="center"/>
              <w:rPr>
                <w:rFonts w:ascii="Times New Roman" w:hAnsi="Times New Roman" w:cs="Times New Roman"/>
                <w:b/>
                <w:sz w:val="26"/>
                <w:szCs w:val="26"/>
                <w:lang w:val="vi-VN"/>
              </w:rPr>
            </w:pPr>
            <w:r w:rsidRPr="00A90E6A">
              <w:rPr>
                <w:rFonts w:ascii="Times New Roman" w:hAnsi="Times New Roman" w:cs="Times New Roman"/>
                <w:b/>
                <w:sz w:val="26"/>
                <w:szCs w:val="26"/>
                <w:lang w:val="vi-VN"/>
              </w:rPr>
              <w:t>4</w:t>
            </w:r>
          </w:p>
        </w:tc>
        <w:tc>
          <w:tcPr>
            <w:tcW w:w="1455" w:type="pct"/>
            <w:tcBorders>
              <w:top w:val="single" w:sz="4" w:space="0" w:color="000000"/>
              <w:left w:val="single" w:sz="4" w:space="0" w:color="000000"/>
              <w:bottom w:val="single" w:sz="4" w:space="0" w:color="000000"/>
              <w:right w:val="single" w:sz="4" w:space="0" w:color="000000"/>
            </w:tcBorders>
            <w:vAlign w:val="center"/>
          </w:tcPr>
          <w:p w14:paraId="5C2ABC7B" w14:textId="28A26A18"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SXKD</w:t>
            </w:r>
            <w:r w:rsidRPr="00A90E6A">
              <w:rPr>
                <w:rFonts w:ascii="Times New Roman" w:hAnsi="Times New Roman" w:cs="Times New Roman"/>
                <w:bCs/>
                <w:sz w:val="26"/>
                <w:szCs w:val="26"/>
                <w:lang w:val="vi-VN"/>
              </w:rPr>
              <w:t xml:space="preserve"> đối với KHCN</w:t>
            </w:r>
          </w:p>
        </w:tc>
        <w:tc>
          <w:tcPr>
            <w:tcW w:w="3134" w:type="pct"/>
            <w:tcBorders>
              <w:top w:val="single" w:sz="4" w:space="0" w:color="000000"/>
              <w:left w:val="single" w:sz="4" w:space="0" w:color="000000"/>
              <w:bottom w:val="single" w:sz="4" w:space="0" w:color="000000"/>
              <w:right w:val="single" w:sz="4" w:space="0" w:color="000000"/>
            </w:tcBorders>
            <w:vAlign w:val="center"/>
          </w:tcPr>
          <w:p w14:paraId="6E8D9EDC" w14:textId="4508B80E"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lang w:val="vi-VN"/>
              </w:rPr>
              <w:t>Sản xuất kinh doanh đối với khách hàng cá nhân</w:t>
            </w:r>
          </w:p>
        </w:tc>
      </w:tr>
      <w:tr w:rsidR="00401A6F" w:rsidRPr="00A90E6A" w14:paraId="2FB4EE26"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9942D00" w14:textId="179673F2" w:rsidR="00401A6F" w:rsidRPr="00A90E6A" w:rsidRDefault="00D709E2" w:rsidP="006F4288">
            <w:pPr>
              <w:spacing w:line="360" w:lineRule="auto"/>
              <w:jc w:val="center"/>
              <w:rPr>
                <w:rFonts w:ascii="Times New Roman" w:hAnsi="Times New Roman" w:cs="Times New Roman"/>
                <w:b/>
                <w:sz w:val="26"/>
                <w:szCs w:val="26"/>
                <w:lang w:val="vi-VN"/>
              </w:rPr>
            </w:pPr>
            <w:r w:rsidRPr="00A90E6A">
              <w:rPr>
                <w:rFonts w:ascii="Times New Roman" w:hAnsi="Times New Roman" w:cs="Times New Roman"/>
                <w:b/>
                <w:sz w:val="26"/>
                <w:szCs w:val="26"/>
                <w:lang w:val="vi-VN"/>
              </w:rPr>
              <w:t>5</w:t>
            </w:r>
          </w:p>
        </w:tc>
        <w:tc>
          <w:tcPr>
            <w:tcW w:w="1455" w:type="pct"/>
            <w:tcBorders>
              <w:top w:val="single" w:sz="4" w:space="0" w:color="000000"/>
              <w:left w:val="single" w:sz="4" w:space="0" w:color="000000"/>
              <w:bottom w:val="single" w:sz="4" w:space="0" w:color="000000"/>
              <w:right w:val="single" w:sz="4" w:space="0" w:color="000000"/>
            </w:tcBorders>
            <w:vAlign w:val="center"/>
            <w:hideMark/>
          </w:tcPr>
          <w:p w14:paraId="148F0E34" w14:textId="7CCDD5E9" w:rsidR="00401A6F" w:rsidRPr="00A90E6A" w:rsidRDefault="00401A6F" w:rsidP="00E33809">
            <w:pPr>
              <w:spacing w:line="360" w:lineRule="auto"/>
              <w:rPr>
                <w:rFonts w:ascii="Times New Roman" w:hAnsi="Times New Roman" w:cs="Times New Roman"/>
                <w:bCs/>
                <w:sz w:val="26"/>
                <w:szCs w:val="26"/>
                <w:lang w:val="vi-VN"/>
              </w:rPr>
            </w:pPr>
            <w:r w:rsidRPr="00A90E6A">
              <w:rPr>
                <w:rFonts w:ascii="Times New Roman" w:hAnsi="Times New Roman" w:cs="Times New Roman"/>
                <w:bCs/>
                <w:sz w:val="26"/>
                <w:szCs w:val="26"/>
              </w:rPr>
              <w:t>KHCN</w:t>
            </w:r>
          </w:p>
        </w:tc>
        <w:tc>
          <w:tcPr>
            <w:tcW w:w="3134" w:type="pct"/>
            <w:tcBorders>
              <w:top w:val="single" w:sz="4" w:space="0" w:color="000000"/>
              <w:left w:val="single" w:sz="4" w:space="0" w:color="000000"/>
              <w:bottom w:val="single" w:sz="4" w:space="0" w:color="000000"/>
              <w:right w:val="single" w:sz="4" w:space="0" w:color="000000"/>
            </w:tcBorders>
            <w:vAlign w:val="center"/>
            <w:hideMark/>
          </w:tcPr>
          <w:p w14:paraId="4F209304" w14:textId="78A444C3" w:rsidR="00401A6F" w:rsidRPr="00A90E6A" w:rsidRDefault="00401A6F" w:rsidP="00E33809">
            <w:pPr>
              <w:spacing w:line="360" w:lineRule="auto"/>
              <w:rPr>
                <w:rFonts w:ascii="Times New Roman" w:hAnsi="Times New Roman" w:cs="Times New Roman"/>
                <w:bCs/>
                <w:sz w:val="26"/>
                <w:szCs w:val="26"/>
                <w:lang w:val="vi-VN"/>
              </w:rPr>
            </w:pPr>
            <w:r w:rsidRPr="00A90E6A">
              <w:rPr>
                <w:rFonts w:ascii="Times New Roman" w:hAnsi="Times New Roman" w:cs="Times New Roman"/>
                <w:bCs/>
                <w:sz w:val="26"/>
                <w:szCs w:val="26"/>
              </w:rPr>
              <w:t>Khách hàng cá nhân</w:t>
            </w:r>
          </w:p>
        </w:tc>
      </w:tr>
      <w:tr w:rsidR="00401A6F" w:rsidRPr="00A90E6A" w14:paraId="2A2DA3B7"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4B20FEA5" w14:textId="4DE23518" w:rsidR="00D709E2" w:rsidRPr="00A90E6A" w:rsidRDefault="00D709E2" w:rsidP="006F4288">
            <w:pPr>
              <w:spacing w:line="360" w:lineRule="auto"/>
              <w:jc w:val="center"/>
              <w:rPr>
                <w:rFonts w:ascii="Times New Roman" w:hAnsi="Times New Roman" w:cs="Times New Roman"/>
                <w:b/>
                <w:sz w:val="26"/>
                <w:szCs w:val="26"/>
                <w:lang w:val="vi-VN"/>
              </w:rPr>
            </w:pPr>
            <w:r w:rsidRPr="00A90E6A">
              <w:rPr>
                <w:rFonts w:ascii="Times New Roman" w:hAnsi="Times New Roman" w:cs="Times New Roman"/>
                <w:b/>
                <w:sz w:val="26"/>
                <w:szCs w:val="26"/>
                <w:lang w:val="vi-VN"/>
              </w:rPr>
              <w:t>6</w:t>
            </w:r>
          </w:p>
        </w:tc>
        <w:tc>
          <w:tcPr>
            <w:tcW w:w="1455" w:type="pct"/>
            <w:tcBorders>
              <w:top w:val="single" w:sz="4" w:space="0" w:color="000000"/>
              <w:left w:val="single" w:sz="4" w:space="0" w:color="000000"/>
              <w:bottom w:val="single" w:sz="4" w:space="0" w:color="000000"/>
              <w:right w:val="single" w:sz="4" w:space="0" w:color="000000"/>
            </w:tcBorders>
            <w:vAlign w:val="center"/>
          </w:tcPr>
          <w:p w14:paraId="4BD5EDC9" w14:textId="43F91433"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KHDN</w:t>
            </w:r>
          </w:p>
        </w:tc>
        <w:tc>
          <w:tcPr>
            <w:tcW w:w="3134" w:type="pct"/>
            <w:tcBorders>
              <w:top w:val="single" w:sz="4" w:space="0" w:color="000000"/>
              <w:left w:val="single" w:sz="4" w:space="0" w:color="000000"/>
              <w:bottom w:val="single" w:sz="4" w:space="0" w:color="000000"/>
              <w:right w:val="single" w:sz="4" w:space="0" w:color="000000"/>
            </w:tcBorders>
            <w:vAlign w:val="center"/>
          </w:tcPr>
          <w:p w14:paraId="69101CCC" w14:textId="2A141EA5"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Khách hàng doanh nghiệp</w:t>
            </w:r>
          </w:p>
        </w:tc>
      </w:tr>
      <w:tr w:rsidR="00401A6F" w:rsidRPr="00A90E6A" w14:paraId="38343605"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33EE62A5" w14:textId="5C88DA5E" w:rsidR="00401A6F" w:rsidRPr="00A90E6A" w:rsidRDefault="00D709E2" w:rsidP="006F4288">
            <w:pPr>
              <w:spacing w:line="360" w:lineRule="auto"/>
              <w:jc w:val="center"/>
              <w:rPr>
                <w:rFonts w:ascii="Times New Roman" w:hAnsi="Times New Roman" w:cs="Times New Roman"/>
                <w:b/>
                <w:sz w:val="26"/>
                <w:szCs w:val="26"/>
                <w:lang w:val="vi-VN"/>
              </w:rPr>
            </w:pPr>
            <w:r w:rsidRPr="00A90E6A">
              <w:rPr>
                <w:rFonts w:ascii="Times New Roman" w:hAnsi="Times New Roman" w:cs="Times New Roman"/>
                <w:b/>
                <w:sz w:val="26"/>
                <w:szCs w:val="26"/>
                <w:lang w:val="vi-VN"/>
              </w:rPr>
              <w:t>7</w:t>
            </w:r>
          </w:p>
        </w:tc>
        <w:tc>
          <w:tcPr>
            <w:tcW w:w="1455" w:type="pct"/>
            <w:tcBorders>
              <w:top w:val="single" w:sz="4" w:space="0" w:color="000000"/>
              <w:left w:val="single" w:sz="4" w:space="0" w:color="000000"/>
              <w:bottom w:val="single" w:sz="4" w:space="0" w:color="000000"/>
              <w:right w:val="single" w:sz="4" w:space="0" w:color="000000"/>
            </w:tcBorders>
            <w:vAlign w:val="center"/>
            <w:hideMark/>
          </w:tcPr>
          <w:p w14:paraId="5B4B3280" w14:textId="25EFA334"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NHNN</w:t>
            </w:r>
          </w:p>
        </w:tc>
        <w:tc>
          <w:tcPr>
            <w:tcW w:w="3134" w:type="pct"/>
            <w:tcBorders>
              <w:top w:val="single" w:sz="4" w:space="0" w:color="000000"/>
              <w:left w:val="single" w:sz="4" w:space="0" w:color="000000"/>
              <w:bottom w:val="single" w:sz="4" w:space="0" w:color="000000"/>
              <w:right w:val="single" w:sz="4" w:space="0" w:color="000000"/>
            </w:tcBorders>
            <w:vAlign w:val="center"/>
            <w:hideMark/>
          </w:tcPr>
          <w:p w14:paraId="6EDD3B2E" w14:textId="5253740E"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Ngân hàng Nhà nước</w:t>
            </w:r>
          </w:p>
        </w:tc>
      </w:tr>
      <w:tr w:rsidR="00401A6F" w:rsidRPr="00A90E6A" w14:paraId="1E604A83"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46091D48" w14:textId="3CF15C81" w:rsidR="00401A6F" w:rsidRPr="00A90E6A" w:rsidRDefault="00D709E2" w:rsidP="006F4288">
            <w:pPr>
              <w:spacing w:line="360" w:lineRule="auto"/>
              <w:jc w:val="center"/>
              <w:rPr>
                <w:rFonts w:ascii="Times New Roman" w:hAnsi="Times New Roman" w:cs="Times New Roman"/>
                <w:b/>
                <w:sz w:val="26"/>
                <w:szCs w:val="26"/>
                <w:lang w:val="vi-VN"/>
              </w:rPr>
            </w:pPr>
            <w:r w:rsidRPr="00A90E6A">
              <w:rPr>
                <w:rFonts w:ascii="Times New Roman" w:hAnsi="Times New Roman" w:cs="Times New Roman"/>
                <w:b/>
                <w:sz w:val="26"/>
                <w:szCs w:val="26"/>
                <w:lang w:val="vi-VN"/>
              </w:rPr>
              <w:t>8</w:t>
            </w:r>
          </w:p>
        </w:tc>
        <w:tc>
          <w:tcPr>
            <w:tcW w:w="1455" w:type="pct"/>
            <w:tcBorders>
              <w:top w:val="single" w:sz="4" w:space="0" w:color="000000"/>
              <w:left w:val="single" w:sz="4" w:space="0" w:color="000000"/>
              <w:bottom w:val="single" w:sz="4" w:space="0" w:color="000000"/>
              <w:right w:val="single" w:sz="4" w:space="0" w:color="000000"/>
            </w:tcBorders>
            <w:vAlign w:val="center"/>
            <w:hideMark/>
          </w:tcPr>
          <w:p w14:paraId="66B52739" w14:textId="3F702756"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PGD</w:t>
            </w:r>
          </w:p>
        </w:tc>
        <w:tc>
          <w:tcPr>
            <w:tcW w:w="3134" w:type="pct"/>
            <w:tcBorders>
              <w:top w:val="single" w:sz="4" w:space="0" w:color="000000"/>
              <w:left w:val="single" w:sz="4" w:space="0" w:color="000000"/>
              <w:bottom w:val="single" w:sz="4" w:space="0" w:color="000000"/>
              <w:right w:val="single" w:sz="4" w:space="0" w:color="000000"/>
            </w:tcBorders>
            <w:vAlign w:val="center"/>
            <w:hideMark/>
          </w:tcPr>
          <w:p w14:paraId="4EAEAE44" w14:textId="7AE99871"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Phòng giao dịch</w:t>
            </w:r>
          </w:p>
        </w:tc>
      </w:tr>
      <w:tr w:rsidR="00401A6F" w:rsidRPr="00A90E6A" w14:paraId="775690FE"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F1734F7" w14:textId="278F6982" w:rsidR="00401A6F" w:rsidRPr="00A90E6A" w:rsidRDefault="00D709E2" w:rsidP="006F4288">
            <w:pPr>
              <w:spacing w:line="360" w:lineRule="auto"/>
              <w:jc w:val="center"/>
              <w:rPr>
                <w:rFonts w:ascii="Times New Roman" w:hAnsi="Times New Roman" w:cs="Times New Roman"/>
                <w:b/>
                <w:sz w:val="26"/>
                <w:szCs w:val="26"/>
                <w:lang w:val="vi-VN"/>
              </w:rPr>
            </w:pPr>
            <w:r w:rsidRPr="00A90E6A">
              <w:rPr>
                <w:rFonts w:ascii="Times New Roman" w:hAnsi="Times New Roman" w:cs="Times New Roman"/>
                <w:b/>
                <w:sz w:val="26"/>
                <w:szCs w:val="26"/>
                <w:lang w:val="vi-VN"/>
              </w:rPr>
              <w:t>9</w:t>
            </w:r>
          </w:p>
        </w:tc>
        <w:tc>
          <w:tcPr>
            <w:tcW w:w="1455" w:type="pct"/>
            <w:tcBorders>
              <w:top w:val="single" w:sz="4" w:space="0" w:color="000000"/>
              <w:left w:val="single" w:sz="4" w:space="0" w:color="000000"/>
              <w:bottom w:val="single" w:sz="4" w:space="0" w:color="000000"/>
              <w:right w:val="single" w:sz="4" w:space="0" w:color="000000"/>
            </w:tcBorders>
            <w:vAlign w:val="center"/>
            <w:hideMark/>
          </w:tcPr>
          <w:p w14:paraId="6857DC77" w14:textId="22B0CA24"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RM</w:t>
            </w:r>
          </w:p>
        </w:tc>
        <w:tc>
          <w:tcPr>
            <w:tcW w:w="3134" w:type="pct"/>
            <w:tcBorders>
              <w:top w:val="single" w:sz="4" w:space="0" w:color="000000"/>
              <w:left w:val="single" w:sz="4" w:space="0" w:color="000000"/>
              <w:bottom w:val="single" w:sz="4" w:space="0" w:color="000000"/>
              <w:right w:val="single" w:sz="4" w:space="0" w:color="000000"/>
            </w:tcBorders>
            <w:vAlign w:val="center"/>
            <w:hideMark/>
          </w:tcPr>
          <w:p w14:paraId="0DB1C170" w14:textId="1C237DFF"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Chuyên</w:t>
            </w:r>
            <w:r w:rsidRPr="00A90E6A">
              <w:rPr>
                <w:rFonts w:ascii="Times New Roman" w:hAnsi="Times New Roman" w:cs="Times New Roman"/>
                <w:bCs/>
                <w:sz w:val="26"/>
                <w:szCs w:val="26"/>
                <w:lang w:val="vi-VN"/>
              </w:rPr>
              <w:t xml:space="preserve"> viên </w:t>
            </w:r>
            <w:r w:rsidRPr="00A90E6A">
              <w:rPr>
                <w:rFonts w:ascii="Times New Roman" w:hAnsi="Times New Roman" w:cs="Times New Roman"/>
                <w:bCs/>
                <w:sz w:val="26"/>
                <w:szCs w:val="26"/>
              </w:rPr>
              <w:t>Quan hệ Khách hàng</w:t>
            </w:r>
          </w:p>
        </w:tc>
      </w:tr>
      <w:tr w:rsidR="00401A6F" w:rsidRPr="00A90E6A" w14:paraId="7DDD7007"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65506C49" w14:textId="1017A8E3" w:rsidR="00401A6F" w:rsidRPr="001071A8" w:rsidRDefault="001071A8" w:rsidP="006F4288">
            <w:pPr>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10</w:t>
            </w:r>
          </w:p>
        </w:tc>
        <w:tc>
          <w:tcPr>
            <w:tcW w:w="1455" w:type="pct"/>
            <w:tcBorders>
              <w:top w:val="single" w:sz="4" w:space="0" w:color="000000"/>
              <w:left w:val="single" w:sz="4" w:space="0" w:color="000000"/>
              <w:bottom w:val="single" w:sz="4" w:space="0" w:color="000000"/>
              <w:right w:val="single" w:sz="4" w:space="0" w:color="000000"/>
            </w:tcBorders>
            <w:vAlign w:val="center"/>
            <w:hideMark/>
          </w:tcPr>
          <w:p w14:paraId="595723E1" w14:textId="4AFB3095"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SXKD</w:t>
            </w:r>
          </w:p>
        </w:tc>
        <w:tc>
          <w:tcPr>
            <w:tcW w:w="3134" w:type="pct"/>
            <w:tcBorders>
              <w:top w:val="single" w:sz="4" w:space="0" w:color="000000"/>
              <w:left w:val="single" w:sz="4" w:space="0" w:color="000000"/>
              <w:bottom w:val="single" w:sz="4" w:space="0" w:color="000000"/>
              <w:right w:val="single" w:sz="4" w:space="0" w:color="000000"/>
            </w:tcBorders>
            <w:vAlign w:val="center"/>
            <w:hideMark/>
          </w:tcPr>
          <w:p w14:paraId="7F085623" w14:textId="5435A366"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Sản xuất kinh doanh</w:t>
            </w:r>
          </w:p>
        </w:tc>
      </w:tr>
      <w:tr w:rsidR="00401A6F" w:rsidRPr="00A90E6A" w14:paraId="17CBDE2F"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331FAB5D" w14:textId="7C21BEAC" w:rsidR="00401A6F" w:rsidRPr="001071A8" w:rsidRDefault="001071A8" w:rsidP="006F4288">
            <w:pPr>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11</w:t>
            </w:r>
          </w:p>
        </w:tc>
        <w:tc>
          <w:tcPr>
            <w:tcW w:w="1455" w:type="pct"/>
            <w:tcBorders>
              <w:top w:val="single" w:sz="4" w:space="0" w:color="000000"/>
              <w:left w:val="single" w:sz="4" w:space="0" w:color="000000"/>
              <w:bottom w:val="single" w:sz="4" w:space="0" w:color="000000"/>
              <w:right w:val="single" w:sz="4" w:space="0" w:color="000000"/>
            </w:tcBorders>
            <w:vAlign w:val="center"/>
          </w:tcPr>
          <w:p w14:paraId="60FDDB23" w14:textId="59D6C189"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TCTD</w:t>
            </w:r>
          </w:p>
        </w:tc>
        <w:tc>
          <w:tcPr>
            <w:tcW w:w="3134" w:type="pct"/>
            <w:tcBorders>
              <w:top w:val="single" w:sz="4" w:space="0" w:color="000000"/>
              <w:left w:val="single" w:sz="4" w:space="0" w:color="000000"/>
              <w:bottom w:val="single" w:sz="4" w:space="0" w:color="000000"/>
              <w:right w:val="single" w:sz="4" w:space="0" w:color="000000"/>
            </w:tcBorders>
            <w:vAlign w:val="center"/>
          </w:tcPr>
          <w:p w14:paraId="05CCAB14" w14:textId="7F8E5ACC"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Tổ chức tín dụng</w:t>
            </w:r>
          </w:p>
        </w:tc>
      </w:tr>
      <w:tr w:rsidR="00401A6F" w:rsidRPr="00A90E6A" w14:paraId="4229BB12"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0317623B" w14:textId="4DB7D645" w:rsidR="00401A6F" w:rsidRPr="001071A8" w:rsidRDefault="001071A8" w:rsidP="006F4288">
            <w:pPr>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12</w:t>
            </w:r>
          </w:p>
        </w:tc>
        <w:tc>
          <w:tcPr>
            <w:tcW w:w="1455" w:type="pct"/>
            <w:tcBorders>
              <w:top w:val="single" w:sz="4" w:space="0" w:color="000000"/>
              <w:left w:val="single" w:sz="4" w:space="0" w:color="000000"/>
              <w:bottom w:val="single" w:sz="4" w:space="0" w:color="000000"/>
              <w:right w:val="single" w:sz="4" w:space="0" w:color="000000"/>
            </w:tcBorders>
            <w:vAlign w:val="center"/>
            <w:hideMark/>
          </w:tcPr>
          <w:p w14:paraId="33202AE8" w14:textId="77B897FB"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TMCP</w:t>
            </w:r>
          </w:p>
        </w:tc>
        <w:tc>
          <w:tcPr>
            <w:tcW w:w="3134" w:type="pct"/>
            <w:tcBorders>
              <w:top w:val="single" w:sz="4" w:space="0" w:color="000000"/>
              <w:left w:val="single" w:sz="4" w:space="0" w:color="000000"/>
              <w:bottom w:val="single" w:sz="4" w:space="0" w:color="000000"/>
              <w:right w:val="single" w:sz="4" w:space="0" w:color="000000"/>
            </w:tcBorders>
            <w:vAlign w:val="center"/>
            <w:hideMark/>
          </w:tcPr>
          <w:p w14:paraId="741AC5F8" w14:textId="71CB8D66"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Thương mại cổ phần</w:t>
            </w:r>
          </w:p>
        </w:tc>
      </w:tr>
      <w:tr w:rsidR="00401A6F" w:rsidRPr="00A90E6A" w14:paraId="0A5F45A4"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55FA84AB" w14:textId="33814F9F" w:rsidR="00401A6F" w:rsidRPr="001071A8" w:rsidRDefault="001071A8" w:rsidP="006F4288">
            <w:pPr>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13</w:t>
            </w:r>
          </w:p>
        </w:tc>
        <w:tc>
          <w:tcPr>
            <w:tcW w:w="1455" w:type="pct"/>
            <w:tcBorders>
              <w:top w:val="single" w:sz="4" w:space="0" w:color="000000"/>
              <w:left w:val="single" w:sz="4" w:space="0" w:color="000000"/>
              <w:bottom w:val="single" w:sz="4" w:space="0" w:color="000000"/>
              <w:right w:val="single" w:sz="4" w:space="0" w:color="000000"/>
            </w:tcBorders>
            <w:vAlign w:val="center"/>
            <w:hideMark/>
          </w:tcPr>
          <w:p w14:paraId="06C079E1" w14:textId="43B2B0B5"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TSĐB</w:t>
            </w:r>
          </w:p>
        </w:tc>
        <w:tc>
          <w:tcPr>
            <w:tcW w:w="3134" w:type="pct"/>
            <w:tcBorders>
              <w:top w:val="single" w:sz="4" w:space="0" w:color="000000"/>
              <w:left w:val="single" w:sz="4" w:space="0" w:color="000000"/>
              <w:bottom w:val="single" w:sz="4" w:space="0" w:color="000000"/>
              <w:right w:val="single" w:sz="4" w:space="0" w:color="000000"/>
            </w:tcBorders>
            <w:vAlign w:val="center"/>
            <w:hideMark/>
          </w:tcPr>
          <w:p w14:paraId="2110537A" w14:textId="4CE0A69D" w:rsidR="00401A6F" w:rsidRPr="00A90E6A" w:rsidRDefault="00401A6F" w:rsidP="00E33809">
            <w:pPr>
              <w:spacing w:line="360" w:lineRule="auto"/>
              <w:rPr>
                <w:rFonts w:ascii="Times New Roman" w:hAnsi="Times New Roman" w:cs="Times New Roman"/>
                <w:bCs/>
                <w:sz w:val="26"/>
                <w:szCs w:val="26"/>
              </w:rPr>
            </w:pPr>
            <w:r w:rsidRPr="00A90E6A">
              <w:rPr>
                <w:rFonts w:ascii="Times New Roman" w:hAnsi="Times New Roman" w:cs="Times New Roman"/>
                <w:bCs/>
                <w:sz w:val="26"/>
                <w:szCs w:val="26"/>
              </w:rPr>
              <w:t>Tài sản đảm bảo</w:t>
            </w:r>
          </w:p>
        </w:tc>
      </w:tr>
      <w:tr w:rsidR="00F62E86" w:rsidRPr="00A90E6A" w14:paraId="4A6FE25D" w14:textId="77777777" w:rsidTr="00E33809">
        <w:trPr>
          <w:trHeight w:val="57"/>
          <w:jc w:val="center"/>
        </w:trPr>
        <w:tc>
          <w:tcPr>
            <w:tcW w:w="411" w:type="pct"/>
            <w:tcBorders>
              <w:top w:val="single" w:sz="4" w:space="0" w:color="000000"/>
              <w:left w:val="single" w:sz="4" w:space="0" w:color="000000"/>
              <w:bottom w:val="single" w:sz="4" w:space="0" w:color="000000"/>
              <w:right w:val="single" w:sz="4" w:space="0" w:color="000000"/>
            </w:tcBorders>
            <w:vAlign w:val="center"/>
          </w:tcPr>
          <w:p w14:paraId="225850EB" w14:textId="14AEFAEA" w:rsidR="00F62E86" w:rsidRPr="001071A8" w:rsidRDefault="001071A8" w:rsidP="006F4288">
            <w:pPr>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14</w:t>
            </w:r>
          </w:p>
        </w:tc>
        <w:tc>
          <w:tcPr>
            <w:tcW w:w="1455" w:type="pct"/>
            <w:tcBorders>
              <w:top w:val="single" w:sz="4" w:space="0" w:color="000000"/>
              <w:left w:val="single" w:sz="4" w:space="0" w:color="000000"/>
              <w:bottom w:val="single" w:sz="4" w:space="0" w:color="000000"/>
              <w:right w:val="single" w:sz="4" w:space="0" w:color="000000"/>
            </w:tcBorders>
            <w:vAlign w:val="center"/>
          </w:tcPr>
          <w:p w14:paraId="31251BAB" w14:textId="2B5B248C" w:rsidR="00F62E86" w:rsidRPr="00A90E6A" w:rsidRDefault="00F62E86" w:rsidP="00E33809">
            <w:pPr>
              <w:spacing w:line="360" w:lineRule="auto"/>
              <w:rPr>
                <w:rFonts w:ascii="Times New Roman" w:hAnsi="Times New Roman" w:cs="Times New Roman"/>
                <w:bCs/>
                <w:sz w:val="26"/>
                <w:szCs w:val="26"/>
                <w:lang w:val="vi-VN"/>
              </w:rPr>
            </w:pPr>
            <w:r w:rsidRPr="00A90E6A">
              <w:rPr>
                <w:rFonts w:ascii="Times New Roman" w:hAnsi="Times New Roman" w:cs="Times New Roman"/>
                <w:bCs/>
                <w:sz w:val="26"/>
                <w:szCs w:val="26"/>
              </w:rPr>
              <w:t>TSC</w:t>
            </w:r>
            <w:r w:rsidRPr="00A90E6A">
              <w:rPr>
                <w:rFonts w:ascii="Times New Roman" w:hAnsi="Times New Roman" w:cs="Times New Roman"/>
                <w:bCs/>
                <w:sz w:val="26"/>
                <w:szCs w:val="26"/>
                <w:lang w:val="vi-VN"/>
              </w:rPr>
              <w:t>Đ</w:t>
            </w:r>
          </w:p>
        </w:tc>
        <w:tc>
          <w:tcPr>
            <w:tcW w:w="3134" w:type="pct"/>
            <w:tcBorders>
              <w:top w:val="single" w:sz="4" w:space="0" w:color="000000"/>
              <w:left w:val="single" w:sz="4" w:space="0" w:color="000000"/>
              <w:bottom w:val="single" w:sz="4" w:space="0" w:color="000000"/>
              <w:right w:val="single" w:sz="4" w:space="0" w:color="000000"/>
            </w:tcBorders>
            <w:vAlign w:val="center"/>
          </w:tcPr>
          <w:p w14:paraId="77A32FDB" w14:textId="014F5BEF" w:rsidR="00F62E86" w:rsidRPr="00A90E6A" w:rsidRDefault="00F62E86" w:rsidP="00E33809">
            <w:pPr>
              <w:spacing w:line="360" w:lineRule="auto"/>
              <w:rPr>
                <w:rFonts w:ascii="Times New Roman" w:hAnsi="Times New Roman" w:cs="Times New Roman"/>
                <w:bCs/>
                <w:sz w:val="26"/>
                <w:szCs w:val="26"/>
                <w:lang w:val="vi-VN"/>
              </w:rPr>
            </w:pPr>
            <w:r w:rsidRPr="00A90E6A">
              <w:rPr>
                <w:rFonts w:ascii="Times New Roman" w:hAnsi="Times New Roman" w:cs="Times New Roman"/>
                <w:bCs/>
                <w:sz w:val="26"/>
                <w:szCs w:val="26"/>
              </w:rPr>
              <w:t>Tài</w:t>
            </w:r>
            <w:r w:rsidRPr="00A90E6A">
              <w:rPr>
                <w:rFonts w:ascii="Times New Roman" w:hAnsi="Times New Roman" w:cs="Times New Roman"/>
                <w:bCs/>
                <w:sz w:val="26"/>
                <w:szCs w:val="26"/>
                <w:lang w:val="vi-VN"/>
              </w:rPr>
              <w:t xml:space="preserve"> sản cố định</w:t>
            </w:r>
          </w:p>
        </w:tc>
      </w:tr>
    </w:tbl>
    <w:p w14:paraId="07D9DEDB" w14:textId="77777777" w:rsidR="00B11255" w:rsidRPr="00A90E6A" w:rsidRDefault="00B11255">
      <w:pPr>
        <w:rPr>
          <w:rFonts w:ascii="Times New Roman" w:hAnsi="Times New Roman" w:cs="Times New Roman"/>
          <w:b/>
          <w:bCs/>
          <w:color w:val="000000" w:themeColor="text1"/>
          <w:sz w:val="26"/>
          <w:szCs w:val="26"/>
          <w:lang w:val="vi-VN"/>
        </w:rPr>
      </w:pPr>
      <w:r w:rsidRPr="00A90E6A">
        <w:rPr>
          <w:rFonts w:ascii="Times New Roman" w:hAnsi="Times New Roman" w:cs="Times New Roman"/>
          <w:color w:val="000000" w:themeColor="text1"/>
          <w:sz w:val="26"/>
          <w:szCs w:val="26"/>
          <w:lang w:val="vi-VN"/>
        </w:rPr>
        <w:br w:type="page"/>
      </w:r>
    </w:p>
    <w:p w14:paraId="128B7309" w14:textId="3398CC14" w:rsidR="00B80057" w:rsidRPr="00A90E6A" w:rsidRDefault="00B80057" w:rsidP="00B80057">
      <w:pPr>
        <w:pStyle w:val="Heading1"/>
        <w:rPr>
          <w:color w:val="000000" w:themeColor="text1"/>
          <w:lang w:val="vi-VN"/>
        </w:rPr>
      </w:pPr>
      <w:bookmarkStart w:id="6" w:name="_Toc230962360"/>
      <w:r w:rsidRPr="00A90E6A">
        <w:rPr>
          <w:color w:val="000000" w:themeColor="text1"/>
          <w:lang w:val="vi-VN"/>
        </w:rPr>
        <w:lastRenderedPageBreak/>
        <w:t>LỜI MỞ ĐẦU</w:t>
      </w:r>
      <w:bookmarkEnd w:id="6"/>
    </w:p>
    <w:p w14:paraId="0AC8E715" w14:textId="77777777" w:rsidR="00B80057" w:rsidRPr="00A90E6A" w:rsidRDefault="00B80057" w:rsidP="00B80057">
      <w:pPr>
        <w:pStyle w:val="Heading2"/>
        <w:rPr>
          <w:color w:val="000000" w:themeColor="text1"/>
          <w:lang w:val="vi-VN"/>
        </w:rPr>
      </w:pPr>
      <w:bookmarkStart w:id="7" w:name="_Toc230962361"/>
      <w:r w:rsidRPr="00A90E6A">
        <w:rPr>
          <w:color w:val="000000" w:themeColor="text1"/>
          <w:lang w:val="vi-VN"/>
        </w:rPr>
        <w:t>1. Lý do chọn đề tài</w:t>
      </w:r>
      <w:bookmarkEnd w:id="7"/>
      <w:r w:rsidRPr="00A90E6A">
        <w:rPr>
          <w:color w:val="000000" w:themeColor="text1"/>
          <w:lang w:val="vi-VN"/>
        </w:rPr>
        <w:t xml:space="preserve"> </w:t>
      </w:r>
    </w:p>
    <w:p w14:paraId="5855B6B1"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bối cảnh nền kinh tế Việt Nam ngày càng hội nhập sâu rộng vào kinh tế khu vực và thế giới, hoạt động của hệ thống ngân hàng thương mại đóng vai trò hết sức quan trọng trong việc thúc đẩy tăng trưởng kinh tế, đặc biệt là trong việc cung ứng nguồn vốn cho các hoạt động sản xuất kinh doanh. Trong đó, cho vay đối với khách hàng cá nhân phục vụ mục đích sản xuất kinh doanh đang trở thành một trong những mảng hoạt động trọng tâm của các ngân hàng thương mại, bởi không chỉ góp phần đa dạng hóa danh mục tín dụng mà còn giúp khai thác hiệu quả phân khúc khách hàng tiềm năng, đặc biệt là các hộ kinh doanh cá thể, tiểu thương và các cá nhân khởi nghiệp.</w:t>
      </w:r>
    </w:p>
    <w:p w14:paraId="6B4E88A1"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những năm gần đây, cùng với sự phát triển mạnh mẽ của khu vực kinh tế tư nhân, nhu cầu vay vốn để phục vụ sản xuất kinh doanh của khách hàng cá nhân ngày càng gia tăng cả về quy mô lẫn số lượng. Điều này đặt ra yêu cầu đối với các ngân hàng thương mại phải không ngừng nâng cao chất lượng và hiệu quả hoạt động cho vay, nhằm vừa đáp ứng nhu cầu vốn của khách hàng, vừa đảm bảo an toàn tín dụng và tối đa hóa lợi nhuận. Tuy nhiên, hoạt động cho vay sản xuất kinh doanh đối với khách hàng cá nhân vẫn tiềm ẩn nhiều rủi ro do đặc thù thông tin tài chính chưa minh bạch, quy mô hoạt động nhỏ lẻ, khả năng quản lý tài chính còn hạn chế, từ đó ảnh hưởng đến hiệu quả cho vay của ngân hàng.</w:t>
      </w:r>
    </w:p>
    <w:p w14:paraId="3EDC6AA5"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Ngân hàng Thương mại Cổ phần Quân đội là một trong những ngân hàng có tốc độ phát triển nhanh và định hướng rõ ràng trong việc mở rộng tín dụng bán lẻ, đặc biệt là đối với khách hàng cá nhân. Tại Chi nhánh Đà Nẵng, hoạt động cho vay sản xuất kinh doanh đối với khách hàng cá nhân đã đạt được nhiều kết quả tích cực, góp phần đáng kể vào tăng trưởng dư nợ và lợi nhuận của chi nhánh. Tuy nhiên, bên cạnh những kết quả đạt được, hoạt động này vẫn còn tồn tại một số hạn chế như chất lượng tín dụng chưa đồng đều, quy trình cho vay còn một số điểm chưa tối ưu, công tác quản lý rủi ro còn gặp khó khăn, và hiệu quả sử dụng vốn chưa thực sự cao.</w:t>
      </w:r>
    </w:p>
    <w:p w14:paraId="28F413FC"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Xuất phát từ những vấn đề trên, việc nghiên cứu, đánh giá thực trạng và đề xuất các giải pháp nhằm nâng cao hiệu quả hoạt động cho vay sản xuất kinh doanh đối với khách hàng cá nhân tại Ngân hàng Thương mại Cổ phần Quân đội – Chi nhánh Đà Nẵng là hết sức cần thiết và có ý nghĩa cả về mặt lý luận lẫn thực tiễn. Chính vì vậy, đề tài “Giải pháp nâng cao hiệu quả hoạt động cho vay sản xuất kinh doanh đối với khách </w:t>
      </w:r>
      <w:r w:rsidRPr="00A90E6A">
        <w:rPr>
          <w:rFonts w:ascii="Times New Roman" w:hAnsi="Times New Roman" w:cs="Times New Roman"/>
          <w:color w:val="000000" w:themeColor="text1"/>
          <w:sz w:val="26"/>
          <w:szCs w:val="26"/>
          <w:lang w:val="vi-VN"/>
        </w:rPr>
        <w:lastRenderedPageBreak/>
        <w:t>hàng cá nhân tại Ngân hàng Thương mại Cổ phần Quân đội – Chi nhánh Đà Nẵng” được lựa chọn làm đề tài nghiên cứu cho khóa luận tốt nghiệp.</w:t>
      </w:r>
    </w:p>
    <w:p w14:paraId="36AF6E6F" w14:textId="77777777" w:rsidR="00B80057" w:rsidRPr="00A90E6A" w:rsidRDefault="00B80057" w:rsidP="00B80057">
      <w:pPr>
        <w:pStyle w:val="Heading2"/>
        <w:rPr>
          <w:color w:val="000000" w:themeColor="text1"/>
          <w:lang w:val="vi-VN"/>
        </w:rPr>
      </w:pPr>
      <w:bookmarkStart w:id="8" w:name="_Toc230962362"/>
      <w:r w:rsidRPr="00A90E6A">
        <w:rPr>
          <w:color w:val="000000" w:themeColor="text1"/>
          <w:lang w:val="vi-VN"/>
        </w:rPr>
        <w:t>2. Mục tiêu nghiên cứu</w:t>
      </w:r>
      <w:bookmarkEnd w:id="8"/>
      <w:r w:rsidRPr="00A90E6A">
        <w:rPr>
          <w:color w:val="000000" w:themeColor="text1"/>
          <w:lang w:val="vi-VN"/>
        </w:rPr>
        <w:t xml:space="preserve"> </w:t>
      </w:r>
    </w:p>
    <w:p w14:paraId="032C6188" w14:textId="77777777" w:rsidR="00B80057" w:rsidRPr="00A90E6A" w:rsidRDefault="00B80057" w:rsidP="00B80057">
      <w:pPr>
        <w:pStyle w:val="Heading3"/>
        <w:rPr>
          <w:i w:val="0"/>
          <w:iCs w:val="0"/>
          <w:color w:val="000000" w:themeColor="text1"/>
          <w:lang w:val="vi-VN"/>
        </w:rPr>
      </w:pPr>
      <w:bookmarkStart w:id="9" w:name="_Toc230962363"/>
      <w:r w:rsidRPr="00A90E6A">
        <w:rPr>
          <w:i w:val="0"/>
          <w:iCs w:val="0"/>
          <w:color w:val="000000" w:themeColor="text1"/>
          <w:lang w:val="vi-VN"/>
        </w:rPr>
        <w:t>2.1. Mục tiêu chung</w:t>
      </w:r>
      <w:bookmarkEnd w:id="9"/>
    </w:p>
    <w:p w14:paraId="58A663A4"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Nghiên cứu và đề xuất giải pháp nhằm nâng cao hiệu quả hoạt động cho vay sản xuất kinh doanh đối với khách hàng cá nhân tại Ngân hàng TMCP Quân đội – Chi nhánh Đà Nẵng.</w:t>
      </w:r>
    </w:p>
    <w:p w14:paraId="02495E21" w14:textId="77777777" w:rsidR="00B80057" w:rsidRPr="00A90E6A" w:rsidRDefault="00B80057" w:rsidP="00B80057">
      <w:pPr>
        <w:pStyle w:val="Heading3"/>
        <w:rPr>
          <w:i w:val="0"/>
          <w:iCs w:val="0"/>
          <w:color w:val="000000" w:themeColor="text1"/>
          <w:lang w:val="vi-VN"/>
        </w:rPr>
      </w:pPr>
      <w:bookmarkStart w:id="10" w:name="_Toc230962364"/>
      <w:r w:rsidRPr="00A90E6A">
        <w:rPr>
          <w:i w:val="0"/>
          <w:iCs w:val="0"/>
          <w:color w:val="000000" w:themeColor="text1"/>
          <w:lang w:val="vi-VN"/>
        </w:rPr>
        <w:t>2.2. Mục tiêu cụ thể</w:t>
      </w:r>
      <w:bookmarkEnd w:id="10"/>
    </w:p>
    <w:p w14:paraId="53ACD069"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Hệ thống hóa cơ sở lý luận về cho vay sản xuất kinh doanh đối với khách hàng cá nhân tại ngân hàng thương mại. </w:t>
      </w:r>
    </w:p>
    <w:p w14:paraId="27C41D5F"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Phân tích và đánh giá thực trạng hiệu quả hoạt động cho vay sản xuất kinh doanh đối với khách hàng cá nhân tại Ngân hàng TMCP Quân đội – Chi nhánh Đà Nẵng. </w:t>
      </w:r>
    </w:p>
    <w:p w14:paraId="29A78C19"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Xác định những kết quả đạt được, hạn chế và nguyên nhân trong hoạt động cho vay sản xuất kinh doanh tại chi nhánh. </w:t>
      </w:r>
    </w:p>
    <w:p w14:paraId="1BB6529B"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Đề xuất các giải pháp và kiến nghị nhằm nâng cao hiệu quả hoạt động cho vay sản xuất kinh doanh đối với khách hàng cá nhân tại ngân hàng.</w:t>
      </w:r>
    </w:p>
    <w:p w14:paraId="3C8BCEA3" w14:textId="77777777" w:rsidR="00B80057" w:rsidRPr="00A90E6A" w:rsidRDefault="00B80057" w:rsidP="00B80057">
      <w:pPr>
        <w:pStyle w:val="Heading2"/>
        <w:rPr>
          <w:color w:val="000000" w:themeColor="text1"/>
          <w:lang w:val="vi-VN"/>
        </w:rPr>
      </w:pPr>
      <w:bookmarkStart w:id="11" w:name="_Toc230962365"/>
      <w:r w:rsidRPr="00A90E6A">
        <w:rPr>
          <w:color w:val="000000" w:themeColor="text1"/>
          <w:lang w:val="vi-VN"/>
        </w:rPr>
        <w:t>3. Đối tượng và phạm vi nghiên cứu</w:t>
      </w:r>
      <w:bookmarkEnd w:id="11"/>
      <w:r w:rsidRPr="00A90E6A">
        <w:rPr>
          <w:color w:val="000000" w:themeColor="text1"/>
          <w:lang w:val="vi-VN"/>
        </w:rPr>
        <w:t xml:space="preserve"> </w:t>
      </w:r>
    </w:p>
    <w:p w14:paraId="5A83243F" w14:textId="77777777" w:rsidR="00B80057" w:rsidRPr="00A90E6A" w:rsidRDefault="00B80057" w:rsidP="00B80057">
      <w:pPr>
        <w:pStyle w:val="Heading3"/>
        <w:rPr>
          <w:i w:val="0"/>
          <w:iCs w:val="0"/>
          <w:color w:val="000000" w:themeColor="text1"/>
          <w:lang w:val="vi-VN"/>
        </w:rPr>
      </w:pPr>
      <w:bookmarkStart w:id="12" w:name="_Toc230962366"/>
      <w:r w:rsidRPr="00A90E6A">
        <w:rPr>
          <w:i w:val="0"/>
          <w:iCs w:val="0"/>
          <w:color w:val="000000" w:themeColor="text1"/>
          <w:lang w:val="vi-VN"/>
        </w:rPr>
        <w:t>3.1. Đối tượng nghiên cứu</w:t>
      </w:r>
      <w:bookmarkEnd w:id="12"/>
    </w:p>
    <w:p w14:paraId="74126757"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Hiệu quả hoạt động cho vay sản xuất kinh doanh đối với khách hàng cá nhân tại ngân hàng thương mại. </w:t>
      </w:r>
    </w:p>
    <w:p w14:paraId="01136860" w14:textId="77777777" w:rsidR="00B80057" w:rsidRPr="00A90E6A" w:rsidRDefault="00B80057" w:rsidP="00B80057">
      <w:pPr>
        <w:pStyle w:val="Heading3"/>
        <w:rPr>
          <w:i w:val="0"/>
          <w:iCs w:val="0"/>
          <w:color w:val="000000" w:themeColor="text1"/>
          <w:lang w:val="vi-VN"/>
        </w:rPr>
      </w:pPr>
      <w:bookmarkStart w:id="13" w:name="_Toc230962367"/>
      <w:r w:rsidRPr="00A90E6A">
        <w:rPr>
          <w:i w:val="0"/>
          <w:iCs w:val="0"/>
          <w:color w:val="000000" w:themeColor="text1"/>
          <w:lang w:val="vi-VN"/>
        </w:rPr>
        <w:t>3.2. Phạm vi nghiên cứu</w:t>
      </w:r>
      <w:bookmarkEnd w:id="13"/>
    </w:p>
    <w:p w14:paraId="6097D06A"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Phạm vi nội dung: Nghiên cứu hoạt động cho vay sản xuất kinh doanh đối với khách hàng cá nhân và hiệu quả của hoạt động này tại Ngân hàng TMCP Quân đội – Chi nhánh Đà Nẵng. </w:t>
      </w:r>
    </w:p>
    <w:p w14:paraId="3B234C6C"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Phạm vi không gian: Tại Ngân hàng TMCP Quân đội – Chi nhánh Đà Nẵng. </w:t>
      </w:r>
    </w:p>
    <w:p w14:paraId="5437AF56"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Phạm vi thời gian: Số liệu nghiên cứu trong giai đoạn 2023–2025.</w:t>
      </w:r>
    </w:p>
    <w:p w14:paraId="774E69DA" w14:textId="77777777" w:rsidR="00B80057" w:rsidRPr="00A90E6A" w:rsidRDefault="00B80057" w:rsidP="00B80057">
      <w:pPr>
        <w:pStyle w:val="Heading2"/>
        <w:rPr>
          <w:color w:val="000000" w:themeColor="text1"/>
          <w:lang w:val="vi-VN"/>
        </w:rPr>
      </w:pPr>
      <w:bookmarkStart w:id="14" w:name="_Toc230962368"/>
      <w:r w:rsidRPr="00A90E6A">
        <w:rPr>
          <w:color w:val="000000" w:themeColor="text1"/>
          <w:lang w:val="vi-VN"/>
        </w:rPr>
        <w:t>4. Phương pháp nghiên cứu</w:t>
      </w:r>
      <w:bookmarkEnd w:id="14"/>
      <w:r w:rsidRPr="00A90E6A">
        <w:rPr>
          <w:color w:val="000000" w:themeColor="text1"/>
          <w:lang w:val="vi-VN"/>
        </w:rPr>
        <w:t xml:space="preserve"> </w:t>
      </w:r>
    </w:p>
    <w:p w14:paraId="163FDAD1"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Phương pháp thu thập dữ liệu: Thu thập số liệu thứ cấp từ báo cáo tài chính, báo cáo hoạt động kinh doanh, tài liệu nội bộ của Ngân hàng TMCP Quân đội – Chi nhánh Đà Nẵng và các nguồn tài liệu liên quan. </w:t>
      </w:r>
    </w:p>
    <w:p w14:paraId="2ABA38E7"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 xml:space="preserve">Phương pháp phân tích và xử lý số liệu: Sử dụng các phương pháp thống kê, so sánh, tổng hợp để phân tích số liệu, đánh giá thực trạng hiệu quả hoạt động cho vay sản xuất kinh doanh. </w:t>
      </w:r>
    </w:p>
    <w:p w14:paraId="4525B981"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Phương pháp so sánh: So sánh số liệu qua các năm nhằm đánh giá xu hướng biến động và hiệu quả hoạt động cho vay. </w:t>
      </w:r>
    </w:p>
    <w:p w14:paraId="534A5D8F"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Phương pháp tổng hợp và suy luận: Tổng hợp các kết quả phân tích để đưa ra nhận xét, đánh giá và đề xuất giải pháp phù hợp.</w:t>
      </w:r>
    </w:p>
    <w:p w14:paraId="66F40CAA" w14:textId="77777777" w:rsidR="00B80057" w:rsidRPr="00A90E6A" w:rsidRDefault="00B80057" w:rsidP="00B80057">
      <w:pPr>
        <w:pStyle w:val="Heading2"/>
        <w:rPr>
          <w:color w:val="000000" w:themeColor="text1"/>
          <w:lang w:val="vi-VN"/>
        </w:rPr>
      </w:pPr>
      <w:bookmarkStart w:id="15" w:name="_Toc230962369"/>
      <w:r w:rsidRPr="00A90E6A">
        <w:rPr>
          <w:color w:val="000000" w:themeColor="text1"/>
          <w:lang w:val="vi-VN"/>
        </w:rPr>
        <w:t>5. Bố cục đề tài</w:t>
      </w:r>
      <w:bookmarkEnd w:id="15"/>
      <w:r w:rsidRPr="00A90E6A">
        <w:rPr>
          <w:color w:val="000000" w:themeColor="text1"/>
          <w:lang w:val="vi-VN"/>
        </w:rPr>
        <w:t xml:space="preserve"> </w:t>
      </w:r>
    </w:p>
    <w:p w14:paraId="3B96CE2B" w14:textId="488759F9"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Chương 1: Cơ sở lý luận về</w:t>
      </w:r>
      <w:r w:rsidR="007144FA" w:rsidRPr="00A90E6A">
        <w:rPr>
          <w:rFonts w:ascii="Times New Roman" w:hAnsi="Times New Roman" w:cs="Times New Roman"/>
          <w:color w:val="000000" w:themeColor="text1"/>
          <w:sz w:val="26"/>
          <w:szCs w:val="26"/>
          <w:lang w:val="vi-VN"/>
        </w:rPr>
        <w:t xml:space="preserve"> hiệu quả</w:t>
      </w:r>
      <w:r w:rsidRPr="00A90E6A">
        <w:rPr>
          <w:rFonts w:ascii="Times New Roman" w:hAnsi="Times New Roman" w:cs="Times New Roman"/>
          <w:color w:val="000000" w:themeColor="text1"/>
          <w:sz w:val="26"/>
          <w:szCs w:val="26"/>
          <w:lang w:val="vi-VN"/>
        </w:rPr>
        <w:t xml:space="preserve"> hoạt động cho vay sản xuất kinh doanh đối với khách hàng cá nhân tại ngân hàng thương mại</w:t>
      </w:r>
    </w:p>
    <w:p w14:paraId="23701D7E"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Chương 2: Thực trạng hiệu quả hoạt động cho vay sản xuất kinh doanh đối với khách hàng cá nhân tại Ngân hàng TMCP Quân đội – Chi nhánh Đà Nẵng</w:t>
      </w:r>
    </w:p>
    <w:p w14:paraId="1F282465"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Chương 3: Giải pháp nâng cao hiệu quả hoạt động cho vay sản xuất kinh doanh đối với khách hàng cá nhân tại Ngân hàng Thương mại Cổ phần Quân đội – Chi nhánh Đà Nẵng</w:t>
      </w:r>
    </w:p>
    <w:p w14:paraId="62090451" w14:textId="77777777" w:rsidR="00B80057" w:rsidRPr="00A90E6A" w:rsidRDefault="00B80057" w:rsidP="00B80057">
      <w:pPr>
        <w:tabs>
          <w:tab w:val="left" w:pos="6210"/>
        </w:tabs>
        <w:spacing w:after="0" w:line="360" w:lineRule="auto"/>
        <w:ind w:firstLine="630"/>
        <w:jc w:val="both"/>
        <w:rPr>
          <w:rFonts w:ascii="Times New Roman" w:hAnsi="Times New Roman" w:cs="Times New Roman"/>
          <w:color w:val="000000" w:themeColor="text1"/>
          <w:sz w:val="26"/>
          <w:szCs w:val="26"/>
          <w:lang w:val="vi-VN"/>
        </w:rPr>
      </w:pPr>
    </w:p>
    <w:p w14:paraId="0EF77829"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46C9837A"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3BC5BD35"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2BF86496"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73378929"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3495CC5A"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71CD663E"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6FD858A6"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59CDC985"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46B8DED7"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3D49AAAF"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4E25C77A"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1A626D3D"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4D056F70" w14:textId="77777777" w:rsidR="00B80057" w:rsidRPr="00A90E6A" w:rsidRDefault="00B80057" w:rsidP="00B80057">
      <w:pPr>
        <w:tabs>
          <w:tab w:val="left" w:pos="6210"/>
        </w:tabs>
        <w:spacing w:after="0" w:line="360" w:lineRule="auto"/>
        <w:ind w:firstLine="630"/>
        <w:jc w:val="both"/>
        <w:rPr>
          <w:rFonts w:ascii="Times New Roman" w:hAnsi="Times New Roman" w:cs="Times New Roman"/>
          <w:b/>
          <w:bCs/>
          <w:color w:val="000000" w:themeColor="text1"/>
          <w:sz w:val="26"/>
          <w:szCs w:val="26"/>
          <w:lang w:val="vi-VN"/>
        </w:rPr>
      </w:pPr>
    </w:p>
    <w:p w14:paraId="45EB0E1C" w14:textId="77777777" w:rsidR="00B80057" w:rsidRPr="00A90E6A" w:rsidRDefault="00B80057" w:rsidP="00B80057">
      <w:pPr>
        <w:rPr>
          <w:rFonts w:ascii="Times New Roman" w:hAnsi="Times New Roman" w:cs="Times New Roman"/>
          <w:sz w:val="26"/>
          <w:szCs w:val="26"/>
          <w:lang w:val="vi-VN"/>
        </w:rPr>
        <w:sectPr w:rsidR="00B80057" w:rsidRPr="00A90E6A" w:rsidSect="009E0361">
          <w:footerReference w:type="default" r:id="rId11"/>
          <w:pgSz w:w="11906" w:h="16838" w:code="9"/>
          <w:pgMar w:top="1134" w:right="1134" w:bottom="1134" w:left="1701" w:header="720" w:footer="720" w:gutter="0"/>
          <w:pgNumType w:fmt="lowerRoman" w:start="1"/>
          <w:cols w:space="720"/>
          <w:docGrid w:linePitch="360"/>
        </w:sectPr>
      </w:pPr>
    </w:p>
    <w:p w14:paraId="62A04608" w14:textId="0D75EEDB" w:rsidR="00E20C57" w:rsidRPr="00A90E6A" w:rsidRDefault="00E20C57" w:rsidP="00A139CF">
      <w:pPr>
        <w:pStyle w:val="Heading1"/>
        <w:ind w:firstLine="567"/>
        <w:rPr>
          <w:color w:val="000000" w:themeColor="text1"/>
          <w:lang w:val="vi-VN"/>
        </w:rPr>
      </w:pPr>
      <w:bookmarkStart w:id="16" w:name="_Toc230962370"/>
      <w:r w:rsidRPr="00A90E6A">
        <w:rPr>
          <w:color w:val="000000" w:themeColor="text1"/>
          <w:lang w:val="vi-VN"/>
        </w:rPr>
        <w:lastRenderedPageBreak/>
        <w:t>CHƯƠNG I: CƠ SỞ LÝ LUẬN VỀ</w:t>
      </w:r>
      <w:r w:rsidR="00C87827" w:rsidRPr="00A90E6A">
        <w:rPr>
          <w:color w:val="000000" w:themeColor="text1"/>
          <w:lang w:val="vi-VN"/>
        </w:rPr>
        <w:t xml:space="preserve"> HIỆU QUẢ</w:t>
      </w:r>
      <w:r w:rsidRPr="00A90E6A">
        <w:rPr>
          <w:color w:val="000000" w:themeColor="text1"/>
          <w:lang w:val="vi-VN"/>
        </w:rPr>
        <w:t xml:space="preserve"> HOẠT ĐỘNG CHO VAY SẢN XUẤT KINH DOANH ĐỐI VỚI KHÁCH HÀNG CÁ NHÂN TẠI NGÂN HÀNG THƯƠNG MẠI</w:t>
      </w:r>
      <w:bookmarkEnd w:id="16"/>
    </w:p>
    <w:p w14:paraId="39AB8BC1" w14:textId="61E6949B" w:rsidR="00E20C57" w:rsidRPr="00A90E6A" w:rsidRDefault="00E20C57">
      <w:pPr>
        <w:pStyle w:val="Heading2"/>
        <w:numPr>
          <w:ilvl w:val="0"/>
          <w:numId w:val="12"/>
        </w:numPr>
        <w:tabs>
          <w:tab w:val="clear" w:pos="6210"/>
          <w:tab w:val="left" w:pos="993"/>
        </w:tabs>
        <w:ind w:left="0" w:firstLine="567"/>
        <w:rPr>
          <w:color w:val="000000" w:themeColor="text1"/>
          <w:lang w:val="vi-VN"/>
        </w:rPr>
      </w:pPr>
      <w:bookmarkStart w:id="17" w:name="_Toc230962371"/>
      <w:r w:rsidRPr="00A90E6A">
        <w:rPr>
          <w:color w:val="000000" w:themeColor="text1"/>
          <w:lang w:val="vi-VN"/>
        </w:rPr>
        <w:t xml:space="preserve">Ngân hàng thương mại và các hoạt động kinh doanh của ngân hàng thương </w:t>
      </w:r>
      <w:r w:rsidR="003222F5" w:rsidRPr="00A90E6A">
        <w:rPr>
          <w:color w:val="000000" w:themeColor="text1"/>
          <w:lang w:val="vi-VN"/>
        </w:rPr>
        <w:t>mại.</w:t>
      </w:r>
      <w:bookmarkEnd w:id="17"/>
    </w:p>
    <w:p w14:paraId="051D45B5" w14:textId="31DE55F5" w:rsidR="00E20C57" w:rsidRPr="00A90E6A" w:rsidRDefault="00E20C57" w:rsidP="008556FF">
      <w:pPr>
        <w:pStyle w:val="Heading3"/>
        <w:numPr>
          <w:ilvl w:val="0"/>
          <w:numId w:val="13"/>
        </w:numPr>
        <w:tabs>
          <w:tab w:val="clear" w:pos="6210"/>
          <w:tab w:val="left" w:pos="1276"/>
        </w:tabs>
        <w:ind w:left="0" w:firstLine="567"/>
        <w:rPr>
          <w:i w:val="0"/>
          <w:iCs w:val="0"/>
          <w:color w:val="000000" w:themeColor="text1"/>
          <w:lang w:val="vi-VN"/>
        </w:rPr>
      </w:pPr>
      <w:bookmarkStart w:id="18" w:name="_Toc230962372"/>
      <w:r w:rsidRPr="00A90E6A">
        <w:rPr>
          <w:i w:val="0"/>
          <w:iCs w:val="0"/>
          <w:color w:val="000000" w:themeColor="text1"/>
          <w:lang w:val="vi-VN"/>
        </w:rPr>
        <w:t xml:space="preserve">Khái niệm ngân hàng thương </w:t>
      </w:r>
      <w:r w:rsidR="003222F5" w:rsidRPr="00A90E6A">
        <w:rPr>
          <w:i w:val="0"/>
          <w:iCs w:val="0"/>
          <w:color w:val="000000" w:themeColor="text1"/>
          <w:lang w:val="vi-VN"/>
        </w:rPr>
        <w:t>mại.</w:t>
      </w:r>
      <w:bookmarkEnd w:id="18"/>
    </w:p>
    <w:p w14:paraId="1FC824C9" w14:textId="5DE69131" w:rsidR="00806C4F" w:rsidRPr="00A90E6A" w:rsidRDefault="00806C4F"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Ngân</w:t>
      </w:r>
      <w:r w:rsidR="00DC6F16"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hàng thương mại là một loại hình tổ chức tín dụng đóng vai trò trung gian tài chính quan trọng trong nền kinh tế thị trường, thực hiện chức năng huy động vốn và cung ứng vốn cho các chủ thể có nhu cầu. Khái niệm</w:t>
      </w:r>
      <w:r w:rsidR="00DC6F16"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ngân hàng thương mại đã được quy định cụ thể trong các văn bản pháp luật cũng như được đề cập trong nhiều nghiên cứu học thuật trong và ngoài nước.</w:t>
      </w:r>
    </w:p>
    <w:p w14:paraId="5C37F7E1" w14:textId="657D1E00" w:rsidR="00806C4F" w:rsidRPr="00A90E6A" w:rsidRDefault="006675D4"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Theo</w:t>
      </w:r>
      <w:r w:rsidR="00B64C92" w:rsidRPr="00A90E6A">
        <w:rPr>
          <w:rFonts w:ascii="Times New Roman" w:hAnsi="Times New Roman" w:cs="Times New Roman"/>
          <w:color w:val="000000" w:themeColor="text1"/>
          <w:sz w:val="26"/>
          <w:szCs w:val="26"/>
          <w:lang w:val="vi-VN"/>
        </w:rPr>
        <w:t xml:space="preserve"> quy định </w:t>
      </w:r>
      <w:r w:rsidR="00A45B90" w:rsidRPr="00A90E6A">
        <w:rPr>
          <w:rFonts w:ascii="Times New Roman" w:hAnsi="Times New Roman" w:cs="Times New Roman"/>
          <w:color w:val="000000" w:themeColor="text1"/>
          <w:sz w:val="26"/>
          <w:szCs w:val="26"/>
          <w:lang w:val="vi-VN"/>
        </w:rPr>
        <w:t xml:space="preserve">của pháp luật </w:t>
      </w:r>
      <w:r w:rsidR="00B64C92" w:rsidRPr="00A90E6A">
        <w:rPr>
          <w:rFonts w:ascii="Times New Roman" w:hAnsi="Times New Roman" w:cs="Times New Roman"/>
          <w:color w:val="000000" w:themeColor="text1"/>
          <w:sz w:val="26"/>
          <w:szCs w:val="26"/>
          <w:lang w:val="vi-VN"/>
        </w:rPr>
        <w:t>tại</w:t>
      </w:r>
      <w:r w:rsidR="00A45B90" w:rsidRPr="00A90E6A">
        <w:rPr>
          <w:rFonts w:ascii="Times New Roman" w:hAnsi="Times New Roman" w:cs="Times New Roman"/>
          <w:color w:val="000000" w:themeColor="text1"/>
          <w:sz w:val="26"/>
          <w:szCs w:val="26"/>
          <w:lang w:val="vi-VN"/>
        </w:rPr>
        <w:t xml:space="preserve"> Việt Nam, cụ thể </w:t>
      </w:r>
      <w:r w:rsidR="00C53BCF" w:rsidRPr="00A90E6A">
        <w:rPr>
          <w:rFonts w:ascii="Times New Roman" w:hAnsi="Times New Roman" w:cs="Times New Roman"/>
          <w:color w:val="000000" w:themeColor="text1"/>
          <w:sz w:val="26"/>
          <w:szCs w:val="26"/>
          <w:lang w:val="vi-VN"/>
        </w:rPr>
        <w:t>tại</w:t>
      </w:r>
      <w:r w:rsidRPr="00A90E6A">
        <w:rPr>
          <w:rFonts w:ascii="Times New Roman" w:hAnsi="Times New Roman" w:cs="Times New Roman"/>
          <w:color w:val="000000" w:themeColor="text1"/>
          <w:sz w:val="26"/>
          <w:szCs w:val="26"/>
          <w:lang w:val="vi-VN"/>
        </w:rPr>
        <w:t xml:space="preserve"> </w:t>
      </w:r>
      <w:r w:rsidR="00E41E8C" w:rsidRPr="00A90E6A">
        <w:rPr>
          <w:rFonts w:ascii="Times New Roman" w:hAnsi="Times New Roman" w:cs="Times New Roman"/>
          <w:color w:val="000000" w:themeColor="text1"/>
          <w:sz w:val="26"/>
          <w:szCs w:val="26"/>
          <w:lang w:val="vi-VN"/>
        </w:rPr>
        <w:t>k</w:t>
      </w:r>
      <w:r w:rsidRPr="00A90E6A">
        <w:rPr>
          <w:rFonts w:ascii="Times New Roman" w:hAnsi="Times New Roman" w:cs="Times New Roman"/>
          <w:color w:val="000000" w:themeColor="text1"/>
          <w:sz w:val="26"/>
          <w:szCs w:val="26"/>
          <w:lang w:val="vi-VN"/>
        </w:rPr>
        <w:t>hoản 21 Điều 4 của Luật các tổ chức tín dụng 2024, ngân hàng được xác định là “tổ chức tín dụng có thể được thực hiện tất cả hoạt động ngân hàng theo quy định của Luật này”, trong đó ngân hàng thương mại là một trong các loại hình ngân hàng. Điều này càng làm rõ vị trí pháp lý của ngân hàng thương mại trong hệ thống tài chính – ngân hàng, với vai trò là chủ thể trung tâm thực hiện đầy đủ các nghiệp vụ ngân hàng.</w:t>
      </w:r>
      <w:r w:rsidR="00806C4F" w:rsidRPr="00A90E6A">
        <w:rPr>
          <w:rFonts w:ascii="Times New Roman" w:hAnsi="Times New Roman" w:cs="Times New Roman"/>
          <w:color w:val="000000" w:themeColor="text1"/>
          <w:sz w:val="26"/>
          <w:szCs w:val="26"/>
          <w:lang w:val="vi-VN"/>
        </w:rPr>
        <w:t xml:space="preserve"> </w:t>
      </w:r>
      <w:r w:rsidR="00C53BCF" w:rsidRPr="00A90E6A">
        <w:rPr>
          <w:rFonts w:ascii="Times New Roman" w:hAnsi="Times New Roman" w:cs="Times New Roman"/>
          <w:color w:val="000000" w:themeColor="text1"/>
          <w:sz w:val="26"/>
          <w:szCs w:val="26"/>
          <w:lang w:val="vi-VN"/>
        </w:rPr>
        <w:t>Bên cạnh đó, t</w:t>
      </w:r>
      <w:r w:rsidR="00C9612E" w:rsidRPr="00A90E6A">
        <w:rPr>
          <w:rFonts w:ascii="Times New Roman" w:hAnsi="Times New Roman" w:cs="Times New Roman"/>
          <w:color w:val="000000" w:themeColor="text1"/>
          <w:sz w:val="26"/>
          <w:szCs w:val="26"/>
          <w:lang w:val="vi-VN"/>
        </w:rPr>
        <w:t xml:space="preserve">ại khoản 23 </w:t>
      </w:r>
      <w:r w:rsidR="00806C4F" w:rsidRPr="00A90E6A">
        <w:rPr>
          <w:rFonts w:ascii="Times New Roman" w:hAnsi="Times New Roman" w:cs="Times New Roman"/>
          <w:color w:val="000000" w:themeColor="text1"/>
          <w:sz w:val="26"/>
          <w:szCs w:val="26"/>
          <w:lang w:val="vi-VN"/>
        </w:rPr>
        <w:t>Điều 4</w:t>
      </w:r>
      <w:r w:rsidR="00C53BCF" w:rsidRPr="00A90E6A">
        <w:rPr>
          <w:rFonts w:ascii="Times New Roman" w:hAnsi="Times New Roman" w:cs="Times New Roman"/>
          <w:color w:val="000000" w:themeColor="text1"/>
          <w:sz w:val="26"/>
          <w:szCs w:val="26"/>
          <w:lang w:val="vi-VN"/>
        </w:rPr>
        <w:t xml:space="preserve"> của Luật các tổ chức tín dụng 2024</w:t>
      </w:r>
      <w:r w:rsidR="00806C4F" w:rsidRPr="00A90E6A">
        <w:rPr>
          <w:rFonts w:ascii="Times New Roman" w:hAnsi="Times New Roman" w:cs="Times New Roman"/>
          <w:color w:val="000000" w:themeColor="text1"/>
          <w:sz w:val="26"/>
          <w:szCs w:val="26"/>
          <w:lang w:val="vi-VN"/>
        </w:rPr>
        <w:t xml:space="preserve">, quy định: “Ngân hàng thương mại </w:t>
      </w:r>
      <w:r w:rsidR="00C9612E" w:rsidRPr="00A90E6A">
        <w:rPr>
          <w:rFonts w:ascii="Times New Roman" w:hAnsi="Times New Roman" w:cs="Times New Roman"/>
          <w:color w:val="000000" w:themeColor="text1"/>
          <w:sz w:val="26"/>
          <w:szCs w:val="26"/>
          <w:lang w:val="vi-VN"/>
        </w:rPr>
        <w:t>là loại hình ngân hàng được thực hiện tất cả hoạt động ngân hàng và hoạt động kinh doanh khác theo quy định của Luật này nhằm mục tiêu lợi nhuận</w:t>
      </w:r>
      <w:r w:rsidR="00806C4F" w:rsidRPr="00A90E6A">
        <w:rPr>
          <w:rFonts w:ascii="Times New Roman" w:hAnsi="Times New Roman" w:cs="Times New Roman"/>
          <w:color w:val="000000" w:themeColor="text1"/>
          <w:sz w:val="26"/>
          <w:szCs w:val="26"/>
          <w:lang w:val="vi-VN"/>
        </w:rPr>
        <w:t>”. Quy định này nhấn mạnh bản chất của ngân hàng thương mại là một tổ chức kinh doanh trong lĩnh vực tiền tệ với mục tiêu sinh lời, đồng thời được phép thực hiện đầy đủ các nghiệp vụ ngân hàng theo quy định pháp luật.</w:t>
      </w:r>
    </w:p>
    <w:p w14:paraId="7C07C441" w14:textId="77777777" w:rsidR="00C53BCF" w:rsidRPr="00A90E6A" w:rsidRDefault="00C53BCF"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Tại Hoa Kỳ, ngân hàng thương mại được xem là doanh nghiệp hoạt động trong lĩnh vực tiền tệ, cung cấp đa dạng các dịch vụ tài chính như nhận tiền gửi, cho vay, thanh toán, chuyển tiền, đầu tư và kinh doanh ngoại hối. Cách tiếp cận này nhấn mạnh tính đa chức năng và vai trò cung ứng dịch vụ tài chính toàn diện của ngân hàng thương mại trong nền kinh tế.</w:t>
      </w:r>
    </w:p>
    <w:p w14:paraId="5100F988" w14:textId="77777777" w:rsidR="00C53BCF" w:rsidRPr="00A90E6A" w:rsidRDefault="00C53BCF"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Tại Pháp, theo luật ngân hàng năm 1941, ngân hàng thương mại được định nghĩa là các tổ chức thường xuyên nhận tiền từ công chúng dưới nhiều hình thức khác nhau và sử dụng nguồn vốn đó để thực hiện các hoạt động như cho vay, chiết khấu và cung cấp các dịch vụ tài chính. Quan điểm này làm nổi bật chức năng trung gian tài chính thông qua việc huy động và phân bổ vốn của ngân hàng.</w:t>
      </w:r>
    </w:p>
    <w:p w14:paraId="66754038" w14:textId="63A899F0" w:rsidR="00806C4F" w:rsidRPr="00A90E6A" w:rsidRDefault="00806C4F"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Bên cạnh đó, Frederic S. Mishkin (2013)</w:t>
      </w:r>
      <w:r w:rsidR="00881EA5" w:rsidRPr="00A90E6A">
        <w:rPr>
          <w:rFonts w:ascii="Times New Roman" w:hAnsi="Times New Roman" w:cs="Times New Roman"/>
          <w:color w:val="000000" w:themeColor="text1"/>
          <w:sz w:val="26"/>
          <w:szCs w:val="26"/>
          <w:lang w:val="vi-VN"/>
        </w:rPr>
        <w:t xml:space="preserve"> định nghĩa</w:t>
      </w:r>
      <w:r w:rsidRPr="00A90E6A">
        <w:rPr>
          <w:rFonts w:ascii="Times New Roman" w:hAnsi="Times New Roman" w:cs="Times New Roman"/>
          <w:color w:val="000000" w:themeColor="text1"/>
          <w:sz w:val="26"/>
          <w:szCs w:val="26"/>
          <w:lang w:val="vi-VN"/>
        </w:rPr>
        <w:t>, ngân hàng thương mại được định nghĩa là các tổ chức tài chính nhận tiền gửi từ công chúng và sử dụng nguồn vốn này để cấp tín dụng, đầu tư và cung cấp các dịch vụ tài chính khác. Quan điểm này nhấn mạnh vai trò trung gian tài chính và chức năng phân bổ vốn của ngân hàng trong nền kinh tế.</w:t>
      </w:r>
    </w:p>
    <w:p w14:paraId="60D7C2FD" w14:textId="1A167D13" w:rsidR="00806C4F" w:rsidRPr="00A90E6A" w:rsidRDefault="00806C4F"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Từ các quan điểm trên có thể thấy, mặc dù cách diễn đạt khác nhau nhưng đều thống nhất rằng ngân hàng thương mại là một tổ chức trung gian tài chính, thực hiện hoạt động huy động vốn, cấp tín dụng và cung cấp các dịch vụ tài chính nhằm mục tiêu lợi nhuận.</w:t>
      </w:r>
      <w:r w:rsidR="00D53B5D">
        <w:rPr>
          <w:rFonts w:ascii="Times New Roman" w:hAnsi="Times New Roman" w:cs="Times New Roman"/>
          <w:color w:val="000000" w:themeColor="text1"/>
          <w:sz w:val="26"/>
          <w:szCs w:val="26"/>
          <w:lang w:val="vi-VN"/>
        </w:rPr>
        <w:t xml:space="preserve"> </w:t>
      </w:r>
    </w:p>
    <w:p w14:paraId="13963047" w14:textId="3FC180B2" w:rsidR="002E06AF" w:rsidRPr="00A90E6A" w:rsidRDefault="00806C4F"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Từ đó, có thể rút ra khái niệm: </w:t>
      </w:r>
      <w:r w:rsidR="00881EA5" w:rsidRPr="00A90E6A">
        <w:rPr>
          <w:rFonts w:ascii="Times New Roman" w:hAnsi="Times New Roman" w:cs="Times New Roman"/>
          <w:color w:val="000000" w:themeColor="text1"/>
          <w:sz w:val="26"/>
          <w:szCs w:val="26"/>
          <w:lang w:val="vi-VN"/>
        </w:rPr>
        <w:t>“</w:t>
      </w:r>
      <w:r w:rsidRPr="00A90E6A">
        <w:rPr>
          <w:rFonts w:ascii="Times New Roman" w:hAnsi="Times New Roman" w:cs="Times New Roman"/>
          <w:color w:val="000000" w:themeColor="text1"/>
          <w:sz w:val="26"/>
          <w:szCs w:val="26"/>
          <w:lang w:val="vi-VN"/>
        </w:rPr>
        <w:t>Ngân hàng thương mại là tổ chức tín dụng hoạt động kinh doanh trong lĩnh vực tiền tệ, thực hiện chức năng trung gian tài chính thông qua việc nhận tiền gửi, cấp tín dụng và cung ứng các dịch vụ tài chính khác nhằm mục tiêu sinh lợi và góp phần thúc đẩy phát triển kinh tế.</w:t>
      </w:r>
      <w:r w:rsidR="00881EA5" w:rsidRPr="00A90E6A">
        <w:rPr>
          <w:rFonts w:ascii="Times New Roman" w:hAnsi="Times New Roman" w:cs="Times New Roman"/>
          <w:color w:val="000000" w:themeColor="text1"/>
          <w:sz w:val="26"/>
          <w:szCs w:val="26"/>
          <w:lang w:val="vi-VN"/>
        </w:rPr>
        <w:t>”</w:t>
      </w:r>
    </w:p>
    <w:p w14:paraId="4F07D505" w14:textId="17B178E6" w:rsidR="00E20C57" w:rsidRPr="00A90E6A" w:rsidRDefault="00E20C57" w:rsidP="008556FF">
      <w:pPr>
        <w:pStyle w:val="Heading3"/>
        <w:numPr>
          <w:ilvl w:val="0"/>
          <w:numId w:val="13"/>
        </w:numPr>
        <w:tabs>
          <w:tab w:val="left" w:pos="1276"/>
        </w:tabs>
        <w:ind w:left="0" w:firstLine="567"/>
        <w:rPr>
          <w:i w:val="0"/>
          <w:iCs w:val="0"/>
          <w:color w:val="000000" w:themeColor="text1"/>
          <w:lang w:val="vi-VN"/>
        </w:rPr>
      </w:pPr>
      <w:bookmarkStart w:id="19" w:name="_Toc230962373"/>
      <w:r w:rsidRPr="00A90E6A">
        <w:rPr>
          <w:i w:val="0"/>
          <w:iCs w:val="0"/>
          <w:color w:val="000000" w:themeColor="text1"/>
          <w:lang w:val="vi-VN"/>
        </w:rPr>
        <w:t xml:space="preserve">Hoạt động kinh doanh của ngân hàng thương </w:t>
      </w:r>
      <w:r w:rsidR="003222F5" w:rsidRPr="00A90E6A">
        <w:rPr>
          <w:i w:val="0"/>
          <w:iCs w:val="0"/>
          <w:color w:val="000000" w:themeColor="text1"/>
          <w:lang w:val="vi-VN"/>
        </w:rPr>
        <w:t>mại.</w:t>
      </w:r>
      <w:bookmarkEnd w:id="19"/>
      <w:r w:rsidRPr="00A90E6A">
        <w:rPr>
          <w:i w:val="0"/>
          <w:iCs w:val="0"/>
          <w:color w:val="000000" w:themeColor="text1"/>
          <w:lang w:val="vi-VN"/>
        </w:rPr>
        <w:t xml:space="preserve"> </w:t>
      </w:r>
    </w:p>
    <w:p w14:paraId="459FC54E" w14:textId="64711B55" w:rsidR="002F112E" w:rsidRPr="00A90E6A" w:rsidRDefault="002F112E"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Ngân hàng thương mại là một tổ chức kinh doanh đặc thù trong lĩnh vực tiền tệ và dịch vụ tài chính, do đó hoạt động kinh doanh của ngân hàng thương mại mang tính đa dạng, tổng hợp và có ảnh hưởng sâu rộng đến toàn bộ nền kinh tế. Theo Luật các tổ chức tín dụng năm 2024, tại Khoản 21 Điều 4 quy định hoạt động ngân hàng là việc kinh doanh, cung ứng thường xuyên một hoặc một số nghiệp vụ như nhận tiền gửi, cấp tín dụng và cung ứng dịch vụ thanh toán qua tài </w:t>
      </w:r>
      <w:r w:rsidR="003C39F0" w:rsidRPr="00A90E6A">
        <w:rPr>
          <w:rFonts w:ascii="Times New Roman" w:hAnsi="Times New Roman" w:cs="Times New Roman"/>
          <w:color w:val="000000" w:themeColor="text1"/>
          <w:sz w:val="26"/>
          <w:szCs w:val="26"/>
          <w:lang w:val="vi-VN"/>
        </w:rPr>
        <w:t>khoản. Đ</w:t>
      </w:r>
      <w:r w:rsidRPr="00A90E6A">
        <w:rPr>
          <w:rFonts w:ascii="Times New Roman" w:hAnsi="Times New Roman" w:cs="Times New Roman"/>
          <w:color w:val="000000" w:themeColor="text1"/>
          <w:sz w:val="26"/>
          <w:szCs w:val="26"/>
          <w:lang w:val="vi-VN"/>
        </w:rPr>
        <w:t>ồng thời tại Khoản 23 Điều 4 xác định ngân hàng thương mại là loại hình ngân hàng được thực hiện tất cả các hoạt động ngân hàng và các hoạt động kinh doanh khác nhằm mục tiêu lợi nhuận. Quy định này đã khẳng định phạm vi hoạt động rộng và bản chất kinh doanh của ngân hàng thương mại trong nền kinh tế thị trường.</w:t>
      </w:r>
    </w:p>
    <w:p w14:paraId="1D61242B" w14:textId="29558EC9" w:rsidR="002F112E" w:rsidRPr="00A90E6A" w:rsidRDefault="002F112E"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Hoạt động kinh doanh của ngân hàng thương mại trước hết bao gồm hoạt động huy động vốn. Đây là hoạt động cơ bản, tạo lập nguồn vốn chủ yếu cho ngân hàng thông qua việc nhận tiền gửi từ các tổ chức và cá nhân dưới nhiều hình thức khác nhau như tiền gửi thanh toán, tiền gửi có kỳ hạn, tiết kiệm và phát hành giấy tờ có giá. </w:t>
      </w:r>
      <w:r w:rsidR="007340D2" w:rsidRPr="00A90E6A">
        <w:rPr>
          <w:rFonts w:ascii="Times New Roman" w:hAnsi="Times New Roman" w:cs="Times New Roman"/>
          <w:color w:val="000000" w:themeColor="text1"/>
          <w:sz w:val="26"/>
          <w:szCs w:val="26"/>
          <w:lang w:val="vi-VN"/>
        </w:rPr>
        <w:t>Ngoài ra, khi cần thiết n</w:t>
      </w:r>
      <w:r w:rsidR="001174AB" w:rsidRPr="00A90E6A">
        <w:rPr>
          <w:rFonts w:ascii="Times New Roman" w:hAnsi="Times New Roman" w:cs="Times New Roman"/>
          <w:color w:val="000000" w:themeColor="text1"/>
          <w:sz w:val="26"/>
          <w:szCs w:val="26"/>
          <w:lang w:val="vi-VN"/>
        </w:rPr>
        <w:t xml:space="preserve">gân hàng còn có thể vay thêm từ các tổ chức tín dụng khác hoặc vay ngắn hạn từ Ngân hàng Nhà nước. </w:t>
      </w:r>
      <w:r w:rsidR="0080678E" w:rsidRPr="00A90E6A">
        <w:rPr>
          <w:rFonts w:ascii="Times New Roman" w:hAnsi="Times New Roman" w:cs="Times New Roman"/>
          <w:color w:val="000000" w:themeColor="text1"/>
          <w:sz w:val="26"/>
          <w:szCs w:val="26"/>
          <w:lang w:val="vi-VN"/>
        </w:rPr>
        <w:t xml:space="preserve">Hoạt </w:t>
      </w:r>
      <w:r w:rsidRPr="00A90E6A">
        <w:rPr>
          <w:rFonts w:ascii="Times New Roman" w:hAnsi="Times New Roman" w:cs="Times New Roman"/>
          <w:color w:val="000000" w:themeColor="text1"/>
          <w:sz w:val="26"/>
          <w:szCs w:val="26"/>
          <w:lang w:val="vi-VN"/>
        </w:rPr>
        <w:t xml:space="preserve">động huy động vốn không chỉ giúp ngân hàng đảm bảo nguồn vốn cho hoạt động kinh doanh mà còn góp phần thu hút và tập trung nguồn </w:t>
      </w:r>
      <w:r w:rsidRPr="00A90E6A">
        <w:rPr>
          <w:rFonts w:ascii="Times New Roman" w:hAnsi="Times New Roman" w:cs="Times New Roman"/>
          <w:color w:val="000000" w:themeColor="text1"/>
          <w:sz w:val="26"/>
          <w:szCs w:val="26"/>
          <w:lang w:val="vi-VN"/>
        </w:rPr>
        <w:lastRenderedPageBreak/>
        <w:t>vốn nhàn rỗi trong xã hội, qua đó thúc đẩy quá trình tích lũy và đầu tư trong nền kinh tế.</w:t>
      </w:r>
    </w:p>
    <w:p w14:paraId="32B54F80" w14:textId="0A73CA36" w:rsidR="002F112E" w:rsidRPr="00A90E6A" w:rsidRDefault="002F112E"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Bên cạnh đó, hoạt động cấp tín dụng là hoạt động mang lại thu nhập chủ yếu cho ngân hàng thương mại.</w:t>
      </w:r>
      <w:r w:rsidR="001174AB" w:rsidRPr="00A90E6A">
        <w:rPr>
          <w:rFonts w:ascii="Times New Roman" w:hAnsi="Times New Roman" w:cs="Times New Roman"/>
          <w:color w:val="000000" w:themeColor="text1"/>
          <w:sz w:val="26"/>
          <w:szCs w:val="26"/>
          <w:lang w:val="vi-VN"/>
        </w:rPr>
        <w:t xml:space="preserve"> Theo </w:t>
      </w:r>
      <w:r w:rsidR="009D74FA" w:rsidRPr="00A90E6A">
        <w:rPr>
          <w:rFonts w:ascii="Times New Roman" w:hAnsi="Times New Roman" w:cs="Times New Roman"/>
          <w:color w:val="000000" w:themeColor="text1"/>
          <w:sz w:val="26"/>
          <w:szCs w:val="26"/>
          <w:lang w:val="vi-VN"/>
        </w:rPr>
        <w:t>Frederic S. Mishkin (2013)</w:t>
      </w:r>
      <w:r w:rsidR="001174AB" w:rsidRPr="00A90E6A">
        <w:rPr>
          <w:rFonts w:ascii="Times New Roman" w:hAnsi="Times New Roman" w:cs="Times New Roman"/>
          <w:color w:val="000000" w:themeColor="text1"/>
          <w:sz w:val="26"/>
          <w:szCs w:val="26"/>
          <w:lang w:val="vi-VN"/>
        </w:rPr>
        <w:t>, hoạt động cấp tín dụng thể hiện rõ vai trò trung gian tài chính của ngân hàng, khi ngân hàng chuyển hóa nguồn vốn nhàn rỗi thành vốn đầu tư cho các chủ thể có nhu cầu, từ đó góp phần thúc đẩy tăng trưởng kinh tế. Tuy nhiên, đây cũng là hoạt động tiềm ẩn nhiều rủi ro, đòi hỏi ngân hàng phải có quy trình thẩm định chặt chẽ và quản lý rủi ro hiệu quả.</w:t>
      </w:r>
      <w:r w:rsidR="00563580" w:rsidRPr="00A90E6A">
        <w:rPr>
          <w:rFonts w:ascii="Times New Roman" w:hAnsi="Times New Roman" w:cs="Times New Roman"/>
          <w:color w:val="000000" w:themeColor="text1"/>
          <w:sz w:val="26"/>
          <w:szCs w:val="26"/>
          <w:lang w:val="vi-VN"/>
        </w:rPr>
        <w:t xml:space="preserve"> Tại Việt Nam, t</w:t>
      </w:r>
      <w:r w:rsidRPr="00A90E6A">
        <w:rPr>
          <w:rFonts w:ascii="Times New Roman" w:hAnsi="Times New Roman" w:cs="Times New Roman"/>
          <w:color w:val="000000" w:themeColor="text1"/>
          <w:sz w:val="26"/>
          <w:szCs w:val="26"/>
          <w:lang w:val="vi-VN"/>
        </w:rPr>
        <w:t xml:space="preserve">heo quy định tại </w:t>
      </w:r>
      <w:r w:rsidR="000C2F6E" w:rsidRPr="00A90E6A">
        <w:rPr>
          <w:rFonts w:ascii="Times New Roman" w:hAnsi="Times New Roman" w:cs="Times New Roman"/>
          <w:color w:val="000000" w:themeColor="text1"/>
          <w:sz w:val="26"/>
          <w:szCs w:val="26"/>
          <w:lang w:val="vi-VN"/>
        </w:rPr>
        <w:t>khoản 4 Điều</w:t>
      </w:r>
      <w:r w:rsidR="00DC6F16" w:rsidRPr="00A90E6A">
        <w:rPr>
          <w:rFonts w:ascii="Times New Roman" w:hAnsi="Times New Roman" w:cs="Times New Roman"/>
          <w:color w:val="000000" w:themeColor="text1"/>
          <w:sz w:val="26"/>
          <w:szCs w:val="26"/>
          <w:lang w:val="vi-VN"/>
        </w:rPr>
        <w:t xml:space="preserve"> 4</w:t>
      </w:r>
      <w:r w:rsidRPr="00A90E6A">
        <w:rPr>
          <w:rFonts w:ascii="Times New Roman" w:hAnsi="Times New Roman" w:cs="Times New Roman"/>
          <w:color w:val="000000" w:themeColor="text1"/>
          <w:sz w:val="26"/>
          <w:szCs w:val="26"/>
          <w:lang w:val="vi-VN"/>
        </w:rPr>
        <w:t xml:space="preserve"> Luật các tổ chức tín dụng 2024, cấp tín dụng bao gồm các hình thức như cho vay, chiết khấu, bảo lãnh ngân hàng, bao thanh toán và các hình thức khác theo quy định. Trong đó, cho vay là nghiệp vụ truyền thống và chiếm tỷ trọng lớn trong tổng tài sản của ngân hàng. </w:t>
      </w:r>
    </w:p>
    <w:p w14:paraId="70B7BF15" w14:textId="2DD09271" w:rsidR="002F112E" w:rsidRPr="00A90E6A" w:rsidRDefault="002F112E"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ra, ngân hàng thương mại còn thực hiện hoạt động cung ứng dịch vụ thanh toán</w:t>
      </w:r>
      <w:r w:rsidR="00596751"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 xml:space="preserve"> bao gồm mở và quản lý tài khoản, thực hiện thanh toán trong nước và quốc tế, dịch vụ thẻ, ngân hàng điện tử,…</w:t>
      </w:r>
      <w:r w:rsidR="00D0419B" w:rsidRPr="00A90E6A">
        <w:rPr>
          <w:rFonts w:ascii="Times New Roman" w:hAnsi="Times New Roman" w:cs="Times New Roman"/>
          <w:color w:val="000000" w:themeColor="text1"/>
          <w:sz w:val="26"/>
          <w:szCs w:val="26"/>
          <w:lang w:val="vi-VN"/>
        </w:rPr>
        <w:t>Theo quy định tại khoản 10 Điều 6 </w:t>
      </w:r>
      <w:hyperlink r:id="rId12" w:tgtFrame="_blank" w:history="1">
        <w:r w:rsidR="00D0419B" w:rsidRPr="00A90E6A">
          <w:rPr>
            <w:rStyle w:val="Hyperlink"/>
            <w:rFonts w:ascii="Times New Roman" w:hAnsi="Times New Roman" w:cs="Times New Roman"/>
            <w:color w:val="000000" w:themeColor="text1"/>
            <w:sz w:val="26"/>
            <w:szCs w:val="26"/>
            <w:u w:val="none"/>
            <w:lang w:val="vi-VN"/>
          </w:rPr>
          <w:t>Luật Ngân hàng Nhà nước Việt Nam 2010</w:t>
        </w:r>
      </w:hyperlink>
      <w:r w:rsidR="00032422" w:rsidRPr="00A90E6A">
        <w:rPr>
          <w:rFonts w:ascii="Times New Roman" w:hAnsi="Times New Roman" w:cs="Times New Roman"/>
          <w:color w:val="000000" w:themeColor="text1"/>
          <w:sz w:val="26"/>
          <w:szCs w:val="26"/>
          <w:lang w:val="vi-VN"/>
        </w:rPr>
        <w:t xml:space="preserve"> số 46/2010/QH12</w:t>
      </w:r>
      <w:r w:rsidRPr="00A90E6A">
        <w:rPr>
          <w:rFonts w:ascii="Times New Roman" w:hAnsi="Times New Roman" w:cs="Times New Roman"/>
          <w:color w:val="000000" w:themeColor="text1"/>
          <w:sz w:val="26"/>
          <w:szCs w:val="26"/>
          <w:lang w:val="vi-VN"/>
        </w:rPr>
        <w:t xml:space="preserve">, dịch vụ </w:t>
      </w:r>
      <w:r w:rsidR="008E7F6F" w:rsidRPr="00A90E6A">
        <w:rPr>
          <w:rFonts w:ascii="Times New Roman" w:hAnsi="Times New Roman" w:cs="Times New Roman"/>
          <w:color w:val="000000" w:themeColor="text1"/>
          <w:sz w:val="26"/>
          <w:szCs w:val="26"/>
          <w:lang w:val="vi-VN"/>
        </w:rPr>
        <w:t xml:space="preserve">trung gian </w:t>
      </w:r>
      <w:r w:rsidRPr="00A90E6A">
        <w:rPr>
          <w:rFonts w:ascii="Times New Roman" w:hAnsi="Times New Roman" w:cs="Times New Roman"/>
          <w:color w:val="000000" w:themeColor="text1"/>
          <w:sz w:val="26"/>
          <w:szCs w:val="26"/>
          <w:lang w:val="vi-VN"/>
        </w:rPr>
        <w:t>thanh toán là một trong những chức năng quan trọng giúp ngân hàng duy trì mối quan hệ với khách hàng và tạo nguồn thu từ phí dịch vụ, đồng thời góp phần thúc đẩy lưu thông tiền tệ trong nền kinh tế.</w:t>
      </w:r>
      <w:r w:rsidR="00032422" w:rsidRPr="00A90E6A">
        <w:rPr>
          <w:rFonts w:ascii="Times New Roman" w:hAnsi="Times New Roman" w:cs="Times New Roman"/>
          <w:color w:val="000000" w:themeColor="text1"/>
          <w:sz w:val="26"/>
          <w:szCs w:val="26"/>
          <w:lang w:val="vi-VN"/>
        </w:rPr>
        <w:t xml:space="preserve"> Trên cơ sở đó, hoạt động cung ứng dịch vụ thanh toán của ngân hàng thương mại không chỉ giúp duy trì mối quan hệ với khách hàng mà còn tạo nguồn thu từ phí dịch vụ, </w:t>
      </w:r>
      <w:r w:rsidR="00D65902" w:rsidRPr="00A90E6A">
        <w:rPr>
          <w:rFonts w:ascii="Times New Roman" w:hAnsi="Times New Roman" w:cs="Times New Roman"/>
          <w:color w:val="000000" w:themeColor="text1"/>
          <w:sz w:val="26"/>
          <w:szCs w:val="26"/>
          <w:lang w:val="vi-VN"/>
        </w:rPr>
        <w:t>qua đó góp</w:t>
      </w:r>
      <w:r w:rsidR="00230093" w:rsidRPr="00A90E6A">
        <w:rPr>
          <w:rFonts w:ascii="Times New Roman" w:hAnsi="Times New Roman" w:cs="Times New Roman"/>
          <w:color w:val="000000" w:themeColor="text1"/>
          <w:sz w:val="26"/>
          <w:szCs w:val="26"/>
          <w:lang w:val="vi-VN"/>
        </w:rPr>
        <w:t xml:space="preserve"> phần</w:t>
      </w:r>
      <w:r w:rsidR="00032422" w:rsidRPr="00A90E6A">
        <w:rPr>
          <w:rFonts w:ascii="Times New Roman" w:hAnsi="Times New Roman" w:cs="Times New Roman"/>
          <w:color w:val="000000" w:themeColor="text1"/>
          <w:sz w:val="26"/>
          <w:szCs w:val="26"/>
          <w:lang w:val="vi-VN"/>
        </w:rPr>
        <w:t xml:space="preserve"> thúc đẩy lưu thông tiền tệ trong nền kinh tế.</w:t>
      </w:r>
    </w:p>
    <w:p w14:paraId="7AC5DD87" w14:textId="3898400F" w:rsidR="00806C4F" w:rsidRPr="00A90E6A" w:rsidRDefault="002F112E"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Như vậy, có thể thấy hoạt động kinh doanh của ngân hàng thương mại bao gồm nhiều lĩnh vực khác nhau, trong đó ba hoạt động cốt lõi là huy động vốn, cấp tín dụng và cung ứng dịch vụ thanh toán. Các hoạt động này có mối quan hệ chặt chẽ, hỗ trợ lẫn nhau và cùng hướng đến mục tiêu tối đa hóa lợi nhuận, đồng thời đảm bảo an toàn và hiệu quả trong hoạt động của ngân hàng.</w:t>
      </w:r>
    </w:p>
    <w:p w14:paraId="7A83F75B" w14:textId="257D8962" w:rsidR="00E20C57" w:rsidRPr="00A90E6A" w:rsidRDefault="00E20C57" w:rsidP="008556FF">
      <w:pPr>
        <w:pStyle w:val="Heading3"/>
        <w:numPr>
          <w:ilvl w:val="0"/>
          <w:numId w:val="13"/>
        </w:numPr>
        <w:tabs>
          <w:tab w:val="left" w:pos="1276"/>
        </w:tabs>
        <w:ind w:left="0" w:firstLine="567"/>
        <w:rPr>
          <w:i w:val="0"/>
          <w:iCs w:val="0"/>
          <w:color w:val="000000" w:themeColor="text1"/>
          <w:lang w:val="vi-VN"/>
        </w:rPr>
      </w:pPr>
      <w:bookmarkStart w:id="20" w:name="_Toc230962374"/>
      <w:r w:rsidRPr="00A90E6A">
        <w:rPr>
          <w:i w:val="0"/>
          <w:iCs w:val="0"/>
          <w:color w:val="000000" w:themeColor="text1"/>
          <w:lang w:val="vi-VN"/>
        </w:rPr>
        <w:t xml:space="preserve">Vai trò của ngân hàng thương </w:t>
      </w:r>
      <w:r w:rsidR="003222F5" w:rsidRPr="00A90E6A">
        <w:rPr>
          <w:i w:val="0"/>
          <w:iCs w:val="0"/>
          <w:color w:val="000000" w:themeColor="text1"/>
          <w:lang w:val="vi-VN"/>
        </w:rPr>
        <w:t>mại.</w:t>
      </w:r>
      <w:bookmarkEnd w:id="20"/>
    </w:p>
    <w:p w14:paraId="207BF1CD" w14:textId="71C2E65E" w:rsidR="008E52C0" w:rsidRPr="00A90E6A" w:rsidRDefault="008E52C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nhất, ngân hàng thương mại đóng vai trò là trung gian tài chính trong nền kinh tế. Đây là vai trò </w:t>
      </w:r>
      <w:r w:rsidR="00E84122" w:rsidRPr="00A90E6A">
        <w:rPr>
          <w:rFonts w:ascii="Times New Roman" w:hAnsi="Times New Roman" w:cs="Times New Roman"/>
          <w:color w:val="000000" w:themeColor="text1"/>
          <w:sz w:val="26"/>
          <w:szCs w:val="26"/>
          <w:lang w:val="vi-VN"/>
        </w:rPr>
        <w:t>cơ</w:t>
      </w:r>
      <w:r w:rsidR="00032422"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 xml:space="preserve">bản và quan trọng nhất của ngân hàng thương mại, thể hiện ở việc ngân hàng đứng ra huy động các nguồn vốn nhàn rỗi từ các cá nhân, tổ chức trong xã hội và phân phối lại cho các chủ thể có nhu cầu sử dụng vốn. Thông qua hoạt động này, ngân hàng giúp kết nối giữa người tiết kiệm và người đầu tư, góp phần sử dụng hiệu quả </w:t>
      </w:r>
      <w:r w:rsidRPr="00A90E6A">
        <w:rPr>
          <w:rFonts w:ascii="Times New Roman" w:hAnsi="Times New Roman" w:cs="Times New Roman"/>
          <w:color w:val="000000" w:themeColor="text1"/>
          <w:sz w:val="26"/>
          <w:szCs w:val="26"/>
          <w:lang w:val="vi-VN"/>
        </w:rPr>
        <w:lastRenderedPageBreak/>
        <w:t xml:space="preserve">các nguồn lực tài chính. </w:t>
      </w:r>
      <w:r w:rsidR="00E4555D" w:rsidRPr="00A90E6A">
        <w:rPr>
          <w:rFonts w:ascii="Times New Roman" w:hAnsi="Times New Roman" w:cs="Times New Roman"/>
          <w:color w:val="000000" w:themeColor="text1"/>
          <w:sz w:val="26"/>
          <w:szCs w:val="26"/>
          <w:lang w:val="vi-VN"/>
        </w:rPr>
        <w:t>V</w:t>
      </w:r>
      <w:r w:rsidRPr="00A90E6A">
        <w:rPr>
          <w:rFonts w:ascii="Times New Roman" w:hAnsi="Times New Roman" w:cs="Times New Roman"/>
          <w:color w:val="000000" w:themeColor="text1"/>
          <w:sz w:val="26"/>
          <w:szCs w:val="26"/>
          <w:lang w:val="vi-VN"/>
        </w:rPr>
        <w:t>ai trò trung gian tài chính của ngân hàng giúp giảm chi phí giao dịch, hạn chế tình trạng thông tin bất cân xứng và phân tán rủi ro trong nền kinh tế. Nhờ đó, nguồn vốn được luân chuyển một cách hợp lý, góp phần thúc đẩy sản xuất kinh doanh phát triển và nâng cao hiệu quả hoạt động của toàn bộ nền kinh tế.</w:t>
      </w:r>
    </w:p>
    <w:p w14:paraId="4DF80C48" w14:textId="29E64C12" w:rsidR="008E52C0" w:rsidRPr="00A90E6A" w:rsidRDefault="008E52C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Thứ hai, ngân hàng thương mại là kênh cung ứng vốn chủ yếu cho nền kinh tế. Thông qua hoạt động cấp tín dụng, ngân hàng đáp ứng nhu cầu vốn cho doanh nghiệp, hộ kinh doanh và cá nhân nhằm phục vụ sản xuất kinh doanh, tiêu dùng và đầu tư. Nguồn vốn tín dụng ngân hàng giúp các chủ thể kinh tế mở rộng quy mô hoạt động, đổi mới công nghệ và nâng cao năng lực cạnh tranh</w:t>
      </w:r>
      <w:r w:rsidRPr="00A90E6A">
        <w:rPr>
          <w:rFonts w:ascii="Times New Roman" w:hAnsi="Times New Roman" w:cs="Times New Roman"/>
          <w:b/>
          <w:bCs/>
          <w:color w:val="000000" w:themeColor="text1"/>
          <w:sz w:val="26"/>
          <w:szCs w:val="26"/>
          <w:lang w:val="vi-VN"/>
        </w:rPr>
        <w:t xml:space="preserve">. </w:t>
      </w:r>
      <w:r w:rsidR="00D0419B" w:rsidRPr="00A90E6A">
        <w:rPr>
          <w:rFonts w:ascii="Times New Roman" w:hAnsi="Times New Roman" w:cs="Times New Roman"/>
          <w:color w:val="000000" w:themeColor="text1"/>
          <w:sz w:val="26"/>
          <w:szCs w:val="26"/>
          <w:lang w:val="vi-VN"/>
        </w:rPr>
        <w:t xml:space="preserve">Tín </w:t>
      </w:r>
      <w:r w:rsidRPr="00A90E6A">
        <w:rPr>
          <w:rFonts w:ascii="Times New Roman" w:hAnsi="Times New Roman" w:cs="Times New Roman"/>
          <w:color w:val="000000" w:themeColor="text1"/>
          <w:sz w:val="26"/>
          <w:szCs w:val="26"/>
          <w:lang w:val="vi-VN"/>
        </w:rPr>
        <w:t>dụng ngân hàng đóng vai trò quan trọng trong việc thúc đẩy tăng trưởng kinh tế, đặc biệt là trong bối cảnh các doanh nghiệp vừa và nhỏ chiếm tỷ trọng lớn nhưng lại hạn chế về khả năng tiếp cận nguồn vốn. Tuy nhiên, hoạt động này cũng tiềm ẩn nhiều rủi ro, do đó ngân hàng cần thực hiện tốt công tác thẩm định và quản lý tín dụng để đảm bảo hiệu quả và an toàn vốn.</w:t>
      </w:r>
    </w:p>
    <w:p w14:paraId="3FFBFE16" w14:textId="124D1481" w:rsidR="008E52C0" w:rsidRPr="00A90E6A" w:rsidRDefault="008E52C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ba, ngân hàng thương mại đóng vai trò là trung gian thanh toán và cung cấp các dịch vụ tài chính cho nền kinh tế. Ngân hàng cung cấp các dịch vụ thanh toán như chuyển khoản, thanh toán điện tử, dịch vụ thẻ, ngân hàng số,… giúp các giao dịch kinh tế được thực hiện nhanh chóng, an toàn và tiết kiệm chi phí. Điều này góp phần thúc đẩy lưu thông hàng hóa, dịch vụ và tăng tốc độ luân chuyển vốn trong nền kinh tế. </w:t>
      </w:r>
      <w:r w:rsidR="00D0419B" w:rsidRPr="00A90E6A">
        <w:rPr>
          <w:rFonts w:ascii="Times New Roman" w:hAnsi="Times New Roman" w:cs="Times New Roman"/>
          <w:color w:val="000000" w:themeColor="text1"/>
          <w:sz w:val="26"/>
          <w:szCs w:val="26"/>
          <w:lang w:val="vi-VN"/>
        </w:rPr>
        <w:t>H</w:t>
      </w:r>
      <w:r w:rsidRPr="00A90E6A">
        <w:rPr>
          <w:rFonts w:ascii="Times New Roman" w:hAnsi="Times New Roman" w:cs="Times New Roman"/>
          <w:color w:val="000000" w:themeColor="text1"/>
          <w:sz w:val="26"/>
          <w:szCs w:val="26"/>
          <w:lang w:val="vi-VN"/>
        </w:rPr>
        <w:t>ệ thống thanh toán do ngân hàng thương mại cung cấp là nền tảng quan trọng giúp duy trì sự vận hành hiệu quả của nền kinh tế hiện đại, đồng thời tạo ra nguồn thu đáng kể từ phí dịch vụ cho ngân hàng.</w:t>
      </w:r>
    </w:p>
    <w:p w14:paraId="3DAE21D4" w14:textId="3E968A9B" w:rsidR="00806C4F" w:rsidRPr="00A90E6A" w:rsidRDefault="008E52C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Thứ tư, ngân hàng thương mại góp phần thực hiện chính sách tiền tệ và ổn định kinh tế vĩ mô. Thông qua các hoạt động huy động vốn, cấp tín dụng và cung ứng dịch vụ tài chính, ngân hàng thương mại là kênh truyền dẫn chính sách tiền tệ của Ngân hàng Nhà nước đến nền kinh tế. Việc điều chỉnh lãi suất, hạn mức tín dụng hay các công cụ khác của chính sách tiền tệ đều được thực thi thông qua hệ thống ngân hàng thương mại. Điều này giúp kiểm soát lạm phát, ổn định giá trị đồng tiền và duy trì sự ổn định của thị trường tài chính. Bên cạnh đó, ngân hàng thương mại còn góp phần thúc đẩy hội nhập kinh tế quốc tế thông qua các hoạt động thanh toán quốc tế, kinh doanh ngoại hối và tài trợ thương mại, từ đó hỗ trợ nền kinh tế phát triển bền vững trong bối cảnh toàn cầu hóa.</w:t>
      </w:r>
    </w:p>
    <w:p w14:paraId="735A8A84" w14:textId="77777777" w:rsidR="00F92A23" w:rsidRDefault="00F92A23">
      <w:pPr>
        <w:rPr>
          <w:rFonts w:ascii="Times New Roman" w:hAnsi="Times New Roman" w:cs="Times New Roman"/>
          <w:b/>
          <w:bCs/>
          <w:color w:val="000000" w:themeColor="text1"/>
          <w:sz w:val="26"/>
          <w:szCs w:val="26"/>
          <w:lang w:val="vi-VN"/>
        </w:rPr>
      </w:pPr>
      <w:r>
        <w:rPr>
          <w:color w:val="000000" w:themeColor="text1"/>
          <w:lang w:val="vi-VN"/>
        </w:rPr>
        <w:br w:type="page"/>
      </w:r>
    </w:p>
    <w:p w14:paraId="4EC02FBD" w14:textId="44184D4E" w:rsidR="00E20C57" w:rsidRPr="00A90E6A" w:rsidRDefault="00E20C57">
      <w:pPr>
        <w:pStyle w:val="Heading2"/>
        <w:numPr>
          <w:ilvl w:val="0"/>
          <w:numId w:val="12"/>
        </w:numPr>
        <w:tabs>
          <w:tab w:val="clear" w:pos="6210"/>
          <w:tab w:val="left" w:pos="993"/>
        </w:tabs>
        <w:ind w:left="0" w:firstLine="567"/>
        <w:rPr>
          <w:color w:val="000000" w:themeColor="text1"/>
          <w:lang w:val="vi-VN"/>
        </w:rPr>
      </w:pPr>
      <w:bookmarkStart w:id="21" w:name="_Toc230962375"/>
      <w:r w:rsidRPr="00A90E6A">
        <w:rPr>
          <w:color w:val="000000" w:themeColor="text1"/>
          <w:lang w:val="vi-VN"/>
        </w:rPr>
        <w:lastRenderedPageBreak/>
        <w:t>Hoạt động cho vay sản xuất kinh doanh đối với khách hàng cá nhân tại ngân hàng thương mại.</w:t>
      </w:r>
      <w:bookmarkEnd w:id="21"/>
      <w:r w:rsidRPr="00A90E6A">
        <w:rPr>
          <w:color w:val="000000" w:themeColor="text1"/>
          <w:lang w:val="vi-VN"/>
        </w:rPr>
        <w:t xml:space="preserve"> </w:t>
      </w:r>
    </w:p>
    <w:p w14:paraId="3DF457B4" w14:textId="01C08BD1" w:rsidR="00E20C57" w:rsidRPr="00A90E6A" w:rsidRDefault="00E20C57" w:rsidP="008556FF">
      <w:pPr>
        <w:pStyle w:val="Heading3"/>
        <w:numPr>
          <w:ilvl w:val="2"/>
          <w:numId w:val="11"/>
        </w:numPr>
        <w:tabs>
          <w:tab w:val="clear" w:pos="6210"/>
          <w:tab w:val="left" w:pos="1276"/>
        </w:tabs>
        <w:ind w:left="0" w:firstLine="567"/>
        <w:rPr>
          <w:i w:val="0"/>
          <w:iCs w:val="0"/>
          <w:color w:val="000000" w:themeColor="text1"/>
          <w:lang w:val="vi-VN"/>
        </w:rPr>
      </w:pPr>
      <w:bookmarkStart w:id="22" w:name="_Toc230962376"/>
      <w:r w:rsidRPr="00A90E6A">
        <w:rPr>
          <w:i w:val="0"/>
          <w:iCs w:val="0"/>
          <w:color w:val="000000" w:themeColor="text1"/>
          <w:lang w:val="vi-VN"/>
        </w:rPr>
        <w:t>Khái niệm cho vay sản xuất kinh doanh</w:t>
      </w:r>
      <w:r w:rsidR="00881EA5" w:rsidRPr="00A90E6A">
        <w:rPr>
          <w:i w:val="0"/>
          <w:iCs w:val="0"/>
          <w:color w:val="000000" w:themeColor="text1"/>
          <w:lang w:val="vi-VN"/>
        </w:rPr>
        <w:t xml:space="preserve"> đối với </w:t>
      </w:r>
      <w:r w:rsidR="00980598" w:rsidRPr="00A90E6A">
        <w:rPr>
          <w:i w:val="0"/>
          <w:iCs w:val="0"/>
          <w:color w:val="000000" w:themeColor="text1"/>
          <w:lang w:val="vi-VN"/>
        </w:rPr>
        <w:t>khách hàng cá nhân</w:t>
      </w:r>
      <w:r w:rsidR="00BA5F31" w:rsidRPr="00A90E6A">
        <w:rPr>
          <w:i w:val="0"/>
          <w:iCs w:val="0"/>
          <w:color w:val="000000" w:themeColor="text1"/>
          <w:lang w:val="vi-VN"/>
        </w:rPr>
        <w:t>.</w:t>
      </w:r>
      <w:bookmarkEnd w:id="22"/>
      <w:r w:rsidRPr="00A90E6A">
        <w:rPr>
          <w:i w:val="0"/>
          <w:iCs w:val="0"/>
          <w:color w:val="000000" w:themeColor="text1"/>
          <w:lang w:val="vi-VN"/>
        </w:rPr>
        <w:t xml:space="preserve"> </w:t>
      </w:r>
    </w:p>
    <w:p w14:paraId="75D31882" w14:textId="72252859" w:rsidR="0074726E" w:rsidRPr="00A90E6A" w:rsidRDefault="000B2B7A" w:rsidP="000A4267">
      <w:pPr>
        <w:tabs>
          <w:tab w:val="left" w:pos="426"/>
        </w:tabs>
        <w:spacing w:after="0" w:line="360" w:lineRule="auto"/>
        <w:ind w:firstLine="567"/>
        <w:jc w:val="both"/>
        <w:rPr>
          <w:rFonts w:ascii="Times New Roman" w:hAnsi="Times New Roman" w:cs="Times New Roman"/>
          <w:sz w:val="26"/>
          <w:szCs w:val="26"/>
          <w:lang w:val="vi-VN"/>
        </w:rPr>
      </w:pPr>
      <w:r w:rsidRPr="00A90E6A">
        <w:rPr>
          <w:rFonts w:ascii="Times New Roman" w:hAnsi="Times New Roman" w:cs="Times New Roman"/>
          <w:color w:val="000000" w:themeColor="text1"/>
          <w:sz w:val="26"/>
          <w:szCs w:val="26"/>
          <w:lang w:val="vi-VN"/>
        </w:rPr>
        <w:t>Theo khoản 1 Điều 2 Thông tư số 39/2016/TT-NHNN của Ngân hàng Nhà nước Việt Nam: “Cho vay là hình thức cấp tín dụng, theo đó tổ chức tín dụng giao hoặc cam kết giao cho khách hàng một khoản tiền để sử dụng vào mục đích xác định trong một thời gian nhất định theo thỏa thuận, với nguyên tắc có hoàn trả cả gốc và lãi.”</w:t>
      </w:r>
      <w:r w:rsidR="0074726E" w:rsidRPr="00A90E6A">
        <w:rPr>
          <w:rFonts w:ascii="Times New Roman" w:hAnsi="Times New Roman" w:cs="Times New Roman"/>
          <w:sz w:val="26"/>
          <w:szCs w:val="26"/>
          <w:lang w:val="vi-VN"/>
        </w:rPr>
        <w:t xml:space="preserve"> </w:t>
      </w:r>
    </w:p>
    <w:p w14:paraId="490BE45B" w14:textId="4382390A" w:rsidR="0074726E" w:rsidRPr="00A90E6A" w:rsidRDefault="0074726E" w:rsidP="0074726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Theo Khoản 5 Điều 2 Văn bản hợp nhất số 21/VBHN-NHNN năm 2024, cho vay phục vụ hoạt động kinh doanh, hoạt động khác (sau đây gọi chung là hoạt động kinh doanh) là một trong những hoạt động cấp tín dụng quan trọng của ngân hàng thương mại, nhằm đáp ứng nhu cầu vốn phục vụ các hoạt động tạo ra hàng hóa và dịch vụ của cá nhân, hộ gia đình và các chủ thể kinh tế. Hoạt động này gắn liền với chức năng trung gian tài chính của ngân hàng, góp phần thúc đẩy quá trình sản xuất, lưu thông hàng hóa và phát triển kinh tế.</w:t>
      </w:r>
    </w:p>
    <w:p w14:paraId="6844559E" w14:textId="77777777" w:rsidR="0074726E" w:rsidRPr="00A90E6A" w:rsidRDefault="0074726E" w:rsidP="0074726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Theo khoản 4 Điều 4 Luật các tổ chức tín dụng 2024 số 32/2024/QH15, cấp tín dụng là việc tổ chức tín dụng thỏa thuận để khách hàng sử dụng một khoản tiền hoặc cam kết cho phép sử dụng một khoản tiền theo nguyên tắc có hoàn trả thông qua các nghiệp vụ như cho vay, chiết khấu, bảo lãnh ngân hàng và các hình thức khác. Trong đó, cho vay là hình thức phổ biến nhất, thể hiện việc ngân hàng chuyển giao quyền sử dụng vốn cho khách hàng trong một thời gian nhất định, với cam kết hoàn trả đầy đủ cả gốc và lãi theo thỏa thuận.</w:t>
      </w:r>
    </w:p>
    <w:p w14:paraId="20957115" w14:textId="77777777" w:rsidR="0074726E" w:rsidRPr="00A90E6A" w:rsidRDefault="0074726E" w:rsidP="0074726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Theo Nguyễn Thị Mùi (2008), cho vay sản xuất kinh doanh là hoạt động của ngân hàng nhằm đáp ứng nhu cầu vốn kinh doanh của khách hàng, chủ yếu là vốn ngắn hạn để bổ sung phần vốn lưu động còn thiếu của doanh nghiệp và hộ sản xuất kinh doanh. Thông qua việc sử dụng vốn vay, khách hàng duy trì và phát triển hoạt động kinh doanh, từ đó tạo ra thu nhập để hoàn trả cho ngân hàng.</w:t>
      </w:r>
    </w:p>
    <w:p w14:paraId="201FEE93" w14:textId="77777777" w:rsidR="0074726E" w:rsidRPr="00A90E6A" w:rsidRDefault="0074726E" w:rsidP="0074726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Từ các quan điểm trên có thể thấy, mặc dù cách diễn đạt khác nhau nhưng đều thống nhất ở những nội dung cơ bản như: mục đích sử dụng vốn phục vụ hoạt động sản xuất kinh doanh; có sự chuyển giao quyền sử dụng vốn từ ngân hàng sang khách hàng; và có nghĩa vụ hoàn trả cả gốc và lãi trong thời hạn đã thỏa thuận.</w:t>
      </w:r>
    </w:p>
    <w:p w14:paraId="30B8D852" w14:textId="399A5566" w:rsidR="000B2B7A" w:rsidRPr="00A90E6A" w:rsidRDefault="0074726E" w:rsidP="0074726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Từ đó, có thể rút ra khái niệm: </w:t>
      </w:r>
      <w:r w:rsidR="00881EA5" w:rsidRPr="00A90E6A">
        <w:rPr>
          <w:rFonts w:ascii="Times New Roman" w:hAnsi="Times New Roman" w:cs="Times New Roman"/>
          <w:color w:val="000000" w:themeColor="text1"/>
          <w:sz w:val="26"/>
          <w:szCs w:val="26"/>
          <w:lang w:val="vi-VN"/>
        </w:rPr>
        <w:t>“C</w:t>
      </w:r>
      <w:r w:rsidRPr="00A90E6A">
        <w:rPr>
          <w:rFonts w:ascii="Times New Roman" w:hAnsi="Times New Roman" w:cs="Times New Roman"/>
          <w:color w:val="000000" w:themeColor="text1"/>
          <w:sz w:val="26"/>
          <w:szCs w:val="26"/>
          <w:lang w:val="vi-VN"/>
        </w:rPr>
        <w:t xml:space="preserve">ho vay sản xuất kinh doanh đối với khách hàng cá nhân là hình thức cấp tín dụng mà ngân hàng thương mại cung cấp vốn cho cá nhân </w:t>
      </w:r>
      <w:r w:rsidRPr="00A90E6A">
        <w:rPr>
          <w:rFonts w:ascii="Times New Roman" w:hAnsi="Times New Roman" w:cs="Times New Roman"/>
          <w:color w:val="000000" w:themeColor="text1"/>
          <w:sz w:val="26"/>
          <w:szCs w:val="26"/>
          <w:lang w:val="vi-VN"/>
        </w:rPr>
        <w:lastRenderedPageBreak/>
        <w:t>hoặc hộ kinh doanh nhằm phục vụ hoạt động sản xuất, kinh doanh hàng hóa và dịch vụ, trên cơ sở hoàn trả đầy đủ cả gốc và lãi trong thời hạn đã thỏa thuận, đồng thời đảm bảo mục tiêu sinh lợi và kiểm soát rủi ro cho ngân hàng.</w:t>
      </w:r>
      <w:r w:rsidR="00881EA5" w:rsidRPr="00A90E6A">
        <w:rPr>
          <w:rFonts w:ascii="Times New Roman" w:hAnsi="Times New Roman" w:cs="Times New Roman"/>
          <w:color w:val="000000" w:themeColor="text1"/>
          <w:sz w:val="26"/>
          <w:szCs w:val="26"/>
          <w:lang w:val="vi-VN"/>
        </w:rPr>
        <w:t>”</w:t>
      </w:r>
    </w:p>
    <w:p w14:paraId="61D55966" w14:textId="4289DFE7" w:rsidR="00E20C57" w:rsidRPr="00A90E6A" w:rsidRDefault="00E20C57" w:rsidP="008556FF">
      <w:pPr>
        <w:pStyle w:val="Heading3"/>
        <w:numPr>
          <w:ilvl w:val="2"/>
          <w:numId w:val="11"/>
        </w:numPr>
        <w:tabs>
          <w:tab w:val="clear" w:pos="6210"/>
          <w:tab w:val="left" w:pos="1276"/>
        </w:tabs>
        <w:ind w:left="0" w:firstLine="567"/>
        <w:rPr>
          <w:i w:val="0"/>
          <w:iCs w:val="0"/>
          <w:color w:val="000000" w:themeColor="text1"/>
          <w:lang w:val="vi-VN"/>
        </w:rPr>
      </w:pPr>
      <w:bookmarkStart w:id="23" w:name="_Toc230962377"/>
      <w:r w:rsidRPr="00A90E6A">
        <w:rPr>
          <w:i w:val="0"/>
          <w:iCs w:val="0"/>
          <w:color w:val="000000" w:themeColor="text1"/>
          <w:lang w:val="vi-VN"/>
        </w:rPr>
        <w:t>Đặc điểm cho vay sản xuất kinh doanh</w:t>
      </w:r>
      <w:r w:rsidR="00881EA5" w:rsidRPr="00A90E6A">
        <w:rPr>
          <w:i w:val="0"/>
          <w:iCs w:val="0"/>
          <w:color w:val="000000" w:themeColor="text1"/>
          <w:lang w:val="vi-VN"/>
        </w:rPr>
        <w:t xml:space="preserve"> đối với </w:t>
      </w:r>
      <w:r w:rsidR="00980598" w:rsidRPr="00A90E6A">
        <w:rPr>
          <w:i w:val="0"/>
          <w:iCs w:val="0"/>
          <w:color w:val="000000" w:themeColor="text1"/>
          <w:lang w:val="vi-VN"/>
        </w:rPr>
        <w:t>khách hàng cá nhân</w:t>
      </w:r>
      <w:r w:rsidR="00BA5F31" w:rsidRPr="00A90E6A">
        <w:rPr>
          <w:i w:val="0"/>
          <w:iCs w:val="0"/>
          <w:color w:val="000000" w:themeColor="text1"/>
          <w:lang w:val="vi-VN"/>
        </w:rPr>
        <w:t>.</w:t>
      </w:r>
      <w:bookmarkEnd w:id="23"/>
      <w:r w:rsidRPr="00A90E6A">
        <w:rPr>
          <w:i w:val="0"/>
          <w:iCs w:val="0"/>
          <w:color w:val="000000" w:themeColor="text1"/>
          <w:lang w:val="vi-VN"/>
        </w:rPr>
        <w:t xml:space="preserve"> </w:t>
      </w:r>
    </w:p>
    <w:p w14:paraId="19DDD537" w14:textId="42ECA64F" w:rsidR="00F844CB" w:rsidRPr="00A90E6A" w:rsidRDefault="00FA4F4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nhất, cho vay sản xuất kinh doanh gắn liền với mục đích sử dụng vốn cụ thể và tạo ra giá trị gia tăng. Vốn vay được sử dụng trực tiếp vào các hoạt động sản xuất, buôn bán, cung ứng dịch vụ nhằm tạo ra thu nhập và lợi nhuận, từ đó hình thành nguồn trả nợ cho ngân hàng. Do đó, ngân hàng luôn yêu cầu khách hàng xây dựng phương án sản xuất kinh doanh rõ ràng, khả thi và có hiệu quả. </w:t>
      </w:r>
      <w:r w:rsidR="00E4555D" w:rsidRPr="00A90E6A">
        <w:rPr>
          <w:rFonts w:ascii="Times New Roman" w:hAnsi="Times New Roman" w:cs="Times New Roman"/>
          <w:color w:val="000000" w:themeColor="text1"/>
          <w:sz w:val="26"/>
          <w:szCs w:val="26"/>
          <w:lang w:val="vi-VN"/>
        </w:rPr>
        <w:t>M</w:t>
      </w:r>
      <w:r w:rsidRPr="00A90E6A">
        <w:rPr>
          <w:rFonts w:ascii="Times New Roman" w:hAnsi="Times New Roman" w:cs="Times New Roman"/>
          <w:color w:val="000000" w:themeColor="text1"/>
          <w:sz w:val="26"/>
          <w:szCs w:val="26"/>
          <w:lang w:val="vi-VN"/>
        </w:rPr>
        <w:t>ục đích sử dụng vốn là yếu tố cốt lõi trong hoạt động tín dụng, quyết định đến hiệu quả sử dụng vốn và khả năng hoàn trả của khách hàng.</w:t>
      </w:r>
      <w:r w:rsidR="00F844CB" w:rsidRPr="00A90E6A">
        <w:rPr>
          <w:rFonts w:ascii="Times New Roman" w:hAnsi="Times New Roman" w:cs="Times New Roman"/>
          <w:color w:val="000000" w:themeColor="text1"/>
          <w:sz w:val="26"/>
          <w:szCs w:val="26"/>
          <w:lang w:val="vi-VN"/>
        </w:rPr>
        <w:t xml:space="preserve"> </w:t>
      </w:r>
    </w:p>
    <w:p w14:paraId="7E1B1475" w14:textId="43F48517" w:rsidR="00FA4F40" w:rsidRPr="00A90E6A" w:rsidRDefault="00FA4F4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hai, cho vay sản xuất kinh doanh phụ thuộc lớn vào hiệu quả hoạt động và năng lực của khách hàng vay vốn. Khả năng trả nợ của khách hàng chủ yếu dựa vào dòng tiền từ hoạt động kinh doanh thay vì chỉ dựa vào tài sản đảm bảo. Điều này làm cho ngân hàng phải chú trọng đến việc đánh giá năng lực quản lý, kinh nghiệm kinh doanh và tình hình tài chính của khách hàng. </w:t>
      </w:r>
      <w:r w:rsidR="00E4555D" w:rsidRPr="00A90E6A">
        <w:rPr>
          <w:rFonts w:ascii="Times New Roman" w:hAnsi="Times New Roman" w:cs="Times New Roman"/>
          <w:color w:val="000000" w:themeColor="text1"/>
          <w:sz w:val="26"/>
          <w:szCs w:val="26"/>
          <w:lang w:val="vi-VN"/>
        </w:rPr>
        <w:t>R</w:t>
      </w:r>
      <w:r w:rsidRPr="00A90E6A">
        <w:rPr>
          <w:rFonts w:ascii="Times New Roman" w:hAnsi="Times New Roman" w:cs="Times New Roman"/>
          <w:color w:val="000000" w:themeColor="text1"/>
          <w:sz w:val="26"/>
          <w:szCs w:val="26"/>
          <w:lang w:val="vi-VN"/>
        </w:rPr>
        <w:t>ủi ro tín dụng phát sinh khi dòng tiền thực tế không đạt như dự kiến, do đó việc thẩm định và giám sát khoản vay là yếu tố then chốt trong hoạt động cho vay.</w:t>
      </w:r>
    </w:p>
    <w:p w14:paraId="6FECD5D8" w14:textId="00868B6A" w:rsidR="00FA4F40" w:rsidRPr="00A90E6A" w:rsidRDefault="00FA4F4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Thứ ba, cho vay sản xuất kinh doanh có tính đa dạng về quy mô, thời hạn và hình thức. Tùy theo nhu cầu vốn và đặc điểm hoạt động của khách hàng, ngân hàng có thể cung cấp các khoản</w:t>
      </w:r>
      <w:r w:rsidR="00B9784C" w:rsidRPr="00A90E6A">
        <w:rPr>
          <w:rFonts w:ascii="Times New Roman" w:hAnsi="Times New Roman" w:cs="Times New Roman"/>
          <w:color w:val="000000" w:themeColor="text1"/>
          <w:sz w:val="26"/>
          <w:szCs w:val="26"/>
          <w:lang w:val="vi-VN"/>
        </w:rPr>
        <w:t xml:space="preserve"> cho</w:t>
      </w:r>
      <w:r w:rsidRPr="00A90E6A">
        <w:rPr>
          <w:rFonts w:ascii="Times New Roman" w:hAnsi="Times New Roman" w:cs="Times New Roman"/>
          <w:color w:val="000000" w:themeColor="text1"/>
          <w:sz w:val="26"/>
          <w:szCs w:val="26"/>
          <w:lang w:val="vi-VN"/>
        </w:rPr>
        <w:t xml:space="preserve"> vay ngắn hạn để bổ sung vốn lưu động hoặc trung và dài hạn để đầu tư mở rộng sản xuất. Đồng thời, các hình thức cho vay cũng đa dạng như cho vay từng lần, cho vay theo hạn mức tín dụng, cho vay theo dự án,… </w:t>
      </w:r>
      <w:r w:rsidR="00E4555D" w:rsidRPr="00A90E6A">
        <w:rPr>
          <w:rFonts w:ascii="Times New Roman" w:hAnsi="Times New Roman" w:cs="Times New Roman"/>
          <w:color w:val="000000" w:themeColor="text1"/>
          <w:sz w:val="26"/>
          <w:szCs w:val="26"/>
          <w:lang w:val="vi-VN"/>
        </w:rPr>
        <w:t>S</w:t>
      </w:r>
      <w:r w:rsidRPr="00A90E6A">
        <w:rPr>
          <w:rFonts w:ascii="Times New Roman" w:hAnsi="Times New Roman" w:cs="Times New Roman"/>
          <w:color w:val="000000" w:themeColor="text1"/>
          <w:sz w:val="26"/>
          <w:szCs w:val="26"/>
          <w:lang w:val="vi-VN"/>
        </w:rPr>
        <w:t>ự linh hoạt trong hoạt động tín dụng giúp ngân hàng nâng cao khả năng cạnh tranh và đáp ứng tốt hơn nhu cầu vốn của nền kinh tế.</w:t>
      </w:r>
    </w:p>
    <w:p w14:paraId="22B1B1B8" w14:textId="74BBBD69" w:rsidR="009E0361" w:rsidRDefault="00FA4F40" w:rsidP="009E036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tư, cho vay sản xuất kinh doanh tiềm ẩn nhiều rủi ro và chịu ảnh hưởng bởi môi trường kinh tế. Hoạt động kinh doanh của khách hàng chịu tác động của nhiều yếu tố như biến động thị trường, giá cả, lãi suất, chính sách kinh tế và cạnh tranh ngành. Những yếu tố này có thể ảnh hưởng trực tiếp đến khả năng sinh lời và trả nợ của khách hàng. </w:t>
      </w:r>
      <w:r w:rsidR="00E4555D" w:rsidRPr="00A90E6A">
        <w:rPr>
          <w:rFonts w:ascii="Times New Roman" w:hAnsi="Times New Roman" w:cs="Times New Roman"/>
          <w:color w:val="000000" w:themeColor="text1"/>
          <w:sz w:val="26"/>
          <w:szCs w:val="26"/>
          <w:lang w:val="vi-VN"/>
        </w:rPr>
        <w:t>C</w:t>
      </w:r>
      <w:r w:rsidRPr="00A90E6A">
        <w:rPr>
          <w:rFonts w:ascii="Times New Roman" w:hAnsi="Times New Roman" w:cs="Times New Roman"/>
          <w:color w:val="000000" w:themeColor="text1"/>
          <w:sz w:val="26"/>
          <w:szCs w:val="26"/>
          <w:lang w:val="vi-VN"/>
        </w:rPr>
        <w:t>ho vay đối với khu vực sản xuất kinh doanh, đặc biệt là khách hàng cá nhân và hộ kinh doanh, thường có mức độ rủi ro cao do quy mô nhỏ, năng lực tài chính hạn chế và thông tin chưa minh bạch.</w:t>
      </w:r>
    </w:p>
    <w:p w14:paraId="7085F47E" w14:textId="77B7B533" w:rsidR="00806C4F" w:rsidRPr="00A90E6A" w:rsidRDefault="00E20C57" w:rsidP="008556FF">
      <w:pPr>
        <w:pStyle w:val="Heading3"/>
        <w:numPr>
          <w:ilvl w:val="2"/>
          <w:numId w:val="11"/>
        </w:numPr>
        <w:tabs>
          <w:tab w:val="clear" w:pos="6210"/>
          <w:tab w:val="left" w:pos="1276"/>
        </w:tabs>
        <w:ind w:left="0" w:firstLine="567"/>
        <w:rPr>
          <w:i w:val="0"/>
          <w:iCs w:val="0"/>
          <w:color w:val="000000" w:themeColor="text1"/>
          <w:lang w:val="vi-VN"/>
        </w:rPr>
      </w:pPr>
      <w:bookmarkStart w:id="24" w:name="_Toc230962378"/>
      <w:r w:rsidRPr="00A90E6A">
        <w:rPr>
          <w:i w:val="0"/>
          <w:iCs w:val="0"/>
          <w:color w:val="000000" w:themeColor="text1"/>
          <w:lang w:val="vi-VN"/>
        </w:rPr>
        <w:lastRenderedPageBreak/>
        <w:t>Phân loại cho vay sản xuất kinh doanh</w:t>
      </w:r>
      <w:r w:rsidR="00881EA5" w:rsidRPr="00A90E6A">
        <w:rPr>
          <w:i w:val="0"/>
          <w:iCs w:val="0"/>
          <w:color w:val="000000" w:themeColor="text1"/>
          <w:lang w:val="vi-VN"/>
        </w:rPr>
        <w:t xml:space="preserve"> đối với </w:t>
      </w:r>
      <w:r w:rsidR="00980598" w:rsidRPr="00A90E6A">
        <w:rPr>
          <w:i w:val="0"/>
          <w:iCs w:val="0"/>
          <w:color w:val="000000" w:themeColor="text1"/>
          <w:lang w:val="vi-VN"/>
        </w:rPr>
        <w:t>khách hàng cá nhân</w:t>
      </w:r>
      <w:r w:rsidR="00881EA5" w:rsidRPr="00A90E6A">
        <w:rPr>
          <w:i w:val="0"/>
          <w:iCs w:val="0"/>
          <w:color w:val="000000" w:themeColor="text1"/>
          <w:lang w:val="vi-VN"/>
        </w:rPr>
        <w:t>.</w:t>
      </w:r>
      <w:bookmarkEnd w:id="24"/>
    </w:p>
    <w:p w14:paraId="3271DE09" w14:textId="77777777" w:rsidR="006E55A8" w:rsidRPr="00A90E6A" w:rsidRDefault="006E55A8"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sản xuất kinh doanh tại ngân hàng thương mại được phân loại theo nhiều tiêu chí khác nhau nhằm phục vụ công tác quản lý, kiểm soát rủi ro và đáp ứng đa dạng nhu cầu của khách hàng. Việc phân loại giúp ngân hàng xây dựng chính sách tín dụng phù hợp, nâng cao hiệu quả hoạt động cho vay và đảm bảo an toàn vốn.</w:t>
      </w:r>
    </w:p>
    <w:p w14:paraId="390341C8" w14:textId="61620FCC" w:rsidR="002431EC" w:rsidRPr="00A90E6A" w:rsidRDefault="002431EC" w:rsidP="002431EC">
      <w:pPr>
        <w:tabs>
          <w:tab w:val="left" w:pos="6210"/>
        </w:tabs>
        <w:spacing w:after="0" w:line="360" w:lineRule="auto"/>
        <w:ind w:firstLine="709"/>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a) Căn cứ vào thời hạn cho vay: </w:t>
      </w:r>
    </w:p>
    <w:p w14:paraId="4CFF5D23" w14:textId="353FE39D"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Tùy thuộc vào thời </w:t>
      </w:r>
      <w:r w:rsidR="00CB3DB3" w:rsidRPr="00A90E6A">
        <w:rPr>
          <w:rFonts w:ascii="Times New Roman" w:hAnsi="Times New Roman" w:cs="Times New Roman"/>
          <w:color w:val="000000" w:themeColor="text1"/>
          <w:sz w:val="26"/>
          <w:szCs w:val="26"/>
          <w:lang w:val="vi-VN"/>
        </w:rPr>
        <w:t>hạn,</w:t>
      </w:r>
      <w:r w:rsidRPr="00A90E6A">
        <w:rPr>
          <w:rFonts w:ascii="Times New Roman" w:hAnsi="Times New Roman" w:cs="Times New Roman"/>
          <w:color w:val="000000" w:themeColor="text1"/>
          <w:sz w:val="26"/>
          <w:szCs w:val="26"/>
          <w:lang w:val="vi-VN"/>
        </w:rPr>
        <w:t xml:space="preserve"> cho vay được chia  làm 3 loại:</w:t>
      </w:r>
    </w:p>
    <w:p w14:paraId="7BA4EC7D" w14:textId="7AECC54B"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ngắn hạn: là các khoản</w:t>
      </w:r>
      <w:r w:rsidR="00881EA5" w:rsidRPr="00A90E6A">
        <w:rPr>
          <w:rFonts w:ascii="Times New Roman" w:hAnsi="Times New Roman" w:cs="Times New Roman"/>
          <w:color w:val="000000" w:themeColor="text1"/>
          <w:sz w:val="26"/>
          <w:szCs w:val="26"/>
          <w:lang w:val="vi-VN"/>
        </w:rPr>
        <w:t xml:space="preserve"> cho</w:t>
      </w:r>
      <w:r w:rsidRPr="00A90E6A">
        <w:rPr>
          <w:rFonts w:ascii="Times New Roman" w:hAnsi="Times New Roman" w:cs="Times New Roman"/>
          <w:color w:val="000000" w:themeColor="text1"/>
          <w:sz w:val="26"/>
          <w:szCs w:val="26"/>
          <w:lang w:val="vi-VN"/>
        </w:rPr>
        <w:t xml:space="preserve"> vay có thời hạn cho vay đến 12 tháng. Mục đích của loại này thường là nhằm tài trợ cho việc đầu tư vào tài sản lưu động của các doanh nghiệp, và các nhu cầu chi tiêu ngắn hạn của cá nhân.</w:t>
      </w:r>
    </w:p>
    <w:p w14:paraId="01118361" w14:textId="65054149"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trung hạn: là các khoản</w:t>
      </w:r>
      <w:r w:rsidR="00CB3DB3" w:rsidRPr="00A90E6A">
        <w:rPr>
          <w:rFonts w:ascii="Times New Roman" w:hAnsi="Times New Roman" w:cs="Times New Roman"/>
          <w:color w:val="000000" w:themeColor="text1"/>
          <w:sz w:val="26"/>
          <w:szCs w:val="26"/>
          <w:lang w:val="vi-VN"/>
        </w:rPr>
        <w:t xml:space="preserve"> cho</w:t>
      </w:r>
      <w:r w:rsidRPr="00A90E6A">
        <w:rPr>
          <w:rFonts w:ascii="Times New Roman" w:hAnsi="Times New Roman" w:cs="Times New Roman"/>
          <w:color w:val="000000" w:themeColor="text1"/>
          <w:sz w:val="26"/>
          <w:szCs w:val="26"/>
          <w:lang w:val="vi-VN"/>
        </w:rPr>
        <w:t xml:space="preserve"> vay có thời hạn cho vay từ trên 12 tháng đến 60 tháng. Mục đích của loại cho vay này là nhằm tài trợ vào tài sản cố định. Đổi mới hoặc cải tiến thiết bị máy móc, mở rộng kinh doanh, xây dựng các dự án có quy mô nhỏ và thời gian thu hồi nhanh.</w:t>
      </w:r>
    </w:p>
    <w:p w14:paraId="17E9DF68" w14:textId="1FF2DAB4"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Cho vay dài hạn: là các khoản cho vay từ trên 60 tháng trở lên. Mục đích của loại cho vay này thường là nhằm tài trợ cho các dự án đầu tư, xây dựng nhà </w:t>
      </w:r>
      <w:r w:rsidR="00CB3DB3" w:rsidRPr="00A90E6A">
        <w:rPr>
          <w:rFonts w:ascii="Times New Roman" w:hAnsi="Times New Roman" w:cs="Times New Roman"/>
          <w:color w:val="000000" w:themeColor="text1"/>
          <w:sz w:val="26"/>
          <w:szCs w:val="26"/>
          <w:lang w:val="vi-VN"/>
        </w:rPr>
        <w:t>xưởng</w:t>
      </w:r>
      <w:r w:rsidRPr="00A90E6A">
        <w:rPr>
          <w:rFonts w:ascii="Times New Roman" w:hAnsi="Times New Roman" w:cs="Times New Roman"/>
          <w:color w:val="000000" w:themeColor="text1"/>
          <w:sz w:val="26"/>
          <w:szCs w:val="26"/>
          <w:lang w:val="vi-VN"/>
        </w:rPr>
        <w:t xml:space="preserve">, </w:t>
      </w:r>
      <w:r w:rsidR="00CB3DB3" w:rsidRPr="00A90E6A">
        <w:rPr>
          <w:rFonts w:ascii="Times New Roman" w:hAnsi="Times New Roman" w:cs="Times New Roman"/>
          <w:color w:val="000000" w:themeColor="text1"/>
          <w:sz w:val="26"/>
          <w:szCs w:val="26"/>
          <w:lang w:val="vi-VN"/>
        </w:rPr>
        <w:t xml:space="preserve">mua sắm </w:t>
      </w:r>
      <w:r w:rsidRPr="00A90E6A">
        <w:rPr>
          <w:rFonts w:ascii="Times New Roman" w:hAnsi="Times New Roman" w:cs="Times New Roman"/>
          <w:color w:val="000000" w:themeColor="text1"/>
          <w:sz w:val="26"/>
          <w:szCs w:val="26"/>
          <w:lang w:val="vi-VN"/>
        </w:rPr>
        <w:t>thiết bị, phương tiện vận tải có quy mô lớn.</w:t>
      </w:r>
    </w:p>
    <w:p w14:paraId="022C50FC" w14:textId="5CFD9776" w:rsidR="002431EC" w:rsidRPr="00A90E6A" w:rsidRDefault="002431EC" w:rsidP="002431EC">
      <w:pPr>
        <w:tabs>
          <w:tab w:val="left" w:pos="6210"/>
        </w:tabs>
        <w:spacing w:after="0" w:line="360" w:lineRule="auto"/>
        <w:ind w:firstLine="709"/>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 Căn cứ vào mục đích sử dụng vốn: </w:t>
      </w:r>
    </w:p>
    <w:p w14:paraId="792B7500"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Dựa vào mục đích vay vốn, cho vay có thể phân chia thành 2 loại sau:</w:t>
      </w:r>
    </w:p>
    <w:p w14:paraId="133471F6"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bổ sung vốn lưu động: Là khoản cho vay nhằm hỗ trợ khách hàng thanh toán các chi phí phát sinh trong chu kỳ kinh doanh ngắn hạn như: mua nguyên nhiên vật liệu, hàng hóa, thanh toán lương, thuế... giúp đảm bảo hoạt động kinh doanh diễn ra liên tục.</w:t>
      </w:r>
    </w:p>
    <w:p w14:paraId="5E049AFF" w14:textId="4121CAB5" w:rsidR="002431EC" w:rsidRPr="00A90E6A" w:rsidRDefault="002431EC" w:rsidP="00BD243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đầu tư tài sản cố định: Là khoản cho vay nhằm phục vụ nhu cầu mua sắm máy móc thiết bị, phương tiện vận tải, xây dựng nhà xưởng, văn phòng hoặc mở rộng quy mô cơ sở sản xuất kinh doanh của khách hàng.</w:t>
      </w:r>
    </w:p>
    <w:p w14:paraId="10F6EC3A" w14:textId="486A6748" w:rsidR="007D7C98" w:rsidRPr="00A90E6A" w:rsidRDefault="002431EC" w:rsidP="007D7C98">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c) </w:t>
      </w:r>
      <w:r w:rsidR="007D7C98" w:rsidRPr="00A90E6A">
        <w:rPr>
          <w:rFonts w:ascii="Times New Roman" w:hAnsi="Times New Roman" w:cs="Times New Roman"/>
          <w:b/>
          <w:bCs/>
          <w:color w:val="000000" w:themeColor="text1"/>
          <w:sz w:val="26"/>
          <w:szCs w:val="26"/>
          <w:lang w:val="vi-VN"/>
        </w:rPr>
        <w:t xml:space="preserve">Căn cứ vào hình thức đảm bảo nợ </w:t>
      </w:r>
      <w:r w:rsidR="00933F7A" w:rsidRPr="00A90E6A">
        <w:rPr>
          <w:rFonts w:ascii="Times New Roman" w:hAnsi="Times New Roman" w:cs="Times New Roman"/>
          <w:b/>
          <w:bCs/>
          <w:color w:val="000000" w:themeColor="text1"/>
          <w:sz w:val="26"/>
          <w:szCs w:val="26"/>
          <w:lang w:val="vi-VN"/>
        </w:rPr>
        <w:t>vay:</w:t>
      </w:r>
    </w:p>
    <w:p w14:paraId="6BD11B60" w14:textId="1C874C4D" w:rsidR="007D7C98" w:rsidRPr="00A90E6A" w:rsidRDefault="007D7C98" w:rsidP="007D7C98">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không có</w:t>
      </w:r>
      <w:r w:rsidR="00933F7A" w:rsidRPr="00A90E6A">
        <w:rPr>
          <w:rFonts w:ascii="Times New Roman" w:hAnsi="Times New Roman" w:cs="Times New Roman"/>
          <w:color w:val="000000" w:themeColor="text1"/>
          <w:sz w:val="26"/>
          <w:szCs w:val="26"/>
          <w:lang w:val="vi-VN"/>
        </w:rPr>
        <w:t xml:space="preserve"> tài sản đảm bảo</w:t>
      </w:r>
      <w:r w:rsidRPr="00A90E6A">
        <w:rPr>
          <w:rFonts w:ascii="Times New Roman" w:hAnsi="Times New Roman" w:cs="Times New Roman"/>
          <w:color w:val="000000" w:themeColor="text1"/>
          <w:sz w:val="26"/>
          <w:szCs w:val="26"/>
          <w:lang w:val="vi-VN"/>
        </w:rPr>
        <w:t xml:space="preserve"> </w:t>
      </w:r>
      <w:r w:rsidR="00933F7A" w:rsidRPr="00A90E6A">
        <w:rPr>
          <w:rFonts w:ascii="Times New Roman" w:hAnsi="Times New Roman" w:cs="Times New Roman"/>
          <w:color w:val="000000" w:themeColor="text1"/>
          <w:sz w:val="26"/>
          <w:szCs w:val="26"/>
          <w:lang w:val="vi-VN"/>
        </w:rPr>
        <w:t xml:space="preserve">(TSĐB - </w:t>
      </w:r>
      <w:r w:rsidRPr="00A90E6A">
        <w:rPr>
          <w:rFonts w:ascii="Times New Roman" w:hAnsi="Times New Roman" w:cs="Times New Roman"/>
          <w:color w:val="000000" w:themeColor="text1"/>
          <w:sz w:val="26"/>
          <w:szCs w:val="26"/>
          <w:lang w:val="vi-VN"/>
        </w:rPr>
        <w:t>tín chấp): là hình thức cho vay khách hàng không cần phải có tài sản thế chấp, cầm cố hoặc sự bảo lãnh của người thứ ba, việc cho vay chỉ dựa vào uy tín của bản thân KH hoặc sự bảo lãnh bằng uy tín của bên thứ ba.</w:t>
      </w:r>
    </w:p>
    <w:p w14:paraId="52858037" w14:textId="77777777" w:rsidR="007D7C98" w:rsidRPr="00A90E6A" w:rsidRDefault="007D7C98" w:rsidP="007D7C98">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Cho vay có TSĐB: là hình thức cho vay mà trong đó bên vay phải sử dụng tài sản thuộc quyền sở hữu, quyền sử dụng, quyền quản lý của mình để đảm bảo nợ vay thông qua thế chấp, cầm cố hoặc bảo lãnh bằng tài sản.</w:t>
      </w:r>
    </w:p>
    <w:p w14:paraId="28BDFBE4" w14:textId="21EEAE63" w:rsidR="002431EC" w:rsidRPr="00A90E6A" w:rsidRDefault="002431EC" w:rsidP="007D7C98">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d) Căn cứ vào phương thức cho </w:t>
      </w:r>
      <w:r w:rsidR="00933F7A" w:rsidRPr="00A90E6A">
        <w:rPr>
          <w:rFonts w:ascii="Times New Roman" w:hAnsi="Times New Roman" w:cs="Times New Roman"/>
          <w:b/>
          <w:bCs/>
          <w:color w:val="000000" w:themeColor="text1"/>
          <w:sz w:val="26"/>
          <w:szCs w:val="26"/>
          <w:lang w:val="vi-VN"/>
        </w:rPr>
        <w:t>vay:</w:t>
      </w:r>
    </w:p>
    <w:p w14:paraId="1B75316D"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từng lần: là phương thức cho vay mà mỗi lần vay vốn khách hàng và ngân hàng phải thực hiện tất cả các thủ tục vay vốn cần thiết và ký kết một hợp đồng tín dụng.</w:t>
      </w:r>
    </w:p>
    <w:p w14:paraId="79F5D3AC"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theo hạn mức: là phương thức cho vay mà ngân hàng và khách hàng xác định và thỏa thuận một hạn mức tín dụng trong một khoảng thời gian nhất định.</w:t>
      </w:r>
    </w:p>
    <w:p w14:paraId="66C66CB6"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theo dự án đầu tư: là phương thức cho vay để thực hiện các dự án đầu tư phát triển sản xuất, kinh doanh, dịch vụ và các dự án đầu tư phục vụ đời sống.</w:t>
      </w:r>
    </w:p>
    <w:p w14:paraId="65456C70"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hợp vốn: là phương thức cho vay mà trong đó nhiều ngân hàng cùng cho vay đối với một nhu cầu vốn của một khách hàng. Trong cho vay hợp vốn phải có một ngân hàng làm đầu mối dàn xếp, phối hợp với các ngân hàng khác để cùng thực hiện.</w:t>
      </w:r>
    </w:p>
    <w:p w14:paraId="335DFB3A"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trả góp: là phương thức cho vay mà khi khách hàng vay vốn, ngân hàng và khách hàng xác định và thoả thuận số lãi vốn vay phải trả cộng với số nợ gốc được chia ra để trả nợ theo nhiều kỳ hạn trong thời hạn cho vay.</w:t>
      </w:r>
    </w:p>
    <w:p w14:paraId="377BA12F"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theo hạn mức tín dụng dự phòng: là phương thức cho vay mà ngân hàng cam kết đảm bảo sẵn sàng cho khách hàng vay vốn trong phạm vi hạn mức tín dụng nhất định. Ngân hàng và khách hàng thoả thuận thời hạn hiệu lực của hạn mức tín dụng dự phòng, mức phí trả cho hạn mức tín dụng dự phòng.</w:t>
      </w:r>
    </w:p>
    <w:p w14:paraId="1CE35BFF"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thông qua nghiệp vụ phát hành và sử dụng thẻ tín dụng: là việc ngân hàng chấp thuận cho khách hàng được sử dụng vốn vay trong phạm vi hạn mức tín dụng để thanh toán tiền mua hàng hoá, dịch vụ và rút tiền mặt tại máy rút tiền tự động hoặc điểm ứng tiền mặt là đại lý của tổ chức tín dụng.</w:t>
      </w:r>
    </w:p>
    <w:p w14:paraId="594D09E5" w14:textId="77777777" w:rsidR="002431EC" w:rsidRPr="00A90E6A" w:rsidRDefault="002431EC" w:rsidP="002431E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theo hạn mức thấu chi: là việc cho vay mà ngân hàng thoả thuận bằng văn bản chấp thuận cho khách hàng chi vượt số tiền có trên tài khoản thanh toán của khách hàng.</w:t>
      </w:r>
    </w:p>
    <w:p w14:paraId="50D3830F" w14:textId="45EF70BD" w:rsidR="00E20C57" w:rsidRPr="00A90E6A" w:rsidRDefault="00E20C57" w:rsidP="008556FF">
      <w:pPr>
        <w:pStyle w:val="Heading3"/>
        <w:numPr>
          <w:ilvl w:val="2"/>
          <w:numId w:val="11"/>
        </w:numPr>
        <w:tabs>
          <w:tab w:val="clear" w:pos="6210"/>
          <w:tab w:val="left" w:pos="1276"/>
        </w:tabs>
        <w:ind w:left="0" w:firstLine="567"/>
        <w:rPr>
          <w:i w:val="0"/>
          <w:iCs w:val="0"/>
          <w:color w:val="000000" w:themeColor="text1"/>
          <w:lang w:val="vi-VN"/>
        </w:rPr>
      </w:pPr>
      <w:bookmarkStart w:id="25" w:name="_Toc230962379"/>
      <w:r w:rsidRPr="00A90E6A">
        <w:rPr>
          <w:i w:val="0"/>
          <w:iCs w:val="0"/>
          <w:color w:val="000000" w:themeColor="text1"/>
          <w:lang w:val="vi-VN"/>
        </w:rPr>
        <w:t>Vai trò</w:t>
      </w:r>
      <w:r w:rsidR="00933F7A" w:rsidRPr="00A90E6A">
        <w:rPr>
          <w:i w:val="0"/>
          <w:iCs w:val="0"/>
          <w:color w:val="000000" w:themeColor="text1"/>
          <w:lang w:val="vi-VN"/>
        </w:rPr>
        <w:t xml:space="preserve"> của</w:t>
      </w:r>
      <w:r w:rsidRPr="00A90E6A">
        <w:rPr>
          <w:i w:val="0"/>
          <w:iCs w:val="0"/>
          <w:color w:val="000000" w:themeColor="text1"/>
          <w:lang w:val="vi-VN"/>
        </w:rPr>
        <w:t xml:space="preserve"> cho vay sản xuất kinh doanh</w:t>
      </w:r>
      <w:r w:rsidR="00933F7A" w:rsidRPr="00A90E6A">
        <w:rPr>
          <w:i w:val="0"/>
          <w:iCs w:val="0"/>
          <w:color w:val="000000" w:themeColor="text1"/>
          <w:lang w:val="vi-VN"/>
        </w:rPr>
        <w:t xml:space="preserve"> đối với </w:t>
      </w:r>
      <w:r w:rsidR="00980598" w:rsidRPr="00A90E6A">
        <w:rPr>
          <w:i w:val="0"/>
          <w:iCs w:val="0"/>
          <w:color w:val="000000" w:themeColor="text1"/>
          <w:lang w:val="vi-VN"/>
        </w:rPr>
        <w:t>khách hàng cá nhân</w:t>
      </w:r>
      <w:r w:rsidR="00933F7A" w:rsidRPr="00A90E6A">
        <w:rPr>
          <w:i w:val="0"/>
          <w:iCs w:val="0"/>
          <w:color w:val="000000" w:themeColor="text1"/>
          <w:lang w:val="vi-VN"/>
        </w:rPr>
        <w:t>.</w:t>
      </w:r>
      <w:bookmarkEnd w:id="25"/>
      <w:r w:rsidRPr="00A90E6A">
        <w:rPr>
          <w:i w:val="0"/>
          <w:iCs w:val="0"/>
          <w:color w:val="000000" w:themeColor="text1"/>
          <w:lang w:val="vi-VN"/>
        </w:rPr>
        <w:t xml:space="preserve"> </w:t>
      </w:r>
    </w:p>
    <w:p w14:paraId="12E5FD8C" w14:textId="7D7A305E" w:rsidR="00683E2D" w:rsidRPr="00A90E6A" w:rsidRDefault="00683E2D"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nhất, cho vay sản xuất kinh doanh góp phần thúc đẩy phát triển kinh tế và gia tăng sản lượng hàng hóa, dịch vụ. Thông qua việc cung cấp vốn cho các cá nhân, hộ kinh doanh, ngân hàng giúp các chủ thể kinh tế mở rộng quy mô sản xuất, đầu tư trang thiết bị, cải tiến công nghệ và nâng cao năng suất lao động. </w:t>
      </w:r>
      <w:r w:rsidR="00A21E3B" w:rsidRPr="00A90E6A">
        <w:rPr>
          <w:rFonts w:ascii="Times New Roman" w:hAnsi="Times New Roman" w:cs="Times New Roman"/>
          <w:color w:val="000000" w:themeColor="text1"/>
          <w:sz w:val="26"/>
          <w:szCs w:val="26"/>
          <w:lang w:val="vi-VN"/>
        </w:rPr>
        <w:t>T</w:t>
      </w:r>
      <w:r w:rsidRPr="00A90E6A">
        <w:rPr>
          <w:rFonts w:ascii="Times New Roman" w:hAnsi="Times New Roman" w:cs="Times New Roman"/>
          <w:color w:val="000000" w:themeColor="text1"/>
          <w:sz w:val="26"/>
          <w:szCs w:val="26"/>
          <w:lang w:val="vi-VN"/>
        </w:rPr>
        <w:t xml:space="preserve">ín dụng ngân hàng là kênh </w:t>
      </w:r>
      <w:r w:rsidRPr="00A90E6A">
        <w:rPr>
          <w:rFonts w:ascii="Times New Roman" w:hAnsi="Times New Roman" w:cs="Times New Roman"/>
          <w:color w:val="000000" w:themeColor="text1"/>
          <w:sz w:val="26"/>
          <w:szCs w:val="26"/>
          <w:lang w:val="vi-VN"/>
        </w:rPr>
        <w:lastRenderedPageBreak/>
        <w:t>dẫn vốn quan trọng, góp phần thúc đẩy tăng trưởng kinh tế thông qua việc phân bổ nguồn lực hiệu quả.</w:t>
      </w:r>
    </w:p>
    <w:p w14:paraId="1C3CAF3D" w14:textId="74043890" w:rsidR="00683E2D" w:rsidRPr="00A90E6A" w:rsidRDefault="00683E2D"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hai, cho vay sản xuất kinh doanh góp phần nâng cao thu nhập và tạo việc làm cho người lao động. Khi được tiếp cận nguồn vốn tín dụng, các cá nhân và hộ kinh doanh có điều kiện mở rộng hoạt động sản xuất, kinh doanh, từ đó tạo thêm nhiều việc làm và nâng cao thu nhập cho người lao động. </w:t>
      </w:r>
      <w:r w:rsidR="00A21E3B" w:rsidRPr="00A90E6A">
        <w:rPr>
          <w:rFonts w:ascii="Times New Roman" w:hAnsi="Times New Roman" w:cs="Times New Roman"/>
          <w:color w:val="000000" w:themeColor="text1"/>
          <w:sz w:val="26"/>
          <w:szCs w:val="26"/>
          <w:lang w:val="vi-VN"/>
        </w:rPr>
        <w:t>T</w:t>
      </w:r>
      <w:r w:rsidRPr="00A90E6A">
        <w:rPr>
          <w:rFonts w:ascii="Times New Roman" w:hAnsi="Times New Roman" w:cs="Times New Roman"/>
          <w:color w:val="000000" w:themeColor="text1"/>
          <w:sz w:val="26"/>
          <w:szCs w:val="26"/>
          <w:lang w:val="vi-VN"/>
        </w:rPr>
        <w:t>ín dụng ngân hàng đóng vai trò quan trọng trong việc phát triển kinh tế hộ gia đình và khu vực kinh tế cá thể, góp phần cải thiện đời sống người dân.</w:t>
      </w:r>
      <w:r w:rsidR="00965276" w:rsidRPr="00A90E6A">
        <w:rPr>
          <w:rFonts w:ascii="Times New Roman" w:hAnsi="Times New Roman" w:cs="Times New Roman"/>
          <w:color w:val="000000" w:themeColor="text1"/>
          <w:sz w:val="26"/>
          <w:szCs w:val="26"/>
          <w:lang w:val="vi-VN"/>
        </w:rPr>
        <w:t xml:space="preserve"> </w:t>
      </w:r>
    </w:p>
    <w:p w14:paraId="5F1B86A8" w14:textId="0E456349" w:rsidR="00683E2D" w:rsidRPr="00A90E6A" w:rsidRDefault="00683E2D"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ba, cho vay sản xuất kinh doanh là nguồn thu nhập chủ yếu và quyết định hiệu quả hoạt động của ngân hàng thương mại. Hoạt động cho vay, đặc biệt là cho vay sản xuất kinh doanh, mang lại nguồn thu lớn từ lãi suất, chiếm tỷ trọng cao trong tổng thu nhập của ngân hàng. Đồng thời, việc mở rộng cho vay hợp lý còn giúp ngân hàng nâng cao khả năng cạnh tranh và phát triển bền vững. </w:t>
      </w:r>
      <w:r w:rsidR="0080678E" w:rsidRPr="00A90E6A">
        <w:rPr>
          <w:rFonts w:ascii="Times New Roman" w:hAnsi="Times New Roman" w:cs="Times New Roman"/>
          <w:color w:val="000000" w:themeColor="text1"/>
          <w:sz w:val="26"/>
          <w:szCs w:val="26"/>
          <w:lang w:val="vi-VN"/>
        </w:rPr>
        <w:t>H</w:t>
      </w:r>
      <w:r w:rsidRPr="00A90E6A">
        <w:rPr>
          <w:rFonts w:ascii="Times New Roman" w:hAnsi="Times New Roman" w:cs="Times New Roman"/>
          <w:color w:val="000000" w:themeColor="text1"/>
          <w:sz w:val="26"/>
          <w:szCs w:val="26"/>
          <w:lang w:val="vi-VN"/>
        </w:rPr>
        <w:t>oạt động tín dụng là nghiệp vụ cốt lõi, quyết định đến lợi nhuận và sự tồn tại của ngân hàng thương mại.</w:t>
      </w:r>
    </w:p>
    <w:p w14:paraId="77F7022C" w14:textId="7EA13CC6" w:rsidR="00BD243B" w:rsidRPr="00A90E6A" w:rsidRDefault="00683E2D"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tư, cho vay sản xuất kinh doanh góp phần thực hiện các chính sách kinh tế của Nhà nước và ổn định kinh tế vĩ mô. Thông qua việc định hướng tín dụng vào các lĩnh vực ưu tiên như nông nghiệp, xuất khẩu, ngân hàng góp phần thực hiện mục tiêu phát triển kinh tế của quốc gia. Đồng thời, hoạt động tín dụng còn là công cụ quan trọng trong việc điều tiết lượng tiền trong lưu thông, kiểm soát lạm phát và ổn định thị trường tài chính. </w:t>
      </w:r>
      <w:r w:rsidR="00A21E3B" w:rsidRPr="00A90E6A">
        <w:rPr>
          <w:rFonts w:ascii="Times New Roman" w:hAnsi="Times New Roman" w:cs="Times New Roman"/>
          <w:color w:val="000000" w:themeColor="text1"/>
          <w:sz w:val="26"/>
          <w:szCs w:val="26"/>
          <w:lang w:val="vi-VN"/>
        </w:rPr>
        <w:t>T</w:t>
      </w:r>
      <w:r w:rsidRPr="00A90E6A">
        <w:rPr>
          <w:rFonts w:ascii="Times New Roman" w:hAnsi="Times New Roman" w:cs="Times New Roman"/>
          <w:color w:val="000000" w:themeColor="text1"/>
          <w:sz w:val="26"/>
          <w:szCs w:val="26"/>
          <w:lang w:val="vi-VN"/>
        </w:rPr>
        <w:t>ín dụng ngân hàng là kênh truyền dẫn chính sách kinh tế hiệu quả, góp phần ổn định và phát triển nền kinh tế.</w:t>
      </w:r>
    </w:p>
    <w:p w14:paraId="07386263" w14:textId="2F07F533" w:rsidR="00E20C57" w:rsidRPr="00A90E6A" w:rsidRDefault="00E20C57">
      <w:pPr>
        <w:pStyle w:val="Heading2"/>
        <w:numPr>
          <w:ilvl w:val="0"/>
          <w:numId w:val="12"/>
        </w:numPr>
        <w:tabs>
          <w:tab w:val="clear" w:pos="6210"/>
          <w:tab w:val="left" w:pos="993"/>
        </w:tabs>
        <w:ind w:left="0" w:firstLine="567"/>
        <w:rPr>
          <w:color w:val="000000" w:themeColor="text1"/>
          <w:lang w:val="vi-VN"/>
        </w:rPr>
      </w:pPr>
      <w:bookmarkStart w:id="26" w:name="_Toc230962380"/>
      <w:r w:rsidRPr="00A90E6A">
        <w:rPr>
          <w:color w:val="000000" w:themeColor="text1"/>
          <w:lang w:val="vi-VN"/>
        </w:rPr>
        <w:t xml:space="preserve">Hiệu quả hoạt động cho vay sản xuất kinh doanh đối với khách hàng cá nhân tại ngân hàng thương </w:t>
      </w:r>
      <w:r w:rsidR="00933F7A" w:rsidRPr="00A90E6A">
        <w:rPr>
          <w:color w:val="000000" w:themeColor="text1"/>
          <w:lang w:val="vi-VN"/>
        </w:rPr>
        <w:t>mại.</w:t>
      </w:r>
      <w:bookmarkEnd w:id="26"/>
    </w:p>
    <w:p w14:paraId="1923294A" w14:textId="0033DBD7" w:rsidR="00E20C57" w:rsidRPr="00A90E6A" w:rsidRDefault="00E20C57" w:rsidP="008556FF">
      <w:pPr>
        <w:pStyle w:val="Heading3"/>
        <w:numPr>
          <w:ilvl w:val="0"/>
          <w:numId w:val="10"/>
        </w:numPr>
        <w:tabs>
          <w:tab w:val="clear" w:pos="6210"/>
          <w:tab w:val="left" w:pos="1276"/>
        </w:tabs>
        <w:ind w:left="0" w:firstLine="567"/>
        <w:rPr>
          <w:i w:val="0"/>
          <w:iCs w:val="0"/>
          <w:color w:val="000000" w:themeColor="text1"/>
          <w:lang w:val="vi-VN"/>
        </w:rPr>
      </w:pPr>
      <w:bookmarkStart w:id="27" w:name="_Toc230962381"/>
      <w:r w:rsidRPr="00A90E6A">
        <w:rPr>
          <w:i w:val="0"/>
          <w:iCs w:val="0"/>
          <w:color w:val="000000" w:themeColor="text1"/>
          <w:lang w:val="vi-VN"/>
        </w:rPr>
        <w:t xml:space="preserve">Quan điểm về hiệu quả cho vay sản xuất kinh doanh đối với khách hàng cá </w:t>
      </w:r>
      <w:r w:rsidR="00933F7A" w:rsidRPr="00A90E6A">
        <w:rPr>
          <w:i w:val="0"/>
          <w:iCs w:val="0"/>
          <w:color w:val="000000" w:themeColor="text1"/>
          <w:lang w:val="vi-VN"/>
        </w:rPr>
        <w:t>nhân.</w:t>
      </w:r>
      <w:bookmarkEnd w:id="27"/>
    </w:p>
    <w:p w14:paraId="0057BBE7" w14:textId="62A07683" w:rsidR="00857C82" w:rsidRPr="00A90E6A" w:rsidRDefault="00E837EE"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Hiệu quả</w:t>
      </w:r>
      <w:r w:rsidR="00857C82" w:rsidRPr="00A90E6A">
        <w:rPr>
          <w:rFonts w:ascii="Times New Roman" w:hAnsi="Times New Roman" w:cs="Times New Roman"/>
          <w:color w:val="000000" w:themeColor="text1"/>
          <w:sz w:val="26"/>
          <w:szCs w:val="26"/>
          <w:lang w:val="vi-VN"/>
        </w:rPr>
        <w:t xml:space="preserve"> cho vay sản xuất kinh doanh đối với khách hàng cá nhân là một phạm trù kinh tế tổng hợp, phản ánh mức độ đạt được mục tiêu của ngân hàng trong việc sử dụng vốn tín dụng vừa đảm bảo sinh lợi, vừa kiểm soát rủi ro và góp phần thúc đẩy phát triển kinh tế. Khái niệm này được tiếp cận dưới nhiều góc độ khác nhau trong các nghiên cứu lý luận và thực tiễn.</w:t>
      </w:r>
    </w:p>
    <w:p w14:paraId="40D0330F" w14:textId="77777777" w:rsidR="00857C82" w:rsidRPr="00A90E6A" w:rsidRDefault="00857C82"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Theo Nguyễn Đăng Dờn (2017), hiệu quả tín dụng của ngân hàng thương mại được thể hiện thông qua khả năng thu hồi vốn đúng hạn, hạn chế rủi ro và tạo ra lợi nhuận từ </w:t>
      </w:r>
      <w:r w:rsidRPr="00A90E6A">
        <w:rPr>
          <w:rFonts w:ascii="Times New Roman" w:hAnsi="Times New Roman" w:cs="Times New Roman"/>
          <w:color w:val="000000" w:themeColor="text1"/>
          <w:sz w:val="26"/>
          <w:szCs w:val="26"/>
          <w:lang w:val="vi-VN"/>
        </w:rPr>
        <w:lastRenderedPageBreak/>
        <w:t>hoạt động cho vay. Quan điểm này nhấn mạnh mối quan hệ chặt chẽ giữa lợi nhuận và an toàn vốn, cho thấy một khoản vay chỉ thực sự hiệu quả khi vừa sinh lời vừa đảm bảo khả năng thu hồi.</w:t>
      </w:r>
    </w:p>
    <w:p w14:paraId="0E438B63" w14:textId="127A0C9A" w:rsidR="00857C82" w:rsidRPr="00A90E6A" w:rsidRDefault="00857C82"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Ở góc độ quản trị ngân hàng, theo Frederic</w:t>
      </w:r>
      <w:r w:rsidR="000F1EFC" w:rsidRPr="00A90E6A">
        <w:rPr>
          <w:rFonts w:ascii="Times New Roman" w:hAnsi="Times New Roman" w:cs="Times New Roman"/>
          <w:color w:val="000000" w:themeColor="text1"/>
          <w:sz w:val="26"/>
          <w:szCs w:val="26"/>
          <w:lang w:val="vi-VN"/>
        </w:rPr>
        <w:t xml:space="preserve"> S. </w:t>
      </w:r>
      <w:r w:rsidRPr="00A90E6A">
        <w:rPr>
          <w:rFonts w:ascii="Times New Roman" w:hAnsi="Times New Roman" w:cs="Times New Roman"/>
          <w:color w:val="000000" w:themeColor="text1"/>
          <w:sz w:val="26"/>
          <w:szCs w:val="26"/>
          <w:lang w:val="vi-VN"/>
        </w:rPr>
        <w:t>Mishkin (2013), hiệu quả hoạt động tín dụng không chỉ được đánh giá qua lợi nhuận mà còn phải xem xét đến mức độ rủi ro mà ngân hàng phải đối mặt. Một hoạt động cho vay được coi là hiệu quả khi ngân hàng tối đa hóa lợi nhuận trong điều kiện kiểm soát tốt rủi ro tín dụng, đảm bảo sự ổn định và phát triển bền vững. Điều này cho thấy hiệu quả tín dụng luôn gắn liền với nguyên tắc cân đối giữa lợi nhuận và rủi ro.</w:t>
      </w:r>
    </w:p>
    <w:p w14:paraId="50471B06" w14:textId="1EA8E9D6" w:rsidR="00857C82" w:rsidRPr="00A90E6A" w:rsidRDefault="00857C82"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Bên cạnh đó, theo một nghiên cứu của </w:t>
      </w:r>
      <w:r w:rsidR="00AA7CC5" w:rsidRPr="00A90E6A">
        <w:rPr>
          <w:rFonts w:ascii="Times New Roman" w:hAnsi="Times New Roman" w:cs="Times New Roman"/>
          <w:color w:val="000000" w:themeColor="text1"/>
          <w:sz w:val="26"/>
          <w:szCs w:val="26"/>
          <w:lang w:val="vi-VN"/>
        </w:rPr>
        <w:t>Trịnh Thị Hoa</w:t>
      </w:r>
      <w:r w:rsidRPr="00A90E6A">
        <w:rPr>
          <w:rFonts w:ascii="Times New Roman" w:hAnsi="Times New Roman" w:cs="Times New Roman"/>
          <w:color w:val="000000" w:themeColor="text1"/>
          <w:sz w:val="26"/>
          <w:szCs w:val="26"/>
          <w:lang w:val="vi-VN"/>
        </w:rPr>
        <w:t xml:space="preserve"> (2020), hiệu quả cho vay đối với khách hàng cá nhân còn được thể hiện ở khả năng sử dụng vốn vay của khách hàng. Khi khách hàng sử dụng vốn đúng mục đích, tạo ra thu nhập và lợi nhuận ổn định, thì không chỉ đảm bảo khả năng trả nợ cho ngân hàng mà còn góp phần nâng cao hiệu quả chung của hoạt động tín dụng. Quan điểm này mở rộng cách nhìn nhận hiệu quả tín dụng không chỉ từ phía ngân hàng mà còn từ phía khách hàng vay vốn.</w:t>
      </w:r>
    </w:p>
    <w:p w14:paraId="3AA8D011" w14:textId="63DC2980" w:rsidR="00806C4F" w:rsidRPr="00A90E6A" w:rsidRDefault="00857C82"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Từ các quan điểm trên có thể thấy, hiệu quả cho vay sản xuất kinh doanh đối với khách hàng cá nhân là một khái niệm mang tính tổng hợp, được đánh giá dựa trên nhiều tiêu chí khác nhau như khả năng sinh lợi, mức độ rủi ro, khả năng thu hồi vốn và hiệu quả sử dụng vốn của khách hàng. Do đó, có thể hiểu rằng hiệu quả cho vay sản xuất kinh doanh đối với khách hàng cá nhân là mức độ mà ngân hàng thương mại đạt được mục tiêu lợi nhuận trên cơ sở đảm bảo an toàn vốn, đồng thời hỗ trợ khách hàng sử dụng vốn hiệu quả và góp phần thúc đẩy phát triển kinh tế.</w:t>
      </w:r>
    </w:p>
    <w:p w14:paraId="74F3ADA2" w14:textId="6EAD7544" w:rsidR="00E20C57" w:rsidRPr="00A90E6A" w:rsidRDefault="00E20C57" w:rsidP="008556FF">
      <w:pPr>
        <w:pStyle w:val="Heading3"/>
        <w:numPr>
          <w:ilvl w:val="0"/>
          <w:numId w:val="10"/>
        </w:numPr>
        <w:tabs>
          <w:tab w:val="clear" w:pos="6210"/>
          <w:tab w:val="left" w:pos="1276"/>
        </w:tabs>
        <w:ind w:left="0" w:firstLine="567"/>
        <w:rPr>
          <w:i w:val="0"/>
          <w:iCs w:val="0"/>
          <w:color w:val="000000" w:themeColor="text1"/>
          <w:lang w:val="vi-VN"/>
        </w:rPr>
      </w:pPr>
      <w:bookmarkStart w:id="28" w:name="_Toc230962382"/>
      <w:r w:rsidRPr="00A90E6A">
        <w:rPr>
          <w:i w:val="0"/>
          <w:iCs w:val="0"/>
          <w:color w:val="000000" w:themeColor="text1"/>
          <w:lang w:val="vi-VN"/>
        </w:rPr>
        <w:t xml:space="preserve">Các chỉ tiêu đánh giá hiệu quả cho vay sản xuất kinh doanh đối với khách hàng cá </w:t>
      </w:r>
      <w:r w:rsidR="00933F7A" w:rsidRPr="00A90E6A">
        <w:rPr>
          <w:i w:val="0"/>
          <w:iCs w:val="0"/>
          <w:color w:val="000000" w:themeColor="text1"/>
          <w:lang w:val="vi-VN"/>
        </w:rPr>
        <w:t>nhân.</w:t>
      </w:r>
      <w:bookmarkEnd w:id="28"/>
      <w:r w:rsidRPr="00A90E6A">
        <w:rPr>
          <w:i w:val="0"/>
          <w:iCs w:val="0"/>
          <w:color w:val="000000" w:themeColor="text1"/>
          <w:lang w:val="vi-VN"/>
        </w:rPr>
        <w:t xml:space="preserve"> </w:t>
      </w:r>
    </w:p>
    <w:p w14:paraId="7FEA9891" w14:textId="77777777" w:rsidR="005C2E64" w:rsidRPr="00A90E6A" w:rsidRDefault="005C2E64"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Hiệu quả hoạt động cho vay sản xuất kinh doanh đối với khách hàng cá nhân tại ngân hàng thương mại được đánh giá thông qua hệ thống các chỉ tiêu phản ánh cả về quy mô, chất lượng tín dụng, khả năng sinh lời và mức độ rủi ro. Việc sử dụng các chỉ tiêu này giúp ngân hàng có cái nhìn toàn diện về hiệu quả hoạt động tín dụng, từ đó đưa ra các quyết định quản trị phù hợp.</w:t>
      </w:r>
    </w:p>
    <w:p w14:paraId="5F6FF7A8" w14:textId="77777777" w:rsidR="007764DA" w:rsidRDefault="007764DA">
      <w:pP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br w:type="page"/>
      </w:r>
    </w:p>
    <w:p w14:paraId="4E4424EB" w14:textId="7ABDD3B6" w:rsidR="0059561A" w:rsidRPr="00A90E6A" w:rsidRDefault="0059561A"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lastRenderedPageBreak/>
        <w:t xml:space="preserve">a) </w:t>
      </w:r>
      <w:r w:rsidR="00DB7B7E" w:rsidRPr="00A90E6A">
        <w:rPr>
          <w:rFonts w:ascii="Times New Roman" w:hAnsi="Times New Roman" w:cs="Times New Roman"/>
          <w:b/>
          <w:bCs/>
          <w:color w:val="000000" w:themeColor="text1"/>
          <w:sz w:val="26"/>
          <w:szCs w:val="26"/>
          <w:lang w:val="vi-VN"/>
        </w:rPr>
        <w:t>Dư nợ và t</w:t>
      </w:r>
      <w:r w:rsidR="000F1EFC" w:rsidRPr="00A90E6A">
        <w:rPr>
          <w:rFonts w:ascii="Times New Roman" w:hAnsi="Times New Roman" w:cs="Times New Roman"/>
          <w:b/>
          <w:bCs/>
          <w:color w:val="000000" w:themeColor="text1"/>
          <w:sz w:val="26"/>
          <w:szCs w:val="26"/>
          <w:lang w:val="vi-VN"/>
        </w:rPr>
        <w:t>ốc độ t</w:t>
      </w:r>
      <w:r w:rsidRPr="00A90E6A">
        <w:rPr>
          <w:rFonts w:ascii="Times New Roman" w:hAnsi="Times New Roman" w:cs="Times New Roman"/>
          <w:b/>
          <w:bCs/>
          <w:color w:val="000000" w:themeColor="text1"/>
          <w:sz w:val="26"/>
          <w:szCs w:val="26"/>
          <w:lang w:val="vi-VN"/>
        </w:rPr>
        <w:t>ăng trưởng dư nợ</w:t>
      </w:r>
      <w:r w:rsidR="005307E6" w:rsidRPr="00A90E6A">
        <w:rPr>
          <w:rFonts w:ascii="Times New Roman" w:hAnsi="Times New Roman" w:cs="Times New Roman"/>
          <w:b/>
          <w:bCs/>
          <w:color w:val="000000" w:themeColor="text1"/>
          <w:sz w:val="26"/>
          <w:szCs w:val="26"/>
          <w:lang w:val="vi-VN"/>
        </w:rPr>
        <w:t xml:space="preserve"> </w:t>
      </w:r>
      <w:r w:rsidR="000F1EFC" w:rsidRPr="00A90E6A">
        <w:rPr>
          <w:rFonts w:ascii="Times New Roman" w:hAnsi="Times New Roman" w:cs="Times New Roman"/>
          <w:b/>
          <w:bCs/>
          <w:color w:val="000000" w:themeColor="text1"/>
          <w:sz w:val="26"/>
          <w:szCs w:val="26"/>
          <w:lang w:val="vi-VN"/>
        </w:rPr>
        <w:t>cho vay sản xuất kinh doanh đối với khách hàng cá nhân.</w:t>
      </w:r>
    </w:p>
    <w:p w14:paraId="44AB98B2" w14:textId="77777777" w:rsidR="008E6241" w:rsidRPr="00A90E6A" w:rsidRDefault="00435E83"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Một trong những chỉ tiêu quan trọng là dư nợ cho vay sản xuất kinh doanh đối với khách hàng cá nhân. Chỉ tiêu này phản ánh quy mô hoạt động cho vay và mức độ mở rộng tín dụng của ngân hàng đối với phân khúc khách hàng cá nhân. Dư nợ cho vay tăng trưởng ổn định cho thấy ngân hàng đang mở rộng hoạt động tín dụng, tuy nhiên cần được xem xét cùng với chất lượng tín dụng để đánh giá hiệu quả thực sự.</w:t>
      </w:r>
    </w:p>
    <w:p w14:paraId="66A818B1" w14:textId="77777777" w:rsidR="00B34162" w:rsidRPr="00A90E6A" w:rsidRDefault="00435E83"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Bên cạnh đó, c</w:t>
      </w:r>
      <w:r w:rsidR="005C2E64" w:rsidRPr="00A90E6A">
        <w:rPr>
          <w:rFonts w:ascii="Times New Roman" w:hAnsi="Times New Roman" w:cs="Times New Roman"/>
          <w:color w:val="000000" w:themeColor="text1"/>
          <w:sz w:val="26"/>
          <w:szCs w:val="26"/>
          <w:lang w:val="vi-VN"/>
        </w:rPr>
        <w:t>hỉ tiêu tốc độ tăng trưởng dư nợ cho vay phản ánh mức độ gia tăng quy mô tín dụng qua các kỳ.</w:t>
      </w:r>
      <w:r w:rsidRPr="00A90E6A">
        <w:rPr>
          <w:rFonts w:ascii="Times New Roman" w:hAnsi="Times New Roman" w:cs="Times New Roman"/>
          <w:color w:val="000000" w:themeColor="text1"/>
          <w:sz w:val="26"/>
          <w:szCs w:val="26"/>
          <w:lang w:val="vi-VN"/>
        </w:rPr>
        <w:t xml:space="preserve"> </w:t>
      </w:r>
      <w:r w:rsidR="00B34162" w:rsidRPr="00A90E6A">
        <w:rPr>
          <w:rFonts w:ascii="Times New Roman" w:hAnsi="Times New Roman" w:cs="Times New Roman"/>
          <w:color w:val="000000" w:themeColor="text1"/>
          <w:sz w:val="26"/>
          <w:szCs w:val="26"/>
          <w:lang w:val="vi-VN"/>
        </w:rPr>
        <w:t>Chỉ tiêu này được xác định theo công thức sau:</w:t>
      </w:r>
    </w:p>
    <w:p w14:paraId="1B5FBE3C" w14:textId="47E9928D" w:rsidR="003C0796" w:rsidRPr="00A90E6A" w:rsidRDefault="003C0796" w:rsidP="00A139CF">
      <w:pPr>
        <w:tabs>
          <w:tab w:val="left" w:pos="6210"/>
        </w:tabs>
        <w:spacing w:after="0" w:line="360" w:lineRule="auto"/>
        <w:ind w:firstLine="567"/>
        <w:jc w:val="both"/>
        <w:rPr>
          <w:rFonts w:ascii="Times New Roman" w:eastAsiaTheme="minorEastAsia" w:hAnsi="Times New Roman" w:cs="Times New Roman"/>
          <w:color w:val="000000" w:themeColor="text1"/>
          <w:sz w:val="26"/>
          <w:szCs w:val="26"/>
          <w:lang w:val="vi-VN"/>
        </w:rPr>
      </w:pPr>
      <m:oMathPara>
        <m:oMath>
          <m:r>
            <m:rPr>
              <m:nor/>
            </m:rPr>
            <w:rPr>
              <w:rFonts w:ascii="Times New Roman" w:hAnsi="Times New Roman" w:cs="Times New Roman"/>
              <w:color w:val="000000" w:themeColor="text1"/>
              <w:sz w:val="26"/>
              <w:szCs w:val="26"/>
              <w:lang w:val="vi-VN"/>
            </w:rPr>
            <m:t>Tốc độ tăng trưởng dư nợ cho vay SXKD đối với KHCN (%)</m:t>
          </m:r>
        </m:oMath>
      </m:oMathPara>
    </w:p>
    <w:p w14:paraId="08BB7AB9" w14:textId="578D550D" w:rsidR="003C0796" w:rsidRPr="00A90E6A" w:rsidRDefault="003C0796"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m:oMathPara>
        <m:oMath>
          <m:r>
            <m:rPr>
              <m:nor/>
            </m:rPr>
            <w:rPr>
              <w:rFonts w:ascii="Times New Roman" w:hAnsi="Times New Roman" w:cs="Times New Roman"/>
              <w:color w:val="000000" w:themeColor="text1"/>
              <w:sz w:val="26"/>
              <w:szCs w:val="26"/>
              <w:lang w:val="vi-VN"/>
            </w:rPr>
            <m:t xml:space="preserve">= </m:t>
          </m:r>
          <m:f>
            <m:fPr>
              <m:ctrlPr>
                <w:rPr>
                  <w:rFonts w:ascii="Cambria Math" w:hAnsi="Cambria Math" w:cs="Times New Roman"/>
                  <w:i/>
                  <w:color w:val="000000" w:themeColor="text1"/>
                  <w:sz w:val="26"/>
                  <w:szCs w:val="26"/>
                </w:rPr>
              </m:ctrlPr>
            </m:fPr>
            <m:num>
              <m:r>
                <m:rPr>
                  <m:nor/>
                </m:rPr>
                <w:rPr>
                  <w:rFonts w:ascii="Times New Roman" w:hAnsi="Times New Roman" w:cs="Times New Roman"/>
                  <w:color w:val="000000" w:themeColor="text1"/>
                  <w:sz w:val="26"/>
                  <w:szCs w:val="26"/>
                  <w:lang w:val="vi-VN"/>
                </w:rPr>
                <m:t xml:space="preserve">Dư nợ cho vay SXKD đối với KHCN kỳ này </m:t>
              </m:r>
            </m:num>
            <m:den>
              <m:r>
                <m:rPr>
                  <m:nor/>
                </m:rPr>
                <w:rPr>
                  <w:rFonts w:ascii="Times New Roman" w:hAnsi="Times New Roman" w:cs="Times New Roman"/>
                  <w:color w:val="000000" w:themeColor="text1"/>
                  <w:sz w:val="26"/>
                  <w:szCs w:val="26"/>
                  <w:lang w:val="vi-VN"/>
                </w:rPr>
                <m:t>Dư nợ cho vay SXKD đối với KHCN trước</m:t>
              </m:r>
            </m:den>
          </m:f>
          <m:r>
            <m:rPr>
              <m:nor/>
            </m:rPr>
            <w:rPr>
              <w:rFonts w:ascii="Times New Roman" w:hAnsi="Times New Roman" w:cs="Times New Roman"/>
              <w:color w:val="000000" w:themeColor="text1"/>
              <w:sz w:val="26"/>
              <w:szCs w:val="26"/>
              <w:lang w:val="vi-VN"/>
            </w:rPr>
            <m:t xml:space="preserve"> x 100%</m:t>
          </m:r>
        </m:oMath>
      </m:oMathPara>
    </w:p>
    <w:p w14:paraId="6019D245" w14:textId="2BCACA79" w:rsidR="0059561A" w:rsidRPr="00A90E6A" w:rsidRDefault="0059561A"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fr-FR"/>
        </w:rPr>
        <w:t xml:space="preserve">Chỉ tiêu tốc độ tăng trưởng dư nợ cho vay </w:t>
      </w:r>
      <w:r w:rsidR="00E84122" w:rsidRPr="00A90E6A">
        <w:rPr>
          <w:rFonts w:ascii="Times New Roman" w:hAnsi="Times New Roman" w:cs="Times New Roman"/>
          <w:color w:val="000000" w:themeColor="text1"/>
          <w:sz w:val="26"/>
          <w:szCs w:val="26"/>
          <w:lang w:val="fr-FR"/>
        </w:rPr>
        <w:t>sản</w:t>
      </w:r>
      <w:r w:rsidR="00E84122" w:rsidRPr="00A90E6A">
        <w:rPr>
          <w:rFonts w:ascii="Times New Roman" w:hAnsi="Times New Roman" w:cs="Times New Roman"/>
          <w:color w:val="000000" w:themeColor="text1"/>
          <w:sz w:val="26"/>
          <w:szCs w:val="26"/>
          <w:lang w:val="vi-VN"/>
        </w:rPr>
        <w:t xml:space="preserve"> xuất kinh doanh</w:t>
      </w:r>
      <w:r w:rsidR="000F1EF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fr-FR"/>
        </w:rPr>
        <w:t>đóng vai trò quan trọng trong đánh giá sự mở rộng hoạt động cho vay sản</w:t>
      </w:r>
      <w:r w:rsidRPr="00A90E6A">
        <w:rPr>
          <w:rFonts w:ascii="Times New Roman" w:hAnsi="Times New Roman" w:cs="Times New Roman"/>
          <w:color w:val="000000" w:themeColor="text1"/>
          <w:sz w:val="26"/>
          <w:szCs w:val="26"/>
          <w:lang w:val="vi-VN"/>
        </w:rPr>
        <w:t xml:space="preserve"> xuất kinh doanh</w:t>
      </w:r>
      <w:r w:rsidRPr="00A90E6A">
        <w:rPr>
          <w:rFonts w:ascii="Times New Roman" w:hAnsi="Times New Roman" w:cs="Times New Roman"/>
          <w:color w:val="000000" w:themeColor="text1"/>
          <w:sz w:val="26"/>
          <w:szCs w:val="26"/>
          <w:lang w:val="fr-FR"/>
        </w:rPr>
        <w:t xml:space="preserve"> tại ngân hàng. Tăng trưởng dư nợ cao là chỉ báo cho thấy quy mô cho vay của ngân hàng đang có xu hướng mở rộng. </w:t>
      </w:r>
    </w:p>
    <w:p w14:paraId="5CE52F26" w14:textId="4583DFC8" w:rsidR="00DB7B7E" w:rsidRPr="00A90E6A" w:rsidRDefault="0059561A"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b) Tỷ trọng</w:t>
      </w:r>
      <w:r w:rsidR="00933F7A" w:rsidRPr="00A90E6A">
        <w:rPr>
          <w:rFonts w:ascii="Times New Roman" w:hAnsi="Times New Roman" w:cs="Times New Roman"/>
          <w:b/>
          <w:bCs/>
          <w:color w:val="000000" w:themeColor="text1"/>
          <w:sz w:val="26"/>
          <w:szCs w:val="26"/>
          <w:lang w:val="vi-VN"/>
        </w:rPr>
        <w:t xml:space="preserve"> dư nợ</w:t>
      </w:r>
      <w:r w:rsidRPr="00A90E6A">
        <w:rPr>
          <w:rFonts w:ascii="Times New Roman" w:hAnsi="Times New Roman" w:cs="Times New Roman"/>
          <w:b/>
          <w:bCs/>
          <w:color w:val="000000" w:themeColor="text1"/>
          <w:sz w:val="26"/>
          <w:szCs w:val="26"/>
          <w:lang w:val="vi-VN"/>
        </w:rPr>
        <w:t xml:space="preserve"> cho </w:t>
      </w:r>
      <w:r w:rsidR="00FC5FA6" w:rsidRPr="00A90E6A">
        <w:rPr>
          <w:rFonts w:ascii="Times New Roman" w:hAnsi="Times New Roman" w:cs="Times New Roman"/>
          <w:b/>
          <w:bCs/>
          <w:color w:val="000000" w:themeColor="text1"/>
          <w:sz w:val="26"/>
          <w:szCs w:val="26"/>
          <w:lang w:val="vi-VN"/>
        </w:rPr>
        <w:t>sản xuất kinh doanh</w:t>
      </w:r>
      <w:r w:rsidR="000F1EFC" w:rsidRPr="00A90E6A">
        <w:rPr>
          <w:rFonts w:ascii="Times New Roman" w:hAnsi="Times New Roman" w:cs="Times New Roman"/>
          <w:b/>
          <w:bCs/>
          <w:color w:val="000000" w:themeColor="text1"/>
          <w:sz w:val="26"/>
          <w:szCs w:val="26"/>
          <w:lang w:val="vi-VN"/>
        </w:rPr>
        <w:t xml:space="preserve"> đối với khách hàng cá </w:t>
      </w:r>
      <w:r w:rsidR="00933F7A" w:rsidRPr="00A90E6A">
        <w:rPr>
          <w:rFonts w:ascii="Times New Roman" w:hAnsi="Times New Roman" w:cs="Times New Roman"/>
          <w:b/>
          <w:bCs/>
          <w:color w:val="000000" w:themeColor="text1"/>
          <w:sz w:val="26"/>
          <w:szCs w:val="26"/>
          <w:lang w:val="vi-VN"/>
        </w:rPr>
        <w:t>nhân.</w:t>
      </w:r>
    </w:p>
    <w:p w14:paraId="3FD31163" w14:textId="7E17781E" w:rsidR="003C0796" w:rsidRPr="00A90E6A" w:rsidRDefault="003E4310" w:rsidP="00B3416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Tỷ trọng</w:t>
      </w:r>
      <w:r w:rsidR="00933F7A" w:rsidRPr="00A90E6A">
        <w:rPr>
          <w:rFonts w:ascii="Times New Roman" w:hAnsi="Times New Roman" w:cs="Times New Roman"/>
          <w:color w:val="000000" w:themeColor="text1"/>
          <w:sz w:val="26"/>
          <w:szCs w:val="26"/>
          <w:lang w:val="vi-VN"/>
        </w:rPr>
        <w:t xml:space="preserve"> dư nợ</w:t>
      </w:r>
      <w:r w:rsidRPr="00A90E6A">
        <w:rPr>
          <w:rFonts w:ascii="Times New Roman" w:hAnsi="Times New Roman" w:cs="Times New Roman"/>
          <w:color w:val="000000" w:themeColor="text1"/>
          <w:sz w:val="26"/>
          <w:szCs w:val="26"/>
          <w:lang w:val="vi-VN"/>
        </w:rPr>
        <w:t xml:space="preserve"> cho vay sản xuất kinh doanh đối với khách hàng cá nhân là chỉ tiêu phản ánh mức độ phân bổ vốn tín dụng của ngân hàng vào lĩnh vực sản xuất kinh doanh trong tổng dư nợ cho vay đối với khách hàng cá nhân. Chỉ tiêu này giúp đánh giá cơ cấu tín dụng của ngân hàng, qua đó xác định mức độ ưu tiên của ngân hàng đối với hoạt động cho vay phục vụ sản xuất kinh doanh. </w:t>
      </w:r>
      <w:r w:rsidR="00B34162" w:rsidRPr="00A90E6A">
        <w:rPr>
          <w:rFonts w:ascii="Times New Roman" w:hAnsi="Times New Roman" w:cs="Times New Roman"/>
          <w:color w:val="000000" w:themeColor="text1"/>
          <w:sz w:val="26"/>
          <w:szCs w:val="26"/>
          <w:lang w:val="vi-VN"/>
        </w:rPr>
        <w:t xml:space="preserve">Qua đó, tỷ trọng dư nợ cho vay SXKD đối với KHCN được </w:t>
      </w:r>
      <w:r w:rsidR="003C0796" w:rsidRPr="00A90E6A">
        <w:rPr>
          <w:rFonts w:ascii="Times New Roman" w:hAnsi="Times New Roman" w:cs="Times New Roman"/>
          <w:color w:val="000000" w:themeColor="text1"/>
          <w:sz w:val="26"/>
          <w:szCs w:val="26"/>
          <w:lang w:val="vi-VN"/>
        </w:rPr>
        <w:t>xác định công thức như sau:</w:t>
      </w:r>
    </w:p>
    <w:p w14:paraId="1F4ED9A9" w14:textId="24736CA9" w:rsidR="003C0796" w:rsidRPr="00A90E6A" w:rsidRDefault="003C0796" w:rsidP="00A139CF">
      <w:pPr>
        <w:tabs>
          <w:tab w:val="left" w:pos="6210"/>
        </w:tabs>
        <w:spacing w:after="0" w:line="360" w:lineRule="auto"/>
        <w:ind w:firstLine="567"/>
        <w:jc w:val="both"/>
        <w:rPr>
          <w:rFonts w:ascii="Times New Roman" w:eastAsiaTheme="minorEastAsia" w:hAnsi="Times New Roman" w:cs="Times New Roman"/>
          <w:color w:val="000000" w:themeColor="text1"/>
          <w:sz w:val="26"/>
          <w:szCs w:val="26"/>
          <w:lang w:val="vi-VN"/>
        </w:rPr>
      </w:pPr>
      <m:oMathPara>
        <m:oMath>
          <m:r>
            <m:rPr>
              <m:nor/>
            </m:rPr>
            <w:rPr>
              <w:rFonts w:ascii="Times New Roman" w:hAnsi="Times New Roman" w:cs="Times New Roman"/>
              <w:color w:val="000000" w:themeColor="text1"/>
              <w:sz w:val="26"/>
              <w:szCs w:val="26"/>
              <w:lang w:val="vi-VN"/>
            </w:rPr>
            <m:t xml:space="preserve">Tỷ trọng dư nợ cho vay SXKD đối với KHCN  </m:t>
          </m:r>
        </m:oMath>
      </m:oMathPara>
    </w:p>
    <w:p w14:paraId="2F3858B4" w14:textId="5357785E" w:rsidR="003C0796" w:rsidRPr="00A90E6A" w:rsidRDefault="003C0796"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m:oMathPara>
        <m:oMath>
          <m:r>
            <m:rPr>
              <m:nor/>
            </m:rPr>
            <w:rPr>
              <w:rFonts w:ascii="Times New Roman" w:hAnsi="Times New Roman" w:cs="Times New Roman"/>
              <w:color w:val="000000" w:themeColor="text1"/>
              <w:sz w:val="26"/>
              <w:szCs w:val="26"/>
              <w:lang w:val="vi-VN"/>
            </w:rPr>
            <m:t xml:space="preserve">= </m:t>
          </m:r>
          <m:f>
            <m:fPr>
              <m:ctrlPr>
                <w:rPr>
                  <w:rFonts w:ascii="Cambria Math" w:hAnsi="Cambria Math" w:cs="Times New Roman"/>
                  <w:i/>
                  <w:color w:val="000000" w:themeColor="text1"/>
                  <w:sz w:val="26"/>
                  <w:szCs w:val="26"/>
                </w:rPr>
              </m:ctrlPr>
            </m:fPr>
            <m:num>
              <m:r>
                <m:rPr>
                  <m:nor/>
                </m:rPr>
                <w:rPr>
                  <w:rFonts w:ascii="Times New Roman" w:hAnsi="Times New Roman" w:cs="Times New Roman"/>
                  <w:color w:val="000000" w:themeColor="text1"/>
                  <w:sz w:val="26"/>
                  <w:szCs w:val="26"/>
                  <w:lang w:val="vi-VN"/>
                </w:rPr>
                <m:t xml:space="preserve">Dư nợ cho vay SXKD đối với KHCN   </m:t>
              </m:r>
            </m:num>
            <m:den>
              <m:r>
                <m:rPr>
                  <m:nor/>
                </m:rPr>
                <w:rPr>
                  <w:rFonts w:ascii="Times New Roman" w:hAnsi="Times New Roman" w:cs="Times New Roman"/>
                  <w:color w:val="000000" w:themeColor="text1"/>
                  <w:sz w:val="26"/>
                  <w:szCs w:val="26"/>
                  <w:lang w:val="vi-VN"/>
                </w:rPr>
                <m:t xml:space="preserve">Tổng dư nợ cho vay </m:t>
              </m:r>
            </m:den>
          </m:f>
          <m:r>
            <m:rPr>
              <m:nor/>
            </m:rPr>
            <w:rPr>
              <w:rFonts w:ascii="Times New Roman" w:hAnsi="Times New Roman" w:cs="Times New Roman"/>
              <w:color w:val="000000" w:themeColor="text1"/>
              <w:sz w:val="26"/>
              <w:szCs w:val="26"/>
              <w:lang w:val="vi-VN"/>
            </w:rPr>
            <m:t xml:space="preserve"> x 100%</m:t>
          </m:r>
        </m:oMath>
      </m:oMathPara>
    </w:p>
    <w:p w14:paraId="7B3FB6D0" w14:textId="7F4D5B85" w:rsidR="0059561A" w:rsidRPr="00A90E6A" w:rsidRDefault="0059561A"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Tỷ trọng dư nợ cho vay sản xuất kinh doanh phản ánh trong tổng dư nợ cho vay của ngân hàng, bình quân 100 đồng vốn tín dụng thì có bao nhiêu đồng được sử dụng cho hoạt động sản xuất kinh doanh. Chỉ tiêu này cho phép đánh giá mức độ tập trung vốn của ngân hàng vào lĩnh vực sản xuất kinh doanh, đồng thời so sánh tốc độ tăng trưởng của dư nợ cho vay sản xuất kinh doanh với tốc độ tăng trưởng tổng dư nợ. Khi tỷ trọng dư nợ cho vay sản xuất kinh doanh tăng lên, điều đó cho thấy ngân hàng đang </w:t>
      </w:r>
      <w:r w:rsidRPr="00A90E6A">
        <w:rPr>
          <w:rFonts w:ascii="Times New Roman" w:hAnsi="Times New Roman" w:cs="Times New Roman"/>
          <w:color w:val="000000" w:themeColor="text1"/>
          <w:sz w:val="26"/>
          <w:szCs w:val="26"/>
          <w:lang w:val="vi-VN"/>
        </w:rPr>
        <w:lastRenderedPageBreak/>
        <w:t>ưu tiên mở rộng tín dụng đối với lĩnh vực sản xuất kinh doanh và tốc độ tăng trưởng của khoản mục này cao hơn so với tổng dư nợ. Ngược lại, khi tỷ trọng này giảm, thể hiện ngân hàng có xu hướng chuyển dịch cơ cấu tín dụng sang các lĩnh vực khác, hoặc hoạt động cho vay sản xuất kinh doanh chưa được chú trọng đúng mức.</w:t>
      </w:r>
    </w:p>
    <w:p w14:paraId="3120F606" w14:textId="664FC9CA" w:rsidR="0059561A" w:rsidRPr="00A90E6A" w:rsidRDefault="0059561A"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c) </w:t>
      </w:r>
      <w:r w:rsidR="00E84122" w:rsidRPr="00A90E6A">
        <w:rPr>
          <w:rFonts w:ascii="Times New Roman" w:hAnsi="Times New Roman" w:cs="Times New Roman"/>
          <w:b/>
          <w:bCs/>
          <w:color w:val="000000" w:themeColor="text1"/>
          <w:sz w:val="26"/>
          <w:szCs w:val="26"/>
          <w:lang w:val="vi-VN"/>
        </w:rPr>
        <w:t>Rủi</w:t>
      </w:r>
      <w:r w:rsidRPr="00A90E6A">
        <w:rPr>
          <w:rFonts w:ascii="Times New Roman" w:hAnsi="Times New Roman" w:cs="Times New Roman"/>
          <w:b/>
          <w:bCs/>
          <w:color w:val="000000" w:themeColor="text1"/>
          <w:sz w:val="26"/>
          <w:szCs w:val="26"/>
          <w:lang w:val="vi-VN"/>
        </w:rPr>
        <w:t xml:space="preserve"> ro tín dụng trong hoạt động cho vay sản xuất kinh doanh</w:t>
      </w:r>
      <w:r w:rsidR="00AC3E4A" w:rsidRPr="00A90E6A">
        <w:rPr>
          <w:rFonts w:ascii="Times New Roman" w:hAnsi="Times New Roman" w:cs="Times New Roman"/>
          <w:b/>
          <w:bCs/>
          <w:color w:val="000000" w:themeColor="text1"/>
          <w:sz w:val="26"/>
          <w:szCs w:val="26"/>
          <w:lang w:val="vi-VN"/>
        </w:rPr>
        <w:t xml:space="preserve"> đối với khách hàng cá </w:t>
      </w:r>
      <w:r w:rsidR="00933F7A" w:rsidRPr="00A90E6A">
        <w:rPr>
          <w:rFonts w:ascii="Times New Roman" w:hAnsi="Times New Roman" w:cs="Times New Roman"/>
          <w:b/>
          <w:bCs/>
          <w:color w:val="000000" w:themeColor="text1"/>
          <w:sz w:val="26"/>
          <w:szCs w:val="26"/>
          <w:lang w:val="vi-VN"/>
        </w:rPr>
        <w:t>nhân.</w:t>
      </w:r>
    </w:p>
    <w:p w14:paraId="3A83F2F8" w14:textId="77777777" w:rsidR="0080782A" w:rsidRPr="00A90E6A" w:rsidRDefault="0010008B" w:rsidP="00A139CF">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eastAsia="Times New Roman" w:hAnsi="Times New Roman" w:cs="Times New Roman"/>
          <w:color w:val="000000" w:themeColor="text1"/>
          <w:kern w:val="0"/>
          <w:sz w:val="26"/>
          <w:szCs w:val="26"/>
          <w:lang w:val="vi-VN"/>
          <w14:ligatures w14:val="none"/>
        </w:rPr>
        <w:t>Rủi ro tín dụng là loại rủi ro phát sinh khi khách hàng vay không thực hiện hoặc không có khả năng thực hiện đầy đủ nghĩa vụ trả nợ gốc và lãi theo cam kết với ngân hàng. Trong hoạt động cho vay sản xuất kinh doanh đối với khách hàng cá nhân, rủi ro tín dụng thường được phản ánh thông qua chỉ tiêu nợ xấu</w:t>
      </w:r>
      <w:r w:rsidR="0080782A" w:rsidRPr="00A90E6A">
        <w:rPr>
          <w:rFonts w:ascii="Times New Roman" w:eastAsia="Times New Roman" w:hAnsi="Times New Roman" w:cs="Times New Roman"/>
          <w:color w:val="000000" w:themeColor="text1"/>
          <w:kern w:val="0"/>
          <w:sz w:val="26"/>
          <w:szCs w:val="26"/>
          <w:lang w:val="vi-VN"/>
          <w14:ligatures w14:val="none"/>
        </w:rPr>
        <w:t xml:space="preserve"> và tỷ lệ nợ xấu.</w:t>
      </w:r>
      <w:r w:rsidR="0080782A" w:rsidRPr="00A90E6A">
        <w:rPr>
          <w:rFonts w:ascii="Times New Roman" w:hAnsi="Times New Roman" w:cs="Times New Roman"/>
          <w:color w:val="000000" w:themeColor="text1"/>
          <w:sz w:val="26"/>
          <w:szCs w:val="26"/>
          <w:lang w:val="vi-VN"/>
        </w:rPr>
        <w:t xml:space="preserve"> </w:t>
      </w:r>
    </w:p>
    <w:p w14:paraId="3C3D2D91" w14:textId="41179BF4" w:rsidR="0010008B" w:rsidRPr="00A90E6A" w:rsidRDefault="0080782A" w:rsidP="00A139CF">
      <w:pPr>
        <w:spacing w:after="0" w:line="360" w:lineRule="auto"/>
        <w:ind w:firstLine="567"/>
        <w:jc w:val="both"/>
        <w:rPr>
          <w:rFonts w:ascii="Times New Roman" w:eastAsia="Times New Roman" w:hAnsi="Times New Roman" w:cs="Times New Roman"/>
          <w:color w:val="000000" w:themeColor="text1"/>
          <w:kern w:val="0"/>
          <w:sz w:val="26"/>
          <w:szCs w:val="26"/>
          <w:lang w:val="vi-VN"/>
          <w14:ligatures w14:val="none"/>
        </w:rPr>
      </w:pPr>
      <w:r w:rsidRPr="00A90E6A">
        <w:rPr>
          <w:rFonts w:ascii="Times New Roman" w:hAnsi="Times New Roman" w:cs="Times New Roman"/>
          <w:color w:val="000000" w:themeColor="text1"/>
          <w:sz w:val="26"/>
          <w:szCs w:val="26"/>
          <w:lang w:val="vi-VN"/>
        </w:rPr>
        <w:t xml:space="preserve">Theo Thông tư số 31/2024/TT-NHNN ban hành ngày 30/06/2024 của Ngân hàng nhà nước Việt Nam, các khoản nợ được phân loại theo 05 nhóm như sau: nhóm nợ đủ tiêu chuẩn (nhóm 1), nhóm nợ cần chú ý (nhóm 2), nhóm nợ dưới tiêu chuẩn (nhóm 3), nhóm nợ nghi ngờ (nhóm 4), nhóm nợ có khả năng mất vốn (nhóm 5). </w:t>
      </w:r>
    </w:p>
    <w:p w14:paraId="207B09A7" w14:textId="6413F314" w:rsidR="00B34162" w:rsidRPr="00A90E6A" w:rsidRDefault="0080782A" w:rsidP="00B34162">
      <w:pPr>
        <w:spacing w:after="0" w:line="360" w:lineRule="auto"/>
        <w:ind w:firstLine="567"/>
        <w:jc w:val="both"/>
        <w:rPr>
          <w:rFonts w:ascii="Times New Roman" w:eastAsia="Times New Roman" w:hAnsi="Times New Roman" w:cs="Times New Roman"/>
          <w:color w:val="000000" w:themeColor="text1"/>
          <w:kern w:val="0"/>
          <w:sz w:val="26"/>
          <w:szCs w:val="26"/>
          <w:lang w:val="vi-VN"/>
          <w14:ligatures w14:val="none"/>
        </w:rPr>
      </w:pPr>
      <w:r w:rsidRPr="00A90E6A">
        <w:rPr>
          <w:rFonts w:ascii="Times New Roman" w:eastAsia="Times New Roman" w:hAnsi="Times New Roman" w:cs="Times New Roman"/>
          <w:color w:val="000000" w:themeColor="text1"/>
          <w:kern w:val="0"/>
          <w:sz w:val="26"/>
          <w:szCs w:val="26"/>
          <w:lang w:val="vi-VN"/>
          <w14:ligatures w14:val="none"/>
        </w:rPr>
        <w:t>Theo đó, n</w:t>
      </w:r>
      <w:r w:rsidR="0010008B" w:rsidRPr="00A90E6A">
        <w:rPr>
          <w:rFonts w:ascii="Times New Roman" w:eastAsia="Times New Roman" w:hAnsi="Times New Roman" w:cs="Times New Roman"/>
          <w:color w:val="000000" w:themeColor="text1"/>
          <w:kern w:val="0"/>
          <w:sz w:val="26"/>
          <w:szCs w:val="26"/>
          <w:lang w:val="vi-VN"/>
          <w14:ligatures w14:val="none"/>
        </w:rPr>
        <w:t xml:space="preserve">ợ xấu là các khoản nợ thuộc nhóm 3, nhóm 4 và nhóm </w:t>
      </w:r>
      <w:r w:rsidRPr="00A90E6A">
        <w:rPr>
          <w:rFonts w:ascii="Times New Roman" w:eastAsia="Times New Roman" w:hAnsi="Times New Roman" w:cs="Times New Roman"/>
          <w:color w:val="000000" w:themeColor="text1"/>
          <w:kern w:val="0"/>
          <w:sz w:val="26"/>
          <w:szCs w:val="26"/>
          <w:lang w:val="vi-VN"/>
          <w14:ligatures w14:val="none"/>
        </w:rPr>
        <w:t xml:space="preserve">5. </w:t>
      </w:r>
      <w:r w:rsidR="0010008B" w:rsidRPr="00A90E6A">
        <w:rPr>
          <w:rFonts w:ascii="Times New Roman" w:eastAsia="Times New Roman" w:hAnsi="Times New Roman" w:cs="Times New Roman"/>
          <w:color w:val="000000" w:themeColor="text1"/>
          <w:kern w:val="0"/>
          <w:sz w:val="26"/>
          <w:szCs w:val="26"/>
          <w:lang w:val="vi-VN"/>
          <w14:ligatures w14:val="none"/>
        </w:rPr>
        <w:t>Đây là các khoản nợ có khả năng không thu hồi được đúng hạn hoặc có nguy cơ mất vốn cao.</w:t>
      </w:r>
      <w:r w:rsidR="00722397" w:rsidRPr="00A90E6A">
        <w:rPr>
          <w:rFonts w:ascii="Times New Roman" w:eastAsia="Times New Roman" w:hAnsi="Times New Roman" w:cs="Times New Roman"/>
          <w:color w:val="000000" w:themeColor="text1"/>
          <w:kern w:val="0"/>
          <w:sz w:val="26"/>
          <w:szCs w:val="26"/>
          <w:lang w:val="vi-VN"/>
          <w14:ligatures w14:val="none"/>
        </w:rPr>
        <w:t xml:space="preserve"> </w:t>
      </w:r>
      <w:r w:rsidRPr="00A90E6A">
        <w:rPr>
          <w:rFonts w:ascii="Times New Roman" w:eastAsia="Times New Roman" w:hAnsi="Times New Roman" w:cs="Times New Roman"/>
          <w:color w:val="000000" w:themeColor="text1"/>
          <w:kern w:val="0"/>
          <w:sz w:val="26"/>
          <w:szCs w:val="26"/>
          <w:lang w:val="vi-VN"/>
          <w14:ligatures w14:val="none"/>
        </w:rPr>
        <w:t xml:space="preserve">Bên cạnh </w:t>
      </w:r>
      <w:r w:rsidR="00B34162" w:rsidRPr="00A90E6A">
        <w:rPr>
          <w:rFonts w:ascii="Times New Roman" w:eastAsia="Times New Roman" w:hAnsi="Times New Roman" w:cs="Times New Roman"/>
          <w:color w:val="000000" w:themeColor="text1"/>
          <w:kern w:val="0"/>
          <w:sz w:val="26"/>
          <w:szCs w:val="26"/>
          <w:lang w:val="vi-VN"/>
          <w14:ligatures w14:val="none"/>
        </w:rPr>
        <w:t>đó, tỷ lệ nợ xấu</w:t>
      </w:r>
      <w:r w:rsidRPr="00A90E6A">
        <w:rPr>
          <w:rFonts w:ascii="Times New Roman" w:eastAsia="Times New Roman" w:hAnsi="Times New Roman" w:cs="Times New Roman"/>
          <w:color w:val="000000" w:themeColor="text1"/>
          <w:kern w:val="0"/>
          <w:sz w:val="26"/>
          <w:szCs w:val="26"/>
          <w:lang w:val="vi-VN"/>
          <w14:ligatures w14:val="none"/>
        </w:rPr>
        <w:t xml:space="preserve"> cũng</w:t>
      </w:r>
      <w:r w:rsidR="00B34162" w:rsidRPr="00A90E6A">
        <w:rPr>
          <w:rFonts w:ascii="Times New Roman" w:eastAsia="Times New Roman" w:hAnsi="Times New Roman" w:cs="Times New Roman"/>
          <w:color w:val="000000" w:themeColor="text1"/>
          <w:kern w:val="0"/>
          <w:sz w:val="26"/>
          <w:szCs w:val="26"/>
          <w:lang w:val="vi-VN"/>
          <w14:ligatures w14:val="none"/>
        </w:rPr>
        <w:t xml:space="preserve"> là một chỉ tiêu quan trọng giúp đánh giá mức độ rủi ro trong hoạt động tín dụng của ngân hàng, được xác định theo công thức sau:</w:t>
      </w:r>
    </w:p>
    <w:p w14:paraId="6A7F6FBD" w14:textId="58B7DBE0" w:rsidR="003C0796" w:rsidRPr="00A90E6A" w:rsidRDefault="003C0796" w:rsidP="00B34162">
      <w:pPr>
        <w:spacing w:after="0" w:line="360" w:lineRule="auto"/>
        <w:ind w:firstLine="567"/>
        <w:jc w:val="both"/>
        <w:rPr>
          <w:rFonts w:ascii="Times New Roman" w:eastAsia="Times New Roman" w:hAnsi="Times New Roman" w:cs="Times New Roman"/>
          <w:color w:val="000000" w:themeColor="text1"/>
          <w:sz w:val="26"/>
          <w:szCs w:val="26"/>
          <w:lang w:val="vi-VN"/>
        </w:rPr>
      </w:pPr>
      <m:oMathPara>
        <m:oMathParaPr>
          <m:jc m:val="center"/>
        </m:oMathParaPr>
        <m:oMath>
          <m:r>
            <m:rPr>
              <m:nor/>
            </m:rPr>
            <w:rPr>
              <w:rFonts w:ascii="Times New Roman" w:hAnsi="Times New Roman" w:cs="Times New Roman"/>
              <w:color w:val="000000" w:themeColor="text1"/>
              <w:sz w:val="26"/>
              <w:szCs w:val="26"/>
              <w:lang w:val="vi-VN"/>
            </w:rPr>
            <m:t xml:space="preserve">Tỷ lệ nợ xấu cho vay SXKD đối với KHCN </m:t>
          </m:r>
        </m:oMath>
      </m:oMathPara>
    </w:p>
    <w:p w14:paraId="23608FE5" w14:textId="585CD712" w:rsidR="003C0796" w:rsidRPr="00A90E6A" w:rsidRDefault="003C0796" w:rsidP="00A139CF">
      <w:pPr>
        <w:spacing w:after="0" w:line="360" w:lineRule="auto"/>
        <w:ind w:left="1701" w:firstLine="567"/>
        <w:jc w:val="both"/>
        <w:rPr>
          <w:rFonts w:ascii="Times New Roman" w:hAnsi="Times New Roman" w:cs="Times New Roman"/>
          <w:color w:val="000000" w:themeColor="text1"/>
          <w:sz w:val="26"/>
          <w:szCs w:val="26"/>
          <w:lang w:val="vi-VN"/>
        </w:rPr>
      </w:pPr>
      <m:oMathPara>
        <m:oMathParaPr>
          <m:jc m:val="center"/>
        </m:oMathParaPr>
        <m:oMath>
          <m:r>
            <w:rPr>
              <w:rFonts w:ascii="Cambria Math" w:hAnsi="Cambria Math" w:cs="Times New Roman"/>
              <w:color w:val="000000" w:themeColor="text1"/>
              <w:sz w:val="26"/>
              <w:szCs w:val="26"/>
              <w:lang w:val="vi-VN"/>
            </w:rPr>
            <m:t>=</m:t>
          </m:r>
          <m:f>
            <m:fPr>
              <m:ctrlPr>
                <w:rPr>
                  <w:rFonts w:ascii="Cambria Math" w:hAnsi="Cambria Math" w:cs="Times New Roman"/>
                  <w:i/>
                  <w:color w:val="000000" w:themeColor="text1"/>
                  <w:sz w:val="26"/>
                  <w:szCs w:val="26"/>
                </w:rPr>
              </m:ctrlPr>
            </m:fPr>
            <m:num>
              <m:r>
                <m:rPr>
                  <m:nor/>
                </m:rPr>
                <w:rPr>
                  <w:rFonts w:ascii="Times New Roman" w:hAnsi="Times New Roman" w:cs="Times New Roman"/>
                  <w:color w:val="000000" w:themeColor="text1"/>
                  <w:sz w:val="26"/>
                  <w:szCs w:val="26"/>
                  <w:lang w:val="vi-VN"/>
                </w:rPr>
                <m:t xml:space="preserve">Dư nợ xấu cho vay SXKD đối với KHCN </m:t>
              </m:r>
            </m:num>
            <m:den>
              <m:r>
                <m:rPr>
                  <m:nor/>
                </m:rPr>
                <w:rPr>
                  <w:rFonts w:ascii="Times New Roman" w:hAnsi="Times New Roman" w:cs="Times New Roman"/>
                  <w:color w:val="000000" w:themeColor="text1"/>
                  <w:sz w:val="26"/>
                  <w:szCs w:val="26"/>
                  <w:lang w:val="vi-VN"/>
                </w:rPr>
                <m:t>Tổng dư nợ cho vay</m:t>
              </m:r>
            </m:den>
          </m:f>
          <m:r>
            <m:rPr>
              <m:nor/>
            </m:rPr>
            <w:rPr>
              <w:rFonts w:ascii="Times New Roman" w:hAnsi="Times New Roman" w:cs="Times New Roman"/>
              <w:color w:val="000000" w:themeColor="text1"/>
              <w:sz w:val="26"/>
              <w:szCs w:val="26"/>
              <w:lang w:val="vi-VN"/>
            </w:rPr>
            <m:t xml:space="preserve"> x 100</m:t>
          </m:r>
        </m:oMath>
      </m:oMathPara>
    </w:p>
    <w:p w14:paraId="787F47E6" w14:textId="45BFE195" w:rsidR="0082683C" w:rsidRPr="00A90E6A" w:rsidRDefault="0082683C" w:rsidP="00A139CF">
      <w:pPr>
        <w:spacing w:after="0" w:line="360" w:lineRule="auto"/>
        <w:ind w:firstLine="567"/>
        <w:jc w:val="both"/>
        <w:rPr>
          <w:rFonts w:ascii="Times New Roman" w:eastAsia="Times New Roman" w:hAnsi="Times New Roman" w:cs="Times New Roman"/>
          <w:color w:val="000000" w:themeColor="text1"/>
          <w:kern w:val="0"/>
          <w:sz w:val="26"/>
          <w:szCs w:val="26"/>
          <w:lang w:val="vi-VN"/>
          <w14:ligatures w14:val="none"/>
        </w:rPr>
      </w:pPr>
      <w:r w:rsidRPr="00A90E6A">
        <w:rPr>
          <w:rFonts w:ascii="Times New Roman" w:eastAsia="Times New Roman" w:hAnsi="Times New Roman" w:cs="Times New Roman"/>
          <w:color w:val="000000" w:themeColor="text1"/>
          <w:kern w:val="0"/>
          <w:sz w:val="26"/>
          <w:szCs w:val="26"/>
          <w:lang w:val="fr-FR"/>
          <w14:ligatures w14:val="none"/>
        </w:rPr>
        <w:t xml:space="preserve">Tỷ lệ nợ xấu cao là một dấu hiệu rõ rệt cho thấy ngân hàng đang đối mặt với sự suy giảm chất lượng cho vay. Khi hoạt động cho vay không đạt kết quả tốt, điều này có thể ảnh hưởng tiêu cực đến khả năng thanh khoản của ngân hàng, đồng thời hạn chế sự phát triển của các hoạt động tín dụng khác. Hệ quả là uy tín của ngân hàng bị ảnh hưởng xấu, làm giảm năng lực cạnh tranh của ngân hàng trên thị trường. Bằng cách duy trì tỷ lệ nợ xấu ở mức thấp, ngân hàng có thể nâng cao uy tín và khả năng cạnh tranh trên thị trường, tạo điều kiện thuận lợi cho sự phát triển bền vững trong hoạt động cho vay </w:t>
      </w:r>
      <w:r w:rsidR="00E84122" w:rsidRPr="00A90E6A">
        <w:rPr>
          <w:rFonts w:ascii="Times New Roman" w:eastAsia="Times New Roman" w:hAnsi="Times New Roman" w:cs="Times New Roman"/>
          <w:color w:val="000000" w:themeColor="text1"/>
          <w:kern w:val="0"/>
          <w:sz w:val="26"/>
          <w:szCs w:val="26"/>
          <w:lang w:val="fr-FR"/>
          <w14:ligatures w14:val="none"/>
        </w:rPr>
        <w:t>s</w:t>
      </w:r>
      <w:r w:rsidR="00046EB9" w:rsidRPr="00A90E6A">
        <w:rPr>
          <w:rFonts w:ascii="Times New Roman" w:hAnsi="Times New Roman" w:cs="Times New Roman"/>
          <w:color w:val="000000" w:themeColor="text1"/>
          <w:sz w:val="26"/>
          <w:szCs w:val="26"/>
          <w:lang w:val="vi-VN"/>
        </w:rPr>
        <w:t>ản xuất kinh doanh</w:t>
      </w:r>
      <w:r w:rsidRPr="00A90E6A">
        <w:rPr>
          <w:rFonts w:ascii="Times New Roman" w:eastAsia="Times New Roman" w:hAnsi="Times New Roman" w:cs="Times New Roman"/>
          <w:color w:val="000000" w:themeColor="text1"/>
          <w:kern w:val="0"/>
          <w:sz w:val="26"/>
          <w:szCs w:val="26"/>
          <w:lang w:val="fr-FR"/>
          <w14:ligatures w14:val="none"/>
        </w:rPr>
        <w:t>.</w:t>
      </w:r>
    </w:p>
    <w:p w14:paraId="0DA80DEE" w14:textId="77777777" w:rsidR="00DE2741" w:rsidRDefault="00DE2741">
      <w:pPr>
        <w:rPr>
          <w:rFonts w:ascii="Times New Roman" w:eastAsia="Times New Roman" w:hAnsi="Times New Roman" w:cs="Times New Roman"/>
          <w:b/>
          <w:bCs/>
          <w:color w:val="000000" w:themeColor="text1"/>
          <w:kern w:val="0"/>
          <w:sz w:val="26"/>
          <w:szCs w:val="26"/>
          <w:lang w:val="vi-VN"/>
          <w14:ligatures w14:val="none"/>
        </w:rPr>
      </w:pPr>
      <w:r>
        <w:rPr>
          <w:rFonts w:ascii="Times New Roman" w:eastAsia="Times New Roman" w:hAnsi="Times New Roman" w:cs="Times New Roman"/>
          <w:b/>
          <w:bCs/>
          <w:color w:val="000000" w:themeColor="text1"/>
          <w:kern w:val="0"/>
          <w:sz w:val="26"/>
          <w:szCs w:val="26"/>
          <w:lang w:val="vi-VN"/>
          <w14:ligatures w14:val="none"/>
        </w:rPr>
        <w:br w:type="page"/>
      </w:r>
    </w:p>
    <w:p w14:paraId="3EAE79DD" w14:textId="1F0B4022" w:rsidR="0082683C" w:rsidRPr="00A90E6A" w:rsidRDefault="0082683C"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eastAsia="Times New Roman" w:hAnsi="Times New Roman" w:cs="Times New Roman"/>
          <w:b/>
          <w:bCs/>
          <w:color w:val="000000" w:themeColor="text1"/>
          <w:kern w:val="0"/>
          <w:sz w:val="26"/>
          <w:szCs w:val="26"/>
          <w:lang w:val="vi-VN"/>
          <w14:ligatures w14:val="none"/>
        </w:rPr>
        <w:lastRenderedPageBreak/>
        <w:t xml:space="preserve">d) </w:t>
      </w:r>
      <w:r w:rsidRPr="00A90E6A">
        <w:rPr>
          <w:rFonts w:ascii="Times New Roman" w:hAnsi="Times New Roman" w:cs="Times New Roman"/>
          <w:b/>
          <w:bCs/>
          <w:color w:val="000000" w:themeColor="text1"/>
          <w:sz w:val="26"/>
          <w:szCs w:val="26"/>
          <w:lang w:val="vi-VN"/>
        </w:rPr>
        <w:t>Vòng quay vốn tín dụng</w:t>
      </w:r>
      <w:r w:rsidR="00AC3E4A" w:rsidRPr="00A90E6A">
        <w:rPr>
          <w:rFonts w:ascii="Times New Roman" w:hAnsi="Times New Roman" w:cs="Times New Roman"/>
          <w:b/>
          <w:bCs/>
          <w:color w:val="000000" w:themeColor="text1"/>
          <w:sz w:val="26"/>
          <w:szCs w:val="26"/>
          <w:lang w:val="vi-VN"/>
        </w:rPr>
        <w:t xml:space="preserve"> cho vay sản xuất kinh doanh đối với khách hàng cá </w:t>
      </w:r>
      <w:r w:rsidR="00140D14" w:rsidRPr="00A90E6A">
        <w:rPr>
          <w:rFonts w:ascii="Times New Roman" w:hAnsi="Times New Roman" w:cs="Times New Roman"/>
          <w:b/>
          <w:bCs/>
          <w:color w:val="000000" w:themeColor="text1"/>
          <w:sz w:val="26"/>
          <w:szCs w:val="26"/>
          <w:lang w:val="vi-VN"/>
        </w:rPr>
        <w:t>nhân.</w:t>
      </w:r>
    </w:p>
    <w:p w14:paraId="0C34F492" w14:textId="77777777" w:rsidR="00B34162" w:rsidRPr="00A90E6A" w:rsidRDefault="00B34162" w:rsidP="00A139CF">
      <w:pPr>
        <w:tabs>
          <w:tab w:val="left" w:pos="2835"/>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Vòng quay vốn tín dụng là chỉ tiêu phản ánh tốc độ luân chuyển của nguồn vốn trong hoạt động cho vay, qua đó thể hiện khả năng thu hồi và tái sử dụng vốn của ngân hàng trong một khoảng thời gian nhất định. Đây là một chỉ tiêu quan trọng giúp đánh giá mức độ hiệu quả trong việc sử dụng vốn tín dụng, khi vòng quay càng cao thì chứng tỏ vốn được thu hồi nhanh, góp phần nâng cao hiệu quả kinh doanh của ngân hàng. Chỉ tiêu này được xác định theo công thức sau:</w:t>
      </w:r>
    </w:p>
    <w:p w14:paraId="44A0BCC4" w14:textId="6CCCE9DF" w:rsidR="003C0796" w:rsidRPr="00A90E6A" w:rsidRDefault="003C0796" w:rsidP="00A139CF">
      <w:pPr>
        <w:tabs>
          <w:tab w:val="left" w:pos="2835"/>
        </w:tabs>
        <w:spacing w:after="0" w:line="360" w:lineRule="auto"/>
        <w:ind w:firstLine="567"/>
        <w:jc w:val="both"/>
        <w:rPr>
          <w:rFonts w:ascii="Times New Roman" w:eastAsiaTheme="minorEastAsia" w:hAnsi="Times New Roman" w:cs="Times New Roman"/>
          <w:color w:val="000000" w:themeColor="text1"/>
          <w:sz w:val="26"/>
          <w:szCs w:val="26"/>
          <w:lang w:val="vi-VN"/>
        </w:rPr>
      </w:pPr>
      <m:oMathPara>
        <m:oMathParaPr>
          <m:jc m:val="center"/>
        </m:oMathParaPr>
        <m:oMath>
          <m:r>
            <m:rPr>
              <m:nor/>
            </m:rPr>
            <w:rPr>
              <w:rFonts w:ascii="Times New Roman" w:hAnsi="Times New Roman" w:cs="Times New Roman"/>
              <w:color w:val="000000" w:themeColor="text1"/>
              <w:sz w:val="26"/>
              <w:szCs w:val="26"/>
              <w:lang w:val="vi-VN"/>
            </w:rPr>
            <m:t xml:space="preserve">Vòng quay vốn tín dụng cho vay SXKD đối với KHCN  </m:t>
          </m:r>
        </m:oMath>
      </m:oMathPara>
    </w:p>
    <w:p w14:paraId="4B358C22" w14:textId="67752030" w:rsidR="00217F43" w:rsidRPr="00A90E6A" w:rsidRDefault="003C0796" w:rsidP="00A139CF">
      <w:pPr>
        <w:tabs>
          <w:tab w:val="left" w:pos="2835"/>
        </w:tabs>
        <w:spacing w:after="0" w:line="360" w:lineRule="auto"/>
        <w:ind w:firstLine="567"/>
        <w:jc w:val="both"/>
        <w:rPr>
          <w:rFonts w:ascii="Times New Roman" w:hAnsi="Times New Roman" w:cs="Times New Roman"/>
          <w:color w:val="000000" w:themeColor="text1"/>
          <w:sz w:val="26"/>
          <w:szCs w:val="26"/>
          <w:lang w:val="vi-VN"/>
        </w:rPr>
      </w:pPr>
      <m:oMathPara>
        <m:oMathParaPr>
          <m:jc m:val="center"/>
        </m:oMathParaPr>
        <m:oMath>
          <m:r>
            <w:rPr>
              <w:rFonts w:ascii="Cambria Math" w:hAnsi="Cambria Math" w:cs="Times New Roman"/>
              <w:color w:val="000000" w:themeColor="text1"/>
              <w:sz w:val="26"/>
              <w:szCs w:val="26"/>
              <w:lang w:val="vi-VN"/>
            </w:rPr>
            <m:t>=</m:t>
          </m:r>
          <m:f>
            <m:fPr>
              <m:ctrlPr>
                <w:rPr>
                  <w:rFonts w:ascii="Cambria Math" w:hAnsi="Cambria Math" w:cs="Times New Roman"/>
                  <w:i/>
                  <w:color w:val="000000" w:themeColor="text1"/>
                  <w:sz w:val="26"/>
                  <w:szCs w:val="26"/>
                </w:rPr>
              </m:ctrlPr>
            </m:fPr>
            <m:num>
              <m:r>
                <m:rPr>
                  <m:nor/>
                </m:rPr>
                <w:rPr>
                  <w:rFonts w:ascii="Times New Roman" w:hAnsi="Times New Roman" w:cs="Times New Roman"/>
                  <w:color w:val="000000" w:themeColor="text1"/>
                  <w:sz w:val="26"/>
                  <w:szCs w:val="26"/>
                  <w:lang w:val="vi-VN"/>
                </w:rPr>
                <m:t xml:space="preserve">Doanh số thu nợ cho vay SXKD đối với KHCN </m:t>
              </m:r>
            </m:num>
            <m:den>
              <m:r>
                <m:rPr>
                  <m:nor/>
                </m:rPr>
                <w:rPr>
                  <w:rFonts w:ascii="Times New Roman" w:hAnsi="Times New Roman" w:cs="Times New Roman"/>
                  <w:color w:val="000000" w:themeColor="text1"/>
                  <w:sz w:val="26"/>
                  <w:szCs w:val="26"/>
                  <w:lang w:val="vi-VN"/>
                </w:rPr>
                <m:t>Dư nợ bình quân cho vay SXKD đối với KHCN</m:t>
              </m:r>
            </m:den>
          </m:f>
        </m:oMath>
      </m:oMathPara>
    </w:p>
    <w:p w14:paraId="0403D750" w14:textId="0A00FA14" w:rsidR="005C2E64" w:rsidRPr="00A90E6A" w:rsidRDefault="005C2E64"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Chỉ tiêu này cho biết tốc độ luân chuyển của vốn tín dụng, vòng quay càng cao chứng tỏ vốn được thu hồi nhanh, hiệu quả sử dụng vốn càng </w:t>
      </w:r>
      <w:r w:rsidR="005307E6" w:rsidRPr="00A90E6A">
        <w:rPr>
          <w:rFonts w:ascii="Times New Roman" w:hAnsi="Times New Roman" w:cs="Times New Roman"/>
          <w:color w:val="000000" w:themeColor="text1"/>
          <w:sz w:val="26"/>
          <w:szCs w:val="26"/>
          <w:lang w:val="vi-VN"/>
        </w:rPr>
        <w:t>tốt.</w:t>
      </w:r>
    </w:p>
    <w:p w14:paraId="6869AAD3" w14:textId="20178951" w:rsidR="007340D2" w:rsidRPr="00A90E6A" w:rsidRDefault="0010757D" w:rsidP="00A139CF">
      <w:pPr>
        <w:tabs>
          <w:tab w:val="left" w:pos="2907"/>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e</w:t>
      </w:r>
      <w:r w:rsidR="0082683C" w:rsidRPr="00A90E6A">
        <w:rPr>
          <w:rFonts w:ascii="Times New Roman" w:hAnsi="Times New Roman" w:cs="Times New Roman"/>
          <w:b/>
          <w:bCs/>
          <w:color w:val="000000" w:themeColor="text1"/>
          <w:sz w:val="26"/>
          <w:szCs w:val="26"/>
          <w:lang w:val="vi-VN"/>
        </w:rPr>
        <w:t xml:space="preserve">) </w:t>
      </w:r>
      <w:r w:rsidR="007340D2" w:rsidRPr="00A90E6A">
        <w:rPr>
          <w:rFonts w:ascii="Times New Roman" w:hAnsi="Times New Roman" w:cs="Times New Roman"/>
          <w:b/>
          <w:bCs/>
          <w:color w:val="000000" w:themeColor="text1"/>
          <w:sz w:val="26"/>
          <w:szCs w:val="26"/>
          <w:lang w:val="vi-VN"/>
        </w:rPr>
        <w:t xml:space="preserve">Thu nhập từ hoạt động cho vay sản xuất kinh </w:t>
      </w:r>
      <w:r w:rsidR="00140D14" w:rsidRPr="00A90E6A">
        <w:rPr>
          <w:rFonts w:ascii="Times New Roman" w:hAnsi="Times New Roman" w:cs="Times New Roman"/>
          <w:b/>
          <w:bCs/>
          <w:color w:val="000000" w:themeColor="text1"/>
          <w:sz w:val="26"/>
          <w:szCs w:val="26"/>
          <w:lang w:val="vi-VN"/>
        </w:rPr>
        <w:t>doanh.</w:t>
      </w:r>
    </w:p>
    <w:p w14:paraId="087E9E2D" w14:textId="77777777" w:rsidR="0010008B" w:rsidRPr="00A90E6A" w:rsidRDefault="0010008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Thu nhập từ hoạt động cho vay sản xuất kinh doanh là nguồn thu chủ yếu của ngân hàng thương mại, phản ánh khả năng sinh lời từ hoạt động tín dụng. Chỉ tiêu này có thể được đánh giá thông qua mức tăng trưởng thu nhập lãi hoặc tỷ trọng thu nhập từ cho vay trong tổng thu nhập của ngân hàng.</w:t>
      </w:r>
    </w:p>
    <w:p w14:paraId="7C86DC2B" w14:textId="3499FB2E" w:rsidR="0010008B" w:rsidRPr="00A90E6A" w:rsidRDefault="0010008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Thu nhập từ lãi là nguồn thu quan trọng nhất, quyết định đến hiệu quả hoạt động của ngân hàng thương mại.</w:t>
      </w:r>
    </w:p>
    <w:p w14:paraId="6A0828FE" w14:textId="250000D0" w:rsidR="007340D2" w:rsidRPr="00A90E6A" w:rsidRDefault="0010008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Một chỉ tiêu quan trọng khác là tỷ lệ thu nhập lãi thuần (NIM – Net Interest Margin), được xác định theo công thức</w:t>
      </w:r>
      <w:r w:rsidR="007340D2" w:rsidRPr="00A90E6A">
        <w:rPr>
          <w:rFonts w:ascii="Times New Roman" w:hAnsi="Times New Roman" w:cs="Times New Roman"/>
          <w:color w:val="000000" w:themeColor="text1"/>
          <w:sz w:val="26"/>
          <w:szCs w:val="26"/>
          <w:lang w:val="vi-VN"/>
        </w:rPr>
        <w:t xml:space="preserve">: </w:t>
      </w:r>
    </w:p>
    <w:p w14:paraId="5E0F1444" w14:textId="3B4D5881" w:rsidR="004C1F90" w:rsidRPr="00A90E6A" w:rsidRDefault="007340D2" w:rsidP="009513E1">
      <w:pPr>
        <w:spacing w:after="0" w:line="360" w:lineRule="auto"/>
        <w:ind w:firstLine="567"/>
        <w:jc w:val="both"/>
        <w:rPr>
          <w:rFonts w:ascii="Times New Roman" w:eastAsiaTheme="minorEastAsia" w:hAnsi="Times New Roman" w:cs="Times New Roman"/>
          <w:color w:val="000000" w:themeColor="text1"/>
          <w:sz w:val="26"/>
          <w:szCs w:val="26"/>
          <w:lang w:val="vi-VN"/>
        </w:rPr>
      </w:pPr>
      <m:oMathPara>
        <m:oMath>
          <m:r>
            <m:rPr>
              <m:nor/>
            </m:rPr>
            <w:rPr>
              <w:rFonts w:ascii="Times New Roman" w:hAnsi="Times New Roman" w:cs="Times New Roman"/>
              <w:color w:val="000000" w:themeColor="text1"/>
              <w:sz w:val="26"/>
              <w:szCs w:val="26"/>
              <w:lang w:val="vi-VN"/>
            </w:rPr>
            <m:t xml:space="preserve">Tỷ lệ thu nhập lãi thuần (NIM)= </m:t>
          </m:r>
          <m:f>
            <m:fPr>
              <m:ctrlPr>
                <w:rPr>
                  <w:rFonts w:ascii="Cambria Math" w:hAnsi="Cambria Math" w:cs="Times New Roman"/>
                  <w:i/>
                  <w:color w:val="000000" w:themeColor="text1"/>
                  <w:sz w:val="26"/>
                  <w:szCs w:val="26"/>
                </w:rPr>
              </m:ctrlPr>
            </m:fPr>
            <m:num>
              <m:r>
                <m:rPr>
                  <m:nor/>
                </m:rPr>
                <w:rPr>
                  <w:rFonts w:ascii="Times New Roman" w:hAnsi="Times New Roman" w:cs="Times New Roman"/>
                  <w:color w:val="000000" w:themeColor="text1"/>
                  <w:sz w:val="26"/>
                  <w:szCs w:val="26"/>
                  <w:lang w:val="vi-VN"/>
                </w:rPr>
                <m:t>Thu nhập lãi thuần</m:t>
              </m:r>
            </m:num>
            <m:den>
              <m:r>
                <m:rPr>
                  <m:nor/>
                </m:rPr>
                <w:rPr>
                  <w:rFonts w:ascii="Times New Roman" w:hAnsi="Times New Roman" w:cs="Times New Roman"/>
                  <w:color w:val="000000" w:themeColor="text1"/>
                  <w:sz w:val="26"/>
                  <w:szCs w:val="26"/>
                  <w:lang w:val="vi-VN"/>
                </w:rPr>
                <m:t>Tài sản sinh lãi</m:t>
              </m:r>
            </m:den>
          </m:f>
          <m:r>
            <m:rPr>
              <m:nor/>
            </m:rPr>
            <w:rPr>
              <w:rFonts w:ascii="Times New Roman" w:hAnsi="Times New Roman" w:cs="Times New Roman"/>
              <w:color w:val="000000" w:themeColor="text1"/>
              <w:sz w:val="26"/>
              <w:szCs w:val="26"/>
              <w:lang w:val="vi-VN"/>
            </w:rPr>
            <m:t xml:space="preserve"> x 100%</m:t>
          </m:r>
        </m:oMath>
      </m:oMathPara>
    </w:p>
    <w:p w14:paraId="627F174B" w14:textId="778C4616" w:rsidR="0010008B" w:rsidRPr="00A90E6A" w:rsidRDefault="0010008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đó, tài sản sinh lãi có thể được đại diện bởi tổng dư nợ cho vay hoặc tổng tài sản có sinh lãi của ngân hàng, tùy theo phạm vi nghiên cứu. Trong khóa luận này, chỉ tiêu “dư nợ cho vay</w:t>
      </w:r>
      <w:r w:rsidR="006030CA" w:rsidRPr="00A90E6A">
        <w:rPr>
          <w:rFonts w:ascii="Times New Roman" w:hAnsi="Times New Roman" w:cs="Times New Roman"/>
          <w:color w:val="000000" w:themeColor="text1"/>
          <w:sz w:val="26"/>
          <w:szCs w:val="26"/>
          <w:lang w:val="vi-VN"/>
        </w:rPr>
        <w:t xml:space="preserve"> bình quân</w:t>
      </w:r>
      <w:r w:rsidRPr="00A90E6A">
        <w:rPr>
          <w:rFonts w:ascii="Times New Roman" w:hAnsi="Times New Roman" w:cs="Times New Roman"/>
          <w:color w:val="000000" w:themeColor="text1"/>
          <w:sz w:val="26"/>
          <w:szCs w:val="26"/>
          <w:lang w:val="vi-VN"/>
        </w:rPr>
        <w:t>” được sử dụng làm đại diện cho tài sản sinh lãi do hoạt động cho vay chiếm tỷ trọng chủ yếu trong tổng tài sản sinh lãi của ngân hàng.</w:t>
      </w:r>
    </w:p>
    <w:p w14:paraId="40AD8198" w14:textId="77777777" w:rsidR="0010008B" w:rsidRPr="00A90E6A" w:rsidRDefault="0010008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Chỉ tiêu NIM phản ánh khả năng tạo ra lợi nhuận từ hoạt động tín dụng. NIM càng cao cho thấy ngân hàng sử dụng vốn hiệu quả, tạo ra lợi nhuận tốt từ hoạt động cho vay; ngược lại, NIM thấp cho thấy hiệu quả sinh lời chưa cao.</w:t>
      </w:r>
    </w:p>
    <w:p w14:paraId="2660EF44" w14:textId="77777777" w:rsidR="00DE2741" w:rsidRDefault="00DE2741">
      <w:pPr>
        <w:rPr>
          <w:rFonts w:ascii="Times New Roman" w:hAnsi="Times New Roman" w:cs="Times New Roman"/>
          <w:b/>
          <w:bCs/>
          <w:color w:val="000000" w:themeColor="text1"/>
          <w:sz w:val="26"/>
          <w:szCs w:val="26"/>
          <w:lang w:val="vi-VN"/>
        </w:rPr>
      </w:pPr>
      <w:r>
        <w:rPr>
          <w:rFonts w:ascii="Times New Roman" w:hAnsi="Times New Roman" w:cs="Times New Roman"/>
          <w:b/>
          <w:bCs/>
          <w:color w:val="000000" w:themeColor="text1"/>
          <w:sz w:val="26"/>
          <w:szCs w:val="26"/>
          <w:lang w:val="vi-VN"/>
        </w:rPr>
        <w:br w:type="page"/>
      </w:r>
    </w:p>
    <w:p w14:paraId="20C6BC79" w14:textId="032B1212" w:rsidR="007340D2" w:rsidRPr="00A90E6A" w:rsidRDefault="003C0796"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lastRenderedPageBreak/>
        <w:t xml:space="preserve">f) </w:t>
      </w:r>
      <w:r w:rsidR="007340D2" w:rsidRPr="00A90E6A">
        <w:rPr>
          <w:rFonts w:ascii="Times New Roman" w:hAnsi="Times New Roman" w:cs="Times New Roman"/>
          <w:b/>
          <w:bCs/>
          <w:color w:val="000000" w:themeColor="text1"/>
          <w:sz w:val="26"/>
          <w:szCs w:val="26"/>
          <w:lang w:val="vi-VN"/>
        </w:rPr>
        <w:t xml:space="preserve">Hệ số thu nợ cho vay sản xuất kinh doanh đối với khách hàng cá </w:t>
      </w:r>
      <w:r w:rsidR="00140D14" w:rsidRPr="00A90E6A">
        <w:rPr>
          <w:rFonts w:ascii="Times New Roman" w:hAnsi="Times New Roman" w:cs="Times New Roman"/>
          <w:b/>
          <w:bCs/>
          <w:color w:val="000000" w:themeColor="text1"/>
          <w:sz w:val="26"/>
          <w:szCs w:val="26"/>
          <w:lang w:val="vi-VN"/>
        </w:rPr>
        <w:t>nhân.</w:t>
      </w:r>
    </w:p>
    <w:p w14:paraId="6788B2C7" w14:textId="77777777" w:rsidR="0010008B" w:rsidRPr="00A90E6A" w:rsidRDefault="0010008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Hệ số thu nợ là chỉ tiêu phản ánh khả năng thu hồi vốn của ngân hàng trong hoạt động cho vay, thể hiện mối quan hệ giữa số tiền thu nợ và số tiền đã cho vay trong kỳ.</w:t>
      </w:r>
    </w:p>
    <w:p w14:paraId="023F6832" w14:textId="77777777" w:rsidR="0010008B" w:rsidRPr="00A90E6A" w:rsidRDefault="0010008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đó, doanh số cho vay là tổng số tiền ngân hàng đã giải ngân cho khách hàng trong kỳ, còn doanh số thu nợ là tổng số tiền ngân hàng thu hồi từ khách hàng trong cùng kỳ.</w:t>
      </w:r>
    </w:p>
    <w:p w14:paraId="0E94E4D3" w14:textId="1457841A" w:rsidR="00B34162" w:rsidRPr="00A90E6A" w:rsidRDefault="007340D2"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Hiệu quả cho vay còn được đánh giá thông qua hệ số thu nợ, phản ánh khả năng thu hồi vốn của ngân </w:t>
      </w:r>
      <w:r w:rsidR="00D40C7D" w:rsidRPr="00A90E6A">
        <w:rPr>
          <w:rFonts w:ascii="Times New Roman" w:hAnsi="Times New Roman" w:cs="Times New Roman"/>
          <w:color w:val="000000" w:themeColor="text1"/>
          <w:sz w:val="26"/>
          <w:szCs w:val="26"/>
          <w:lang w:val="vi-VN"/>
        </w:rPr>
        <w:t xml:space="preserve">hàng. </w:t>
      </w:r>
      <w:r w:rsidR="00B34162" w:rsidRPr="00A90E6A">
        <w:rPr>
          <w:rFonts w:ascii="Times New Roman" w:hAnsi="Times New Roman" w:cs="Times New Roman"/>
          <w:color w:val="000000" w:themeColor="text1"/>
          <w:sz w:val="26"/>
          <w:szCs w:val="26"/>
          <w:lang w:val="vi-VN"/>
        </w:rPr>
        <w:t>Chỉ tiêu này được xác định theo công thức sau:</w:t>
      </w:r>
    </w:p>
    <w:p w14:paraId="464F4198" w14:textId="2A78FD88" w:rsidR="009513E1" w:rsidRPr="00A90E6A" w:rsidRDefault="009513E1" w:rsidP="009513E1">
      <w:pPr>
        <w:tabs>
          <w:tab w:val="left" w:pos="6210"/>
        </w:tabs>
        <w:spacing w:after="0" w:line="360" w:lineRule="auto"/>
        <w:jc w:val="both"/>
        <w:rPr>
          <w:rFonts w:ascii="Times New Roman" w:eastAsiaTheme="minorEastAsia" w:hAnsi="Times New Roman" w:cs="Times New Roman"/>
          <w:color w:val="000000" w:themeColor="text1"/>
          <w:sz w:val="26"/>
          <w:szCs w:val="26"/>
          <w:lang w:val="vi-VN"/>
        </w:rPr>
      </w:pPr>
      <m:oMathPara>
        <m:oMathParaPr>
          <m:jc m:val="center"/>
        </m:oMathParaPr>
        <m:oMath>
          <m:r>
            <m:rPr>
              <m:nor/>
            </m:rPr>
            <w:rPr>
              <w:rFonts w:ascii="Times New Roman" w:hAnsi="Times New Roman" w:cs="Times New Roman"/>
              <w:color w:val="000000" w:themeColor="text1"/>
              <w:sz w:val="26"/>
              <w:szCs w:val="26"/>
              <w:lang w:val="vi-VN"/>
            </w:rPr>
            <m:t xml:space="preserve">Hệ số thu nợ cho vay SXKD đối với KHCN  </m:t>
          </m:r>
        </m:oMath>
      </m:oMathPara>
    </w:p>
    <w:p w14:paraId="72F46506" w14:textId="0441E2FE" w:rsidR="009513E1" w:rsidRPr="00A90E6A" w:rsidRDefault="009513E1"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m:oMathPara>
        <m:oMathParaPr>
          <m:jc m:val="center"/>
        </m:oMathParaPr>
        <m:oMath>
          <m:r>
            <w:rPr>
              <w:rFonts w:ascii="Cambria Math" w:hAnsi="Cambria Math" w:cs="Times New Roman"/>
              <w:color w:val="000000" w:themeColor="text1"/>
              <w:sz w:val="26"/>
              <w:szCs w:val="26"/>
              <w:lang w:val="vi-VN"/>
            </w:rPr>
            <m:t>=</m:t>
          </m:r>
          <m:f>
            <m:fPr>
              <m:ctrlPr>
                <w:rPr>
                  <w:rFonts w:ascii="Cambria Math" w:hAnsi="Cambria Math" w:cs="Times New Roman"/>
                  <w:i/>
                  <w:color w:val="000000" w:themeColor="text1"/>
                  <w:sz w:val="26"/>
                  <w:szCs w:val="26"/>
                </w:rPr>
              </m:ctrlPr>
            </m:fPr>
            <m:num>
              <m:r>
                <m:rPr>
                  <m:nor/>
                </m:rPr>
                <w:rPr>
                  <w:rFonts w:ascii="Times New Roman" w:hAnsi="Times New Roman" w:cs="Times New Roman"/>
                  <w:color w:val="000000" w:themeColor="text1"/>
                  <w:sz w:val="26"/>
                  <w:szCs w:val="26"/>
                  <w:lang w:val="vi-VN"/>
                </w:rPr>
                <m:t xml:space="preserve">Doanh số thu nợ cho vay SXKD đối với KHCN </m:t>
              </m:r>
            </m:num>
            <m:den>
              <m:r>
                <m:rPr>
                  <m:nor/>
                </m:rPr>
                <w:rPr>
                  <w:rFonts w:ascii="Times New Roman" w:hAnsi="Times New Roman" w:cs="Times New Roman"/>
                  <w:color w:val="000000" w:themeColor="text1"/>
                  <w:sz w:val="26"/>
                  <w:szCs w:val="26"/>
                  <w:lang w:val="vi-VN"/>
                </w:rPr>
                <m:t>Doanh số cho vay SXKD đối với KHCN</m:t>
              </m:r>
            </m:den>
          </m:f>
        </m:oMath>
      </m:oMathPara>
    </w:p>
    <w:p w14:paraId="18025641" w14:textId="77777777" w:rsidR="007340D2" w:rsidRPr="00A90E6A" w:rsidRDefault="007340D2" w:rsidP="009513E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Hệ số này càng cao cho thấy khả năng thu hồi nợ tốt, góp phần nâng cao hiệu quả và giảm thiểu rủi ro tín dụng.</w:t>
      </w:r>
    </w:p>
    <w:p w14:paraId="6E2C2425" w14:textId="3DF079EF" w:rsidR="007340D2" w:rsidRPr="00A90E6A" w:rsidRDefault="007340D2"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Như vậy, việc đánh giá hiệu quả cho vay sản xuất kinh doanh đối với khách hàng cá nhân cần được thực hiện thông qua hệ thống nhiều chỉ tiêu khác nhau, bao gồm cả chỉ tiêu về quy mô, chất lượng tín dụng và khả năng sinh lời. Việc kết hợp các chỉ tiêu này sẽ giúp ngân hàng có cái nhìn toàn diện, từ đó nâng cao hiệu quả hoạt động tín dụng và đảm bảo an toàn trong kinh doanh.</w:t>
      </w:r>
    </w:p>
    <w:p w14:paraId="3B9E24F6" w14:textId="6DBC48CB" w:rsidR="004603A8" w:rsidRPr="00A90E6A" w:rsidRDefault="004603A8" w:rsidP="008556FF">
      <w:pPr>
        <w:pStyle w:val="Heading3"/>
        <w:numPr>
          <w:ilvl w:val="0"/>
          <w:numId w:val="10"/>
        </w:numPr>
        <w:tabs>
          <w:tab w:val="clear" w:pos="6210"/>
          <w:tab w:val="left" w:pos="1276"/>
        </w:tabs>
        <w:ind w:left="0" w:firstLine="567"/>
        <w:rPr>
          <w:b w:val="0"/>
          <w:bCs w:val="0"/>
          <w:i w:val="0"/>
          <w:iCs w:val="0"/>
          <w:color w:val="000000" w:themeColor="text1"/>
          <w:lang w:val="vi-VN"/>
        </w:rPr>
      </w:pPr>
      <w:r w:rsidRPr="00A90E6A">
        <w:rPr>
          <w:i w:val="0"/>
          <w:iCs w:val="0"/>
          <w:color w:val="000000" w:themeColor="text1"/>
          <w:lang w:val="vi-VN"/>
        </w:rPr>
        <w:t xml:space="preserve"> </w:t>
      </w:r>
      <w:bookmarkStart w:id="29" w:name="_Toc230962383"/>
      <w:r w:rsidRPr="00A90E6A">
        <w:rPr>
          <w:i w:val="0"/>
          <w:iCs w:val="0"/>
          <w:color w:val="000000" w:themeColor="text1"/>
          <w:lang w:val="vi-VN"/>
        </w:rPr>
        <w:t>Các nhân tố ảnh hưởng đến hiệu quả cho vay sản xuất kinh doanh đối với khách hàng cá nhân.</w:t>
      </w:r>
      <w:bookmarkEnd w:id="29"/>
    </w:p>
    <w:p w14:paraId="3CFCC8CF" w14:textId="77777777" w:rsidR="004603A8" w:rsidRPr="00A90E6A" w:rsidRDefault="004603A8" w:rsidP="00D346C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Hiệu quả cho vay sản xuất kinh doanh đối với khách hàng cá nhân tại ngân hàng thương mại chịu sự tác động tổng hợp của nhiều nhân tố khác nhau, bao gồm các yếu tố nội tại của ngân hàng, yếu tố thuộc về khách hàng và các yếu tố từ môi trường kinh tế – xã hội. Việc nhận diện và phân tích các nhân tố này giúp ngân hàng có cơ sở để xây dựng chính sách tín dụng phù hợp, nâng cao hiệu quả hoạt động cho vay và hạn chế rủi ro phát sinh.</w:t>
      </w:r>
    </w:p>
    <w:p w14:paraId="48B08610" w14:textId="77777777" w:rsidR="004603A8" w:rsidRPr="00A90E6A" w:rsidRDefault="004603A8" w:rsidP="004603A8">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Trước hết, các nhân tố thuộc về ngân hàng thương mại có vai trò quyết định đến hiệu quả cho vay. Chính sách tín dụng là yếu tố mang tính định hướng, bao gồm các quy định về điều kiện cho vay, lãi suất, tài sản bảo đảm, hạn mức tín dụng và các tiêu chuẩn lựa chọn khách hàng. Một chính sách tín dụng hợp lý, phù hợp với từng giai đoạn phát triển sẽ giúp ngân hàng kiểm soát tốt rủi ro và nâng cao hiệu quả sử dụng vốn. Chính sách tín dụng là công cụ quan trọng giúp ngân hàng cân đối giữa mục tiêu lợi nhuận và </w:t>
      </w:r>
      <w:r w:rsidRPr="00A90E6A">
        <w:rPr>
          <w:rFonts w:ascii="Times New Roman" w:hAnsi="Times New Roman" w:cs="Times New Roman"/>
          <w:color w:val="000000" w:themeColor="text1"/>
          <w:sz w:val="26"/>
          <w:szCs w:val="26"/>
          <w:lang w:val="vi-VN"/>
        </w:rPr>
        <w:lastRenderedPageBreak/>
        <w:t>mức độ chấp nhận rủi ro. Bên cạnh đó, quy trình thẩm định và kiểm tra, giám sát sau cho vay cũng có ảnh hưởng lớn đến hiệu quả cho vay. Nếu công tác thẩm định được thực hiện chặt chẽ, đánh giá đúng năng lực tài chính và phương án kinh doanh của khách hàng thì khả năng phát sinh nợ xấu sẽ được hạn chế. Ngoài ra, trình độ chuyên môn, kinh nghiệm và đạo đức nghề nghiệp của cán bộ tín dụng cũng là yếu tố quan trọng, bởi đây là lực lượng trực tiếp quyết định chất lượng khoản vay. Năng lực của cán bộ tín dụng có ảnh hưởng trực tiếp đến hiệu quả và độ an toàn của hoạt động tín dụng tại ngân hàng.</w:t>
      </w:r>
    </w:p>
    <w:p w14:paraId="3713FDFD" w14:textId="77777777" w:rsidR="004603A8" w:rsidRPr="00A90E6A" w:rsidRDefault="004603A8" w:rsidP="004603A8">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Thứ hai, các nhân tố thuộc về khách hàng vay vốn có ảnh hưởng trực tiếp đến khả năng trả nợ và hiệu quả sử dụng vốn vay. Năng lực tài chính của khách hàng là yếu tố quan trọng, phản ánh khả năng tạo ra dòng tiền để trả nợ. Đối với khách hàng cá nhân và hộ kinh doanh, quy mô vốn thường nhỏ, khả năng tài chính hạn chế và thông tin tài chính chưa đầy đủ, do đó rủi ro tín dụng thường cao hơn. Bên cạnh đó, kinh nghiệm và trình độ quản lý kinh doanh của khách hàng cũng ảnh hưởng lớn đến hiệu quả sử dụng vốn. Các khách hàng có kinh nghiệm kinh doanh và khả năng quản lý tốt thường sử dụng vốn hiệu quả hơn và có khả năng trả nợ cao hơn. Ngoài ra, uy tín và lịch sử tín dụng của khách hàng cũng là yếu tố quan trọng giúp ngân hàng đánh giá mức độ rủi ro khi cấp tín dụng.</w:t>
      </w:r>
    </w:p>
    <w:p w14:paraId="0394A503" w14:textId="77777777" w:rsidR="009E0361" w:rsidRDefault="004603A8" w:rsidP="009E036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Thứ ba, các nhân tố thuộc môi trường kinh tế vĩ mô có tác động mạnh mẽ đến hiệu quả cho vay. Các yếu tố như tốc độ tăng trưởng kinh tế, lạm phát, lãi suất, tỷ giá và chính sách điều hành của Nhà nước đều ảnh hưởng đến hoạt động sản xuất kinh doanh của khách hàng. Khi nền kinh tế tăng trưởng ổn định, môi trường kinh doanh thuận lợi sẽ giúp khách hàng hoạt động hiệu quả và nâng cao khả năng trả nợ. Ngược lại, trong điều kiện kinh tế suy thoái, lạm phát cao hoặc biến động thị trường lớn, hoạt động kinh doanh của khách hàng gặp nhiều khó khăn, từ đó làm gia tăng rủi ro tín dụng. Các biến động</w:t>
      </w:r>
    </w:p>
    <w:p w14:paraId="15039526" w14:textId="1A4C7E44" w:rsidR="004603A8" w:rsidRPr="00A90E6A" w:rsidRDefault="004603A8" w:rsidP="009E0361">
      <w:pPr>
        <w:tabs>
          <w:tab w:val="left" w:pos="6210"/>
        </w:tabs>
        <w:spacing w:after="0" w:line="360" w:lineRule="auto"/>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kinh tế vĩ mô có ảnh hưởng trực tiếp đến chất lượng tài sản và hiệu quả hoạt động của hệ thống ngân hàng.</w:t>
      </w:r>
    </w:p>
    <w:p w14:paraId="457D9C29" w14:textId="77777777" w:rsidR="004603A8" w:rsidRPr="00A90E6A" w:rsidRDefault="004603A8" w:rsidP="004603A8">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tư, yếu tố pháp lý và môi trường cạnh tranh cũng có tác động đáng kể đến hiệu quả cho vay. Hệ thống pháp luật liên quan đến hoạt động tín dụng, xử lý tài sản bảo đảm và thu hồi nợ nếu đầy đủ, minh bạch sẽ giúp ngân hàng giảm thiểu rủi ro và nâng cao hiệu quả hoạt động. Ngược lại, nếu khung pháp lý chưa hoàn thiện hoặc việc thực thi pháp luật còn hạn chế sẽ gây khó khăn trong công tác xử lý nợ và thu hồi vốn. Bên </w:t>
      </w:r>
      <w:r w:rsidRPr="00A90E6A">
        <w:rPr>
          <w:rFonts w:ascii="Times New Roman" w:hAnsi="Times New Roman" w:cs="Times New Roman"/>
          <w:color w:val="000000" w:themeColor="text1"/>
          <w:sz w:val="26"/>
          <w:szCs w:val="26"/>
          <w:lang w:val="vi-VN"/>
        </w:rPr>
        <w:lastRenderedPageBreak/>
        <w:t>cạnh đó, sự cạnh tranh giữa các ngân hàng thương mại ngày càng gia tăng, buộc các ngân hàng phải cải tiến sản phẩm, nâng cao chất lượng dịch vụ và mở rộng tín dụng. Tuy nhiên, nếu cạnh tranh không lành mạnh hoặc nới lỏng điều kiện tín dụng quá mức có thể làm gia tăng rủi ro và ảnh hưởng đến hiệu quả cho vay. Môi trường cạnh tranh và khung pháp lý là hai yếu tố quan trọng tác động đến mức độ rủi ro và hiệu quả hoạt động của ngân hàng thương mại.</w:t>
      </w:r>
    </w:p>
    <w:p w14:paraId="7EDCA410" w14:textId="77777777" w:rsidR="004603A8" w:rsidRPr="00A90E6A" w:rsidRDefault="004603A8" w:rsidP="004603A8">
      <w:pPr>
        <w:tabs>
          <w:tab w:val="left" w:pos="6210"/>
        </w:tabs>
        <w:spacing w:after="60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Như vậy, hiệu quả cho vay sản xuất kinh doanh đối với khách hàng cá nhân chịu sự chi phối của nhiều nhân tố khác nhau. Việc nhận diện đúng và kiểm soát tốt các yếu tố này sẽ giúp ngân hàng nâng cao chất lượng tín dụng, hạn chế rủi ro và đảm bảo hoạt động cho vay phát triển ổn định, bền vững.</w:t>
      </w:r>
    </w:p>
    <w:p w14:paraId="53911494" w14:textId="77777777" w:rsidR="00980598" w:rsidRPr="00A90E6A" w:rsidRDefault="00980598">
      <w:pPr>
        <w:rPr>
          <w:rFonts w:ascii="Times New Roman" w:hAnsi="Times New Roman" w:cs="Times New Roman"/>
          <w:b/>
          <w:bCs/>
          <w:color w:val="000000" w:themeColor="text1"/>
          <w:sz w:val="26"/>
          <w:szCs w:val="26"/>
          <w:lang w:val="vi-VN"/>
        </w:rPr>
      </w:pPr>
      <w:r w:rsidRPr="00A90E6A">
        <w:rPr>
          <w:rFonts w:ascii="Times New Roman" w:hAnsi="Times New Roman" w:cs="Times New Roman"/>
          <w:color w:val="000000" w:themeColor="text1"/>
          <w:sz w:val="26"/>
          <w:szCs w:val="26"/>
          <w:lang w:val="vi-VN"/>
        </w:rPr>
        <w:br w:type="page"/>
      </w:r>
    </w:p>
    <w:p w14:paraId="0CEB339C" w14:textId="0DC4D7A2" w:rsidR="00E20C57" w:rsidRPr="00A90E6A" w:rsidRDefault="00E20C57" w:rsidP="00A139CF">
      <w:pPr>
        <w:pStyle w:val="Heading1"/>
        <w:ind w:firstLine="567"/>
        <w:rPr>
          <w:color w:val="000000" w:themeColor="text1"/>
          <w:lang w:val="vi-VN"/>
        </w:rPr>
      </w:pPr>
      <w:bookmarkStart w:id="30" w:name="_Toc230962384"/>
      <w:r w:rsidRPr="00A90E6A">
        <w:rPr>
          <w:color w:val="000000" w:themeColor="text1"/>
          <w:lang w:val="vi-VN"/>
        </w:rPr>
        <w:lastRenderedPageBreak/>
        <w:t>TÓM TẮT CHƯƠNG 1</w:t>
      </w:r>
      <w:bookmarkEnd w:id="30"/>
    </w:p>
    <w:p w14:paraId="083077E1" w14:textId="77777777" w:rsidR="00C158B0" w:rsidRPr="00A90E6A" w:rsidRDefault="00C158B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Chương 1 đã trình bày những vấn đề lý luận cơ bản về hoạt động cho vay sản xuất kinh doanh đối với khách hàng cá nhân tại ngân hàng thương mại, làm cơ sở nền tảng cho việc phân tích thực trạng và đề xuất giải pháp ở các chương sau.</w:t>
      </w:r>
    </w:p>
    <w:p w14:paraId="4673BA72" w14:textId="77777777" w:rsidR="00C158B0" w:rsidRPr="00A90E6A" w:rsidRDefault="00C158B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Trước hết, chương đã làm rõ khái niệm, vai trò và các hoạt động kinh doanh chủ yếu của ngân hàng thương mại, qua đó khẳng định ngân hàng là trung gian tài chính quan trọng trong nền kinh tế, thực hiện chức năng huy động vốn, cấp tín dụng và cung ứng dịch vụ thanh toán. Đồng thời, chương cũng phân tích vai trò của ngân hàng thương mại trong việc thúc đẩy tăng trưởng kinh tế, cung ứng vốn và ổn định hệ thống tài chính.</w:t>
      </w:r>
    </w:p>
    <w:p w14:paraId="60C47ABC" w14:textId="77777777" w:rsidR="00C158B0" w:rsidRPr="00A90E6A" w:rsidRDefault="00C158B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Tiếp theo, chương đã hệ thống hóa các vấn đề lý luận về hoạt động cho vay sản xuất kinh doanh đối với khách hàng cá nhân, bao gồm khái niệm, đặc điểm, phân loại và vai trò của loại hình cho vay này. Qua đó cho thấy đây là hoạt động tín dụng quan trọng, vừa mang lại lợi nhuận cho ngân hàng, vừa góp phần phát triển kinh tế và nâng cao thu nhập cho người dân, nhưng cũng tiềm ẩn nhiều rủi ro cần được quản lý chặt chẽ.</w:t>
      </w:r>
    </w:p>
    <w:p w14:paraId="6CA55789" w14:textId="77777777" w:rsidR="00C158B0" w:rsidRPr="00A90E6A" w:rsidRDefault="00C158B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Bên cạnh đó, chương đã làm rõ khái niệm hiệu quả cho vay sản xuất kinh doanh đối với khách hàng cá nhân và các chỉ tiêu đánh giá hiệu quả như quy mô tín dụng, chất lượng tín dụng, khả năng sinh lời và mức độ rủi ro. Đồng thời, các nhân tố ảnh hưởng đến hiệu quả cho vay cũng được phân tích, bao gồm các yếu tố từ phía ngân hàng, khách hàng và môi trường kinh tế – xã hội.</w:t>
      </w:r>
    </w:p>
    <w:p w14:paraId="1E1C096C" w14:textId="77777777" w:rsidR="00C158B0" w:rsidRPr="00A90E6A" w:rsidRDefault="00C158B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Như vậy, chương 1 đã xây dựng được khung lý luận tương đối đầy đủ về hoạt động cho vay sản xuất kinh doanh đối với khách hàng cá nhân tại ngân hàng thương mại. Đây là cơ sở quan trọng để phân tích thực trạng và đề xuất các giải pháp nhằm nâng cao hiệu quả hoạt động cho vay tại Ngân hàng TMCP Quân đội – Chi nhánh Đà Nẵng trong các chương tiếp theo.</w:t>
      </w:r>
    </w:p>
    <w:p w14:paraId="217C0616" w14:textId="77777777" w:rsidR="00806C4F" w:rsidRPr="00A90E6A" w:rsidRDefault="00806C4F"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p>
    <w:p w14:paraId="2793C3DE" w14:textId="77777777" w:rsidR="00806C4F" w:rsidRPr="00A90E6A" w:rsidRDefault="00806C4F"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br w:type="page"/>
      </w:r>
    </w:p>
    <w:p w14:paraId="78A97C0B" w14:textId="4D26750C" w:rsidR="00E20C57" w:rsidRPr="00A90E6A" w:rsidRDefault="00E20C57" w:rsidP="00BA5F31">
      <w:pPr>
        <w:pStyle w:val="Heading1"/>
        <w:rPr>
          <w:color w:val="000000" w:themeColor="text1"/>
          <w:lang w:val="vi-VN"/>
        </w:rPr>
      </w:pPr>
      <w:bookmarkStart w:id="31" w:name="_Toc230962385"/>
      <w:r w:rsidRPr="00A90E6A">
        <w:rPr>
          <w:color w:val="000000" w:themeColor="text1"/>
          <w:lang w:val="vi-VN"/>
        </w:rPr>
        <w:lastRenderedPageBreak/>
        <w:t>CHƯƠNG II: THỰC TRẠNG HIỆU QUẢ HOẠT ĐỘNG CHO VAY SẢN XUẤT KINH</w:t>
      </w:r>
      <w:r w:rsidR="00410D78" w:rsidRPr="00A90E6A">
        <w:rPr>
          <w:color w:val="000000" w:themeColor="text1"/>
          <w:lang w:val="vi-VN"/>
        </w:rPr>
        <w:t xml:space="preserve"> DOA</w:t>
      </w:r>
      <w:r w:rsidRPr="00A90E6A">
        <w:rPr>
          <w:color w:val="000000" w:themeColor="text1"/>
          <w:lang w:val="vi-VN"/>
        </w:rPr>
        <w:t>NH ĐỐI VỚI KHÁCH HÀNG CÁ NHÂN TẠI NGÂN HÀNG TMCP QUÂN ĐỘI – CHI NHÁNH ĐÀ NẴNG</w:t>
      </w:r>
      <w:bookmarkEnd w:id="31"/>
    </w:p>
    <w:p w14:paraId="1908ADA1" w14:textId="29BE8E19" w:rsidR="00E20C57" w:rsidRPr="00A90E6A" w:rsidRDefault="00E20C57" w:rsidP="009E08FC">
      <w:pPr>
        <w:pStyle w:val="Heading2"/>
        <w:tabs>
          <w:tab w:val="left" w:pos="993"/>
        </w:tabs>
        <w:ind w:firstLine="567"/>
        <w:rPr>
          <w:color w:val="000000" w:themeColor="text1"/>
          <w:lang w:val="vi-VN"/>
        </w:rPr>
      </w:pPr>
      <w:bookmarkStart w:id="32" w:name="_Toc230962386"/>
      <w:r w:rsidRPr="00A90E6A">
        <w:rPr>
          <w:color w:val="000000" w:themeColor="text1"/>
          <w:lang w:val="vi-VN"/>
        </w:rPr>
        <w:t>2.</w:t>
      </w:r>
      <w:r w:rsidR="00CF4964" w:rsidRPr="00A90E6A">
        <w:rPr>
          <w:color w:val="000000" w:themeColor="text1"/>
          <w:lang w:val="vi-VN"/>
        </w:rPr>
        <w:t>1</w:t>
      </w:r>
      <w:r w:rsidR="00D346C3" w:rsidRPr="00A90E6A">
        <w:rPr>
          <w:color w:val="000000" w:themeColor="text1"/>
          <w:lang w:val="vi-VN"/>
        </w:rPr>
        <w:t xml:space="preserve"> </w:t>
      </w:r>
      <w:r w:rsidR="009E08FC">
        <w:rPr>
          <w:color w:val="000000" w:themeColor="text1"/>
        </w:rPr>
        <w:tab/>
      </w:r>
      <w:r w:rsidR="009D74FA" w:rsidRPr="00A90E6A">
        <w:rPr>
          <w:color w:val="000000" w:themeColor="text1"/>
          <w:lang w:val="vi-VN"/>
        </w:rPr>
        <w:t>Khái</w:t>
      </w:r>
      <w:r w:rsidRPr="00A90E6A">
        <w:rPr>
          <w:color w:val="000000" w:themeColor="text1"/>
          <w:lang w:val="vi-VN"/>
        </w:rPr>
        <w:t xml:space="preserve"> quát về ngân hàng TMCP Quân đội – Chi nhánh Đà </w:t>
      </w:r>
      <w:r w:rsidR="0075617D" w:rsidRPr="00A90E6A">
        <w:rPr>
          <w:color w:val="000000" w:themeColor="text1"/>
          <w:lang w:val="vi-VN"/>
        </w:rPr>
        <w:t>Nẵng.</w:t>
      </w:r>
      <w:bookmarkEnd w:id="32"/>
    </w:p>
    <w:p w14:paraId="75F74628" w14:textId="331BF808" w:rsidR="00E20C57" w:rsidRPr="00A90E6A" w:rsidRDefault="00CA42EC" w:rsidP="00B957BA">
      <w:pPr>
        <w:pStyle w:val="Heading3"/>
        <w:tabs>
          <w:tab w:val="clear" w:pos="6210"/>
          <w:tab w:val="left" w:pos="1276"/>
        </w:tabs>
        <w:ind w:left="567" w:firstLine="0"/>
        <w:rPr>
          <w:i w:val="0"/>
          <w:iCs w:val="0"/>
          <w:color w:val="000000" w:themeColor="text1"/>
          <w:lang w:val="vi-VN"/>
        </w:rPr>
      </w:pPr>
      <w:bookmarkStart w:id="33" w:name="_Toc230962387"/>
      <w:r w:rsidRPr="00A90E6A">
        <w:rPr>
          <w:i w:val="0"/>
          <w:iCs w:val="0"/>
          <w:color w:val="000000" w:themeColor="text1"/>
          <w:lang w:val="vi-VN"/>
        </w:rPr>
        <w:t xml:space="preserve">2.1.1 </w:t>
      </w:r>
      <w:r w:rsidR="00B957BA">
        <w:rPr>
          <w:i w:val="0"/>
          <w:iCs w:val="0"/>
          <w:color w:val="000000" w:themeColor="text1"/>
        </w:rPr>
        <w:tab/>
      </w:r>
      <w:r w:rsidRPr="00A90E6A">
        <w:rPr>
          <w:i w:val="0"/>
          <w:iCs w:val="0"/>
          <w:color w:val="000000" w:themeColor="text1"/>
          <w:lang w:val="vi-VN"/>
        </w:rPr>
        <w:t>Lịch sử hình thành và quá trình phát triển của ngân hàng TMCP Quân đội – Chi nhánh Đà Nẵng.</w:t>
      </w:r>
      <w:bookmarkEnd w:id="33"/>
      <w:r w:rsidR="00E20C57" w:rsidRPr="00A90E6A">
        <w:rPr>
          <w:i w:val="0"/>
          <w:iCs w:val="0"/>
          <w:color w:val="000000" w:themeColor="text1"/>
          <w:lang w:val="vi-VN"/>
        </w:rPr>
        <w:t xml:space="preserve"> </w:t>
      </w:r>
    </w:p>
    <w:p w14:paraId="51FC44F1" w14:textId="72478047" w:rsidR="00EE257B" w:rsidRPr="00A90E6A" w:rsidRDefault="00EE257B" w:rsidP="00EE257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Ngân hàng Thương mại Cổ phần Quân đội (MB) được thành lập ngày 04/11/1994 và sau hơn 31 năm hình thành, phát triển đã từng bước khẳng định vị thế là một trong những ngân hàng thương mại uy tín tại Việt Nam. Với định hướng phát triển theo mô hình tập đoàn tài chính đa năng,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không ngừng mở rộng quy mô hoạt động, đa dạng hóa sản phẩm dịch vụ và đẩy mạnh ứng dụng công nghệ hiện đại trong hoạt động ngân hàng. Nhờ đó, ngân hàng đã xây dựng được mạng lưới hoạt động rộng khắp trên toàn quốc và từng bước vươn ra thị trường quốc tế, tạo nền tảng vững chắc cho sự phát triển bền vững trong dài hạn.</w:t>
      </w:r>
    </w:p>
    <w:p w14:paraId="4FBD84B1" w14:textId="4D7F13D5" w:rsidR="00A70234" w:rsidRPr="00A90E6A" w:rsidRDefault="00EE257B" w:rsidP="00A70234">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Trên cơ sở đó, </w:t>
      </w:r>
      <w:r w:rsidR="00A70234" w:rsidRPr="00A90E6A">
        <w:rPr>
          <w:rFonts w:ascii="Times New Roman" w:hAnsi="Times New Roman" w:cs="Times New Roman"/>
          <w:color w:val="000000" w:themeColor="text1"/>
          <w:sz w:val="26"/>
          <w:szCs w:val="26"/>
          <w:lang w:val="vi-VN"/>
        </w:rPr>
        <w:t>Ngân hàng Thương mại Cổ phần Quân đội – Chi nhánh Đà Nẵng được thành lập ngày 28/07/2004, đặt trụ sở tại số 174 Lê Đình Lý, quận Hải Châu, thành phố Đà Nẵng. Trong những năm đầu đi vào hoạt động, chi nhánh chủ yếu tập trung xây dựng nền tảng khách hàng, hoàn thiện bộ máy tổ chức và từng bước ổn định hoạt động kinh doanh trong bối cảnh thị trường còn nhiều khó khăn. Cùng với quá trình phát triển của hệ thống Ngân hàng TMCP Quân đội, chi nhánh đã từng bước mở rộng quy mô hoạt động, đặc biệt trong các lĩnh vực huy động vốn và cho vay.</w:t>
      </w:r>
    </w:p>
    <w:p w14:paraId="558FBBD7" w14:textId="01348D48" w:rsidR="00A70234" w:rsidRPr="00A90E6A" w:rsidRDefault="00A70234" w:rsidP="00A70234">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Qua 21 năm hoạt động, chi nhánh đã có những bước phát triển nhất định cả về quy mô lẫn chất lượng. Các sản phẩm, dịch vụ ngân hàng ngày càng được đa dạng hóa nhằm đáp ứng nhu cầu của khách hàng cá nhân và doanh nghiệp trên địa bàn. Song song đó, quy trình nghiệp vụ và chất lượng phục vụ cũng được cải thiện theo thời gian, góp phần nâng cao hiệu quả hoạt động kinh doanh. Nhờ những nỗ lực đó, hoạt động của chi nhánh dần đi vào ổn định và có sự tăng trưởng qua các năm.</w:t>
      </w:r>
    </w:p>
    <w:p w14:paraId="55EDBF8B" w14:textId="06260D03" w:rsidR="00EE257B" w:rsidRPr="00A90E6A" w:rsidRDefault="00A70234" w:rsidP="00A70234">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Đến nay, Ngân hàng TMCP Quân đội – Chi nhánh Đà Nẵng đã trở thành một trong những chi nhánh có quy mô và hiệu quả hoạt động tương đối tốt trong khu vực, đóng góp vào kết quả chung của toàn hệ thống. Những kết quả đạt được là cơ sở để chi nhánh tiếp tục duy trì và phát triển trong thời gian tới.</w:t>
      </w:r>
    </w:p>
    <w:p w14:paraId="44467848" w14:textId="77777777" w:rsidR="00EE257B" w:rsidRPr="00A90E6A" w:rsidRDefault="00EE257B" w:rsidP="00EE257B">
      <w:pPr>
        <w:pStyle w:val="ListParagraph"/>
        <w:spacing w:before="40" w:after="40"/>
        <w:ind w:hanging="720"/>
        <w:contextualSpacing w:val="0"/>
        <w:jc w:val="center"/>
        <w:rPr>
          <w:rFonts w:ascii="Times New Roman" w:hAnsi="Times New Roman" w:cs="Times New Roman"/>
          <w:sz w:val="26"/>
          <w:szCs w:val="26"/>
          <w:lang w:val="nl-NL"/>
        </w:rPr>
      </w:pPr>
      <w:r w:rsidRPr="00A90E6A">
        <w:rPr>
          <w:rFonts w:ascii="Times New Roman" w:hAnsi="Times New Roman" w:cs="Times New Roman"/>
          <w:noProof/>
          <w:sz w:val="26"/>
          <w:szCs w:val="26"/>
          <w:lang w:val="nl-NL"/>
        </w:rPr>
        <w:lastRenderedPageBreak/>
        <w:drawing>
          <wp:inline distT="0" distB="0" distL="0" distR="0" wp14:anchorId="21517B81" wp14:editId="5752C6CB">
            <wp:extent cx="3818516" cy="1576552"/>
            <wp:effectExtent l="0" t="0" r="0" b="5080"/>
            <wp:docPr id="810703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8516" cy="1576552"/>
                    </a:xfrm>
                    <a:prstGeom prst="rect">
                      <a:avLst/>
                    </a:prstGeom>
                    <a:noFill/>
                  </pic:spPr>
                </pic:pic>
              </a:graphicData>
            </a:graphic>
          </wp:inline>
        </w:drawing>
      </w:r>
    </w:p>
    <w:p w14:paraId="52B12E7A" w14:textId="43003D3E" w:rsidR="00EE257B" w:rsidRPr="00A90E6A" w:rsidRDefault="00C9406C" w:rsidP="00C9406C">
      <w:pPr>
        <w:pStyle w:val="Caption"/>
        <w:jc w:val="center"/>
        <w:rPr>
          <w:rFonts w:ascii="Times New Roman" w:hAnsi="Times New Roman" w:cs="Times New Roman"/>
          <w:i w:val="0"/>
          <w:iCs w:val="0"/>
          <w:color w:val="auto"/>
          <w:sz w:val="26"/>
          <w:szCs w:val="26"/>
          <w:lang w:val="vi-VN"/>
        </w:rPr>
      </w:pPr>
      <w:bookmarkStart w:id="34" w:name="_Toc229217664"/>
      <w:bookmarkStart w:id="35" w:name="_Toc230367816"/>
      <w:r w:rsidRPr="00A90E6A">
        <w:rPr>
          <w:rFonts w:ascii="Times New Roman" w:hAnsi="Times New Roman" w:cs="Times New Roman"/>
          <w:b/>
          <w:bCs/>
          <w:i w:val="0"/>
          <w:iCs w:val="0"/>
          <w:color w:val="000000" w:themeColor="text1"/>
          <w:sz w:val="26"/>
          <w:szCs w:val="26"/>
          <w:lang w:val="nl-NL"/>
        </w:rPr>
        <w:t>Hình 2.</w:t>
      </w:r>
      <w:r w:rsidRPr="00A90E6A">
        <w:rPr>
          <w:rFonts w:ascii="Times New Roman" w:hAnsi="Times New Roman" w:cs="Times New Roman"/>
          <w:b/>
          <w:bCs/>
          <w:i w:val="0"/>
          <w:iCs w:val="0"/>
          <w:color w:val="000000" w:themeColor="text1"/>
          <w:sz w:val="26"/>
          <w:szCs w:val="26"/>
        </w:rPr>
        <w:fldChar w:fldCharType="begin"/>
      </w:r>
      <w:r w:rsidRPr="00A90E6A">
        <w:rPr>
          <w:rFonts w:ascii="Times New Roman" w:hAnsi="Times New Roman" w:cs="Times New Roman"/>
          <w:b/>
          <w:bCs/>
          <w:i w:val="0"/>
          <w:iCs w:val="0"/>
          <w:color w:val="000000" w:themeColor="text1"/>
          <w:sz w:val="26"/>
          <w:szCs w:val="26"/>
          <w:lang w:val="nl-NL"/>
        </w:rPr>
        <w:instrText xml:space="preserve"> SEQ Hình_2. \* ARABIC </w:instrText>
      </w:r>
      <w:r w:rsidRPr="00A90E6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nl-NL"/>
        </w:rPr>
        <w:t>1</w:t>
      </w:r>
      <w:r w:rsidRPr="00A90E6A">
        <w:rPr>
          <w:rFonts w:ascii="Times New Roman" w:hAnsi="Times New Roman" w:cs="Times New Roman"/>
          <w:b/>
          <w:bCs/>
          <w:i w:val="0"/>
          <w:iCs w:val="0"/>
          <w:color w:val="000000" w:themeColor="text1"/>
          <w:sz w:val="26"/>
          <w:szCs w:val="26"/>
        </w:rPr>
        <w:fldChar w:fldCharType="end"/>
      </w:r>
      <w:r w:rsidRPr="00A90E6A">
        <w:rPr>
          <w:rFonts w:ascii="Times New Roman" w:hAnsi="Times New Roman" w:cs="Times New Roman"/>
          <w:i w:val="0"/>
          <w:iCs w:val="0"/>
          <w:color w:val="000000" w:themeColor="text1"/>
          <w:sz w:val="26"/>
          <w:szCs w:val="26"/>
          <w:lang w:val="vi-VN"/>
        </w:rPr>
        <w:t xml:space="preserve"> </w:t>
      </w:r>
      <w:r w:rsidR="00EE257B" w:rsidRPr="00A90E6A">
        <w:rPr>
          <w:rFonts w:ascii="Times New Roman" w:hAnsi="Times New Roman" w:cs="Times New Roman"/>
          <w:b/>
          <w:bCs/>
          <w:i w:val="0"/>
          <w:iCs w:val="0"/>
          <w:color w:val="auto"/>
          <w:sz w:val="26"/>
          <w:szCs w:val="26"/>
          <w:lang w:val="nl-NL"/>
        </w:rPr>
        <w:t xml:space="preserve">Logo Ngân hàng TMCP Quân </w:t>
      </w:r>
      <w:bookmarkEnd w:id="34"/>
      <w:r w:rsidRPr="00A90E6A">
        <w:rPr>
          <w:rFonts w:ascii="Times New Roman" w:hAnsi="Times New Roman" w:cs="Times New Roman"/>
          <w:b/>
          <w:bCs/>
          <w:i w:val="0"/>
          <w:iCs w:val="0"/>
          <w:color w:val="auto"/>
          <w:sz w:val="26"/>
          <w:szCs w:val="26"/>
          <w:lang w:val="nl-NL"/>
        </w:rPr>
        <w:t>đội</w:t>
      </w:r>
      <w:r w:rsidRPr="00A90E6A">
        <w:rPr>
          <w:rFonts w:ascii="Times New Roman" w:hAnsi="Times New Roman" w:cs="Times New Roman"/>
          <w:b/>
          <w:bCs/>
          <w:i w:val="0"/>
          <w:iCs w:val="0"/>
          <w:color w:val="auto"/>
          <w:sz w:val="26"/>
          <w:szCs w:val="26"/>
          <w:lang w:val="vi-VN"/>
        </w:rPr>
        <w:t>.</w:t>
      </w:r>
      <w:bookmarkEnd w:id="35"/>
    </w:p>
    <w:p w14:paraId="2A4B5DF9" w14:textId="61D8DE6F" w:rsidR="00E20C57" w:rsidRPr="00A90E6A" w:rsidRDefault="00CA42EC" w:rsidP="009E08FC">
      <w:pPr>
        <w:pStyle w:val="Heading3"/>
        <w:tabs>
          <w:tab w:val="clear" w:pos="6210"/>
          <w:tab w:val="left" w:pos="1276"/>
        </w:tabs>
        <w:ind w:left="567" w:firstLine="0"/>
        <w:rPr>
          <w:b w:val="0"/>
          <w:bCs w:val="0"/>
          <w:i w:val="0"/>
          <w:iCs w:val="0"/>
          <w:color w:val="000000" w:themeColor="text1"/>
          <w:lang w:val="vi-VN"/>
        </w:rPr>
      </w:pPr>
      <w:bookmarkStart w:id="36" w:name="_Toc230962388"/>
      <w:r w:rsidRPr="00A90E6A">
        <w:rPr>
          <w:i w:val="0"/>
          <w:iCs w:val="0"/>
          <w:color w:val="000000" w:themeColor="text1"/>
          <w:lang w:val="vi-VN"/>
        </w:rPr>
        <w:t xml:space="preserve">2.1.2 </w:t>
      </w:r>
      <w:r w:rsidR="009E08FC">
        <w:rPr>
          <w:i w:val="0"/>
          <w:iCs w:val="0"/>
          <w:color w:val="000000" w:themeColor="text1"/>
        </w:rPr>
        <w:tab/>
      </w:r>
      <w:r w:rsidR="00E20C57" w:rsidRPr="00A90E6A">
        <w:rPr>
          <w:i w:val="0"/>
          <w:iCs w:val="0"/>
          <w:color w:val="000000" w:themeColor="text1"/>
          <w:lang w:val="vi-VN"/>
        </w:rPr>
        <w:t xml:space="preserve">Hoạt động kinh doanh của ngân hàng TMCP Quân đội – Chi nhánh Đà </w:t>
      </w:r>
      <w:r w:rsidR="00DC0393" w:rsidRPr="00A90E6A">
        <w:rPr>
          <w:i w:val="0"/>
          <w:iCs w:val="0"/>
          <w:color w:val="000000" w:themeColor="text1"/>
          <w:lang w:val="vi-VN"/>
        </w:rPr>
        <w:t>Nẵng</w:t>
      </w:r>
      <w:r w:rsidR="00DC0393" w:rsidRPr="00A90E6A">
        <w:rPr>
          <w:b w:val="0"/>
          <w:bCs w:val="0"/>
          <w:i w:val="0"/>
          <w:iCs w:val="0"/>
          <w:color w:val="000000" w:themeColor="text1"/>
          <w:lang w:val="vi-VN"/>
        </w:rPr>
        <w:t>.</w:t>
      </w:r>
      <w:bookmarkEnd w:id="36"/>
    </w:p>
    <w:p w14:paraId="12D2E169" w14:textId="3E8FF28D" w:rsidR="000B7204" w:rsidRPr="00A90E6A" w:rsidRDefault="000B7204"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Hoạt động kinh doanh của Ngân hàng TMCP Quân đội – Chi nhánh Đà Nẵng được triển khai trên các lĩnh vực chủ yếu gồm huy động vốn, cấp tín dụng và cung ứng dịch vụ ngân hàng, phù hợp với định hướng phát triển chung của toàn hệ thống MB. Theo thông tin công bố từ MB, ngân hàng duy trì tốc độ tăng trưởng cao, hoạt động hiệu quả và an toàn, nằm trong nhóm dẫn đầu ngành ngân hàng tại Việt Nam .</w:t>
      </w:r>
    </w:p>
    <w:p w14:paraId="04073CE9" w14:textId="4D998460" w:rsidR="000B7204" w:rsidRPr="00A90E6A" w:rsidRDefault="000B7204"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Cụ thể, về hoạt động huy động vốn,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tập trung phát triển nguồn vốn từ khách hàng cá nhân và doanh nghiệp thông qua các sản phẩm tiền gửi đa dạng, đồng thời đẩy mạnh kênh số để gia tăng tỷ lệ tiền gửi không kỳ hạn (CASA), góp phần tối ưu chi phí vốn và nâng cao hiệu quả hoạt động .</w:t>
      </w:r>
    </w:p>
    <w:p w14:paraId="531C49CD" w14:textId="6A8A1020" w:rsidR="000B7204" w:rsidRPr="00A90E6A" w:rsidRDefault="000B7204"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Đối với hoạt động tín dụng, ngân hàng chú trọng mở rộng cho vay đối với khách hàng cá nhân và doanh nghiệp, đặc biệt là lĩnh vực sản xuất kinh doanh, đồng thời kiểm soát chặt chẽ chất lượng tín dụng. Theo báo cáo của MB, tỷ lệ nợ xấu luôn được duy trì ở mức thấp, phản ánh hiệu quả trong công tác quản trị rủi ro .</w:t>
      </w:r>
    </w:p>
    <w:p w14:paraId="0E1D2DEF" w14:textId="5A50D862" w:rsidR="000B7204" w:rsidRPr="00A90E6A" w:rsidRDefault="00725EF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Dịch </w:t>
      </w:r>
      <w:r w:rsidR="000B7204" w:rsidRPr="00A90E6A">
        <w:rPr>
          <w:rFonts w:ascii="Times New Roman" w:hAnsi="Times New Roman" w:cs="Times New Roman"/>
          <w:color w:val="000000" w:themeColor="text1"/>
          <w:sz w:val="26"/>
          <w:szCs w:val="26"/>
          <w:lang w:val="vi-VN"/>
        </w:rPr>
        <w:t>vụ ngân hàng và chuyển đổi số là điểm nổi bật trong chiến lược phát triển của MB. Ngân hàng đẩy mạnh ứng dụng công nghệ, gia tăng số lượng giao dịch trên kênh số với hàng tỷ giao dịch mỗi năm, góp phần mở rộng tệp khách hàng và nâng cao trải nghiệm sử dụng dịch vụ .</w:t>
      </w:r>
    </w:p>
    <w:p w14:paraId="6B66C948" w14:textId="0598CF40" w:rsidR="00BD243B" w:rsidRPr="00A90E6A" w:rsidRDefault="000B7204" w:rsidP="00230093">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ra,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định hướng phát triển theo mô hình tập đoàn tài chính số, tập trung đầu tư vào công nghệ, dữ liệu lớn và trí tuệ nhân tạo nhằm nâng cao năng lực cạnh tranh và hiệu quả vận hành trong dài hạn .</w:t>
      </w:r>
    </w:p>
    <w:p w14:paraId="2A6DFBC4" w14:textId="57DA36D8" w:rsidR="00E20C57" w:rsidRPr="00A90E6A" w:rsidRDefault="00CA42EC" w:rsidP="009E08FC">
      <w:pPr>
        <w:pStyle w:val="Heading3"/>
        <w:tabs>
          <w:tab w:val="clear" w:pos="6210"/>
          <w:tab w:val="left" w:pos="1276"/>
        </w:tabs>
        <w:ind w:left="567" w:firstLine="0"/>
        <w:rPr>
          <w:i w:val="0"/>
          <w:iCs w:val="0"/>
          <w:color w:val="000000" w:themeColor="text1"/>
          <w:lang w:val="vi-VN"/>
        </w:rPr>
      </w:pPr>
      <w:bookmarkStart w:id="37" w:name="_Toc230962389"/>
      <w:r w:rsidRPr="00A90E6A">
        <w:rPr>
          <w:i w:val="0"/>
          <w:iCs w:val="0"/>
          <w:color w:val="000000" w:themeColor="text1"/>
          <w:lang w:val="vi-VN"/>
        </w:rPr>
        <w:t xml:space="preserve">2.1.3 </w:t>
      </w:r>
      <w:r w:rsidR="009E08FC">
        <w:rPr>
          <w:i w:val="0"/>
          <w:iCs w:val="0"/>
          <w:color w:val="000000" w:themeColor="text1"/>
        </w:rPr>
        <w:tab/>
      </w:r>
      <w:r w:rsidR="00E20C57" w:rsidRPr="00A90E6A">
        <w:rPr>
          <w:i w:val="0"/>
          <w:iCs w:val="0"/>
          <w:color w:val="000000" w:themeColor="text1"/>
          <w:lang w:val="vi-VN"/>
        </w:rPr>
        <w:t xml:space="preserve">Cơ cấu tổ chức và nhiệm vụ các phòng ban của ngân hàng TMCP Quân đội – Chi nhánh Đà </w:t>
      </w:r>
      <w:r w:rsidR="00CF4964" w:rsidRPr="00A90E6A">
        <w:rPr>
          <w:i w:val="0"/>
          <w:iCs w:val="0"/>
          <w:color w:val="000000" w:themeColor="text1"/>
          <w:lang w:val="vi-VN"/>
        </w:rPr>
        <w:t>Nẵng</w:t>
      </w:r>
      <w:r w:rsidR="00CF4964" w:rsidRPr="00A90E6A">
        <w:rPr>
          <w:b w:val="0"/>
          <w:bCs w:val="0"/>
          <w:i w:val="0"/>
          <w:iCs w:val="0"/>
          <w:color w:val="000000" w:themeColor="text1"/>
          <w:lang w:val="vi-VN"/>
        </w:rPr>
        <w:t>.</w:t>
      </w:r>
      <w:bookmarkEnd w:id="37"/>
      <w:r w:rsidR="00E20C57" w:rsidRPr="00A90E6A">
        <w:rPr>
          <w:i w:val="0"/>
          <w:iCs w:val="0"/>
          <w:color w:val="000000" w:themeColor="text1"/>
          <w:lang w:val="vi-VN"/>
        </w:rPr>
        <w:t xml:space="preserve"> </w:t>
      </w:r>
    </w:p>
    <w:p w14:paraId="7FAA5976" w14:textId="45370D23" w:rsidR="00230093" w:rsidRPr="00A90E6A" w:rsidRDefault="00230093" w:rsidP="00230093">
      <w:pPr>
        <w:ind w:firstLine="567"/>
        <w:rPr>
          <w:rFonts w:ascii="Times New Roman" w:hAnsi="Times New Roman" w:cs="Times New Roman"/>
          <w:sz w:val="26"/>
          <w:szCs w:val="26"/>
          <w:lang w:val="vi-VN"/>
        </w:rPr>
      </w:pPr>
      <w:r w:rsidRPr="00A90E6A">
        <w:rPr>
          <w:rFonts w:ascii="Times New Roman" w:hAnsi="Times New Roman" w:cs="Times New Roman"/>
          <w:color w:val="000000" w:themeColor="text1"/>
          <w:sz w:val="26"/>
          <w:szCs w:val="26"/>
          <w:lang w:val="vi-VN"/>
        </w:rPr>
        <w:t>Để đảm bảo hoạt động hiệu quả và phù hợp với định hướng chung, Ngân hàng</w:t>
      </w:r>
    </w:p>
    <w:p w14:paraId="50E39D1D" w14:textId="6BFFC88F" w:rsidR="00EE257B" w:rsidRPr="00A90E6A" w:rsidRDefault="00FD4C60" w:rsidP="00230093">
      <w:pPr>
        <w:tabs>
          <w:tab w:val="left" w:pos="6210"/>
        </w:tabs>
        <w:spacing w:after="0" w:line="360" w:lineRule="auto"/>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TMCP Quân đội – Chi nhánh Đà Nẵng tổ chức theo mô hình tập trung, với sự phân công rõ ràng giữa các phòng ban. Nhờ đó, công tác quản lý được nâng cao, hạn chế chồng chéo và giúp các hoạt động được triển khai đồng bộ, hiệu quả.</w:t>
      </w:r>
      <w:r w:rsidR="00B34162" w:rsidRPr="00A90E6A">
        <w:rPr>
          <w:rFonts w:ascii="Times New Roman" w:hAnsi="Times New Roman" w:cs="Times New Roman"/>
          <w:color w:val="000000" w:themeColor="text1"/>
          <w:sz w:val="26"/>
          <w:szCs w:val="26"/>
          <w:lang w:val="vi-VN"/>
        </w:rPr>
        <w:t xml:space="preserve"> Cơ cấu tổ chức của chi nhánh được thể hiện cụ thể qua sơ đồ dưới đây:</w:t>
      </w:r>
    </w:p>
    <w:p w14:paraId="234989B4" w14:textId="4DBDA402" w:rsidR="000B7204" w:rsidRPr="00A90E6A" w:rsidRDefault="000B7204" w:rsidP="00A139CF">
      <w:pPr>
        <w:spacing w:before="120" w:after="120"/>
        <w:ind w:firstLine="567"/>
        <w:rPr>
          <w:rFonts w:ascii="Times New Roman" w:hAnsi="Times New Roman" w:cs="Times New Roman"/>
          <w:color w:val="000000" w:themeColor="text1"/>
          <w:sz w:val="26"/>
          <w:szCs w:val="26"/>
          <w:lang w:val="vi-VN"/>
        </w:rPr>
      </w:pP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93056" behindDoc="0" locked="0" layoutInCell="1" allowOverlap="1" wp14:anchorId="08848083" wp14:editId="34F2A2B3">
                <wp:simplePos x="0" y="0"/>
                <wp:positionH relativeFrom="column">
                  <wp:posOffset>1993900</wp:posOffset>
                </wp:positionH>
                <wp:positionV relativeFrom="paragraph">
                  <wp:posOffset>116840</wp:posOffset>
                </wp:positionV>
                <wp:extent cx="1764665" cy="705485"/>
                <wp:effectExtent l="0" t="0" r="26035" b="18415"/>
                <wp:wrapNone/>
                <wp:docPr id="494734125" name="Rectangle 494734125"/>
                <wp:cNvGraphicFramePr/>
                <a:graphic xmlns:a="http://schemas.openxmlformats.org/drawingml/2006/main">
                  <a:graphicData uri="http://schemas.microsoft.com/office/word/2010/wordprocessingShape">
                    <wps:wsp>
                      <wps:cNvSpPr/>
                      <wps:spPr>
                        <a:xfrm>
                          <a:off x="0" y="0"/>
                          <a:ext cx="1764665" cy="705485"/>
                        </a:xfrm>
                        <a:prstGeom prst="rect">
                          <a:avLst/>
                        </a:prstGeom>
                        <a:ln>
                          <a:solidFill>
                            <a:schemeClr val="tx1"/>
                          </a:solidFill>
                        </a:ln>
                        <a:effectLst>
                          <a:innerShdw blurRad="114300">
                            <a:prstClr val="black"/>
                          </a:innerShdw>
                        </a:effectLst>
                      </wps:spPr>
                      <wps:style>
                        <a:lnRef idx="2">
                          <a:schemeClr val="accent6"/>
                        </a:lnRef>
                        <a:fillRef idx="1">
                          <a:schemeClr val="lt1"/>
                        </a:fillRef>
                        <a:effectRef idx="0">
                          <a:schemeClr val="accent6"/>
                        </a:effectRef>
                        <a:fontRef idx="minor">
                          <a:schemeClr val="dk1"/>
                        </a:fontRef>
                      </wps:style>
                      <wps:txbx>
                        <w:txbxContent>
                          <w:p w14:paraId="52FD88C3" w14:textId="77777777" w:rsidR="000B7204" w:rsidRPr="00B963AF" w:rsidRDefault="000B7204" w:rsidP="000B7204">
                            <w:pPr>
                              <w:spacing w:before="240"/>
                              <w:jc w:val="center"/>
                              <w:rPr>
                                <w:rFonts w:ascii="Times New Roman" w:hAnsi="Times New Roman" w:cs="Times New Roman"/>
                                <w:b/>
                                <w:bCs/>
                                <w:sz w:val="26"/>
                                <w:szCs w:val="26"/>
                              </w:rPr>
                            </w:pPr>
                            <w:r w:rsidRPr="00B963AF">
                              <w:rPr>
                                <w:rFonts w:ascii="Times New Roman" w:hAnsi="Times New Roman" w:cs="Times New Roman"/>
                                <w:b/>
                                <w:bCs/>
                                <w:sz w:val="26"/>
                                <w:szCs w:val="26"/>
                              </w:rPr>
                              <w:t>BAN GIÁM ĐỐC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48083" id="Rectangle 494734125" o:spid="_x0000_s1026" style="position:absolute;left:0;text-align:left;margin-left:157pt;margin-top:9.2pt;width:138.95pt;height:55.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" fillcolor="white [3201]" strokecolor="black [3213]" strokeweight="2pt">
                <v:textbox>
                  <w:txbxContent>
                    <w:p w14:paraId="52FD88C3" w14:textId="77777777" w:rsidR="000B7204" w:rsidRPr="00B963AF" w:rsidRDefault="000B7204" w:rsidP="000B7204">
                      <w:pPr>
                        <w:spacing w:before="240"/>
                        <w:jc w:val="center"/>
                        <w:rPr>
                          <w:rFonts w:ascii="Times New Roman" w:hAnsi="Times New Roman" w:cs="Times New Roman"/>
                          <w:b/>
                          <w:bCs/>
                          <w:sz w:val="26"/>
                          <w:szCs w:val="26"/>
                        </w:rPr>
                      </w:pPr>
                      <w:r w:rsidRPr="00B963AF">
                        <w:rPr>
                          <w:rFonts w:ascii="Times New Roman" w:hAnsi="Times New Roman" w:cs="Times New Roman"/>
                          <w:b/>
                          <w:bCs/>
                          <w:sz w:val="26"/>
                          <w:szCs w:val="26"/>
                        </w:rPr>
                        <w:t>BAN GIÁM ĐỐC</w:t>
                      </w:r>
                    </w:p>
                  </w:txbxContent>
                </v:textbox>
              </v:rect>
            </w:pict>
          </mc:Fallback>
        </mc:AlternateContent>
      </w:r>
    </w:p>
    <w:p w14:paraId="57348AAB" w14:textId="5EC4A591" w:rsidR="000B7204" w:rsidRPr="00A90E6A" w:rsidRDefault="000B7204" w:rsidP="007C65F4">
      <w:pPr>
        <w:spacing w:before="120" w:after="120"/>
        <w:rPr>
          <w:rFonts w:ascii="Times New Roman" w:hAnsi="Times New Roman" w:cs="Times New Roman"/>
          <w:color w:val="000000" w:themeColor="text1"/>
          <w:sz w:val="26"/>
          <w:szCs w:val="26"/>
          <w:lang w:val="vi-VN"/>
        </w:rPr>
      </w:pPr>
    </w:p>
    <w:p w14:paraId="15B89884" w14:textId="77777777" w:rsidR="000B7204" w:rsidRPr="00A90E6A" w:rsidRDefault="000B720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76672" behindDoc="0" locked="0" layoutInCell="1" allowOverlap="1" wp14:anchorId="05C80A1F" wp14:editId="73D4F671">
                <wp:simplePos x="0" y="0"/>
                <wp:positionH relativeFrom="column">
                  <wp:posOffset>2860040</wp:posOffset>
                </wp:positionH>
                <wp:positionV relativeFrom="paragraph">
                  <wp:posOffset>175260</wp:posOffset>
                </wp:positionV>
                <wp:extent cx="0" cy="344805"/>
                <wp:effectExtent l="76200" t="0" r="76200" b="55245"/>
                <wp:wrapNone/>
                <wp:docPr id="228663509" name="Straight Arrow Connector 29"/>
                <wp:cNvGraphicFramePr/>
                <a:graphic xmlns:a="http://schemas.openxmlformats.org/drawingml/2006/main">
                  <a:graphicData uri="http://schemas.microsoft.com/office/word/2010/wordprocessingShape">
                    <wps:wsp>
                      <wps:cNvCnPr/>
                      <wps:spPr>
                        <a:xfrm>
                          <a:off x="0" y="0"/>
                          <a:ext cx="0" cy="34480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F599CE" id="_x0000_t32" coordsize="21600,21600" o:spt="32" o:oned="t" path="m,l21600,21600e" filled="f">
                <v:path arrowok="t" fillok="f" o:connecttype="none"/>
                <o:lock v:ext="edit" shapetype="t"/>
              </v:shapetype>
              <v:shape id="Straight Arrow Connector 29" o:spid="_x0000_s1026" type="#_x0000_t32" style="position:absolute;margin-left:225.2pt;margin-top:13.8pt;width:0;height:2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" strokecolor="black [3040]" strokeweight="1pt">
                <v:stroke endarrow="block"/>
              </v:shape>
            </w:pict>
          </mc:Fallback>
        </mc:AlternateContent>
      </w:r>
    </w:p>
    <w:p w14:paraId="65BFC3FC" w14:textId="08F97B9B" w:rsidR="000B7204" w:rsidRPr="00A90E6A" w:rsidRDefault="007C65F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65408" behindDoc="0" locked="0" layoutInCell="1" allowOverlap="1" wp14:anchorId="2CD01068" wp14:editId="3616253B">
                <wp:simplePos x="0" y="0"/>
                <wp:positionH relativeFrom="column">
                  <wp:posOffset>2516505</wp:posOffset>
                </wp:positionH>
                <wp:positionV relativeFrom="paragraph">
                  <wp:posOffset>225425</wp:posOffset>
                </wp:positionV>
                <wp:extent cx="723265" cy="1398270"/>
                <wp:effectExtent l="0" t="0" r="19685" b="11430"/>
                <wp:wrapNone/>
                <wp:docPr id="1281996446" name="Rectangle 1281996446"/>
                <wp:cNvGraphicFramePr/>
                <a:graphic xmlns:a="http://schemas.openxmlformats.org/drawingml/2006/main">
                  <a:graphicData uri="http://schemas.microsoft.com/office/word/2010/wordprocessingShape">
                    <wps:wsp>
                      <wps:cNvSpPr/>
                      <wps:spPr>
                        <a:xfrm>
                          <a:off x="0" y="0"/>
                          <a:ext cx="723265" cy="1398270"/>
                        </a:xfrm>
                        <a:prstGeom prst="rect">
                          <a:avLst/>
                        </a:prstGeom>
                        <a:ln>
                          <a:solidFill>
                            <a:schemeClr val="tx1"/>
                          </a:solidFill>
                        </a:ln>
                        <a:effectLst>
                          <a:innerShdw blurRad="63500" dist="50800" dir="135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12CB740A" w14:textId="77777777" w:rsidR="000B7204" w:rsidRPr="00B963AF" w:rsidRDefault="000B7204" w:rsidP="000B7204">
                            <w:pPr>
                              <w:jc w:val="center"/>
                              <w:rPr>
                                <w:rFonts w:ascii="Times New Roman" w:hAnsi="Times New Roman" w:cs="Times New Roman"/>
                                <w:spacing w:val="-8"/>
                                <w:sz w:val="26"/>
                                <w:szCs w:val="26"/>
                              </w:rPr>
                            </w:pPr>
                            <w:r w:rsidRPr="00B963AF">
                              <w:rPr>
                                <w:rFonts w:ascii="Times New Roman" w:hAnsi="Times New Roman" w:cs="Times New Roman"/>
                                <w:spacing w:val="-8"/>
                                <w:sz w:val="26"/>
                                <w:szCs w:val="26"/>
                              </w:rPr>
                              <w:t>BỘ</w:t>
                            </w:r>
                            <w:r w:rsidRPr="00B963AF">
                              <w:rPr>
                                <w:rFonts w:ascii="Times New Roman" w:hAnsi="Times New Roman" w:cs="Times New Roman"/>
                                <w:spacing w:val="-8"/>
                                <w:sz w:val="26"/>
                                <w:szCs w:val="26"/>
                                <w:lang w:val="vi-VN"/>
                              </w:rPr>
                              <w:t xml:space="preserve"> </w:t>
                            </w:r>
                            <w:r w:rsidRPr="00B963AF">
                              <w:rPr>
                                <w:rFonts w:ascii="Times New Roman" w:hAnsi="Times New Roman" w:cs="Times New Roman"/>
                                <w:spacing w:val="-8"/>
                                <w:sz w:val="26"/>
                                <w:szCs w:val="26"/>
                              </w:rPr>
                              <w:t>PHẬN HỖ TRỢ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01068" id="Rectangle 1281996446" o:spid="_x0000_s1027" style="position:absolute;left:0;text-align:left;margin-left:198.15pt;margin-top:17.75pt;width:56.95pt;height:11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" fillcolor="white [3201]" strokecolor="black [3213]" strokeweight="2pt">
                <v:textbox>
                  <w:txbxContent>
                    <w:p w14:paraId="12CB740A" w14:textId="77777777" w:rsidR="000B7204" w:rsidRPr="00B963AF" w:rsidRDefault="000B7204" w:rsidP="000B7204">
                      <w:pPr>
                        <w:jc w:val="center"/>
                        <w:rPr>
                          <w:rFonts w:ascii="Times New Roman" w:hAnsi="Times New Roman" w:cs="Times New Roman"/>
                          <w:spacing w:val="-8"/>
                          <w:sz w:val="26"/>
                          <w:szCs w:val="26"/>
                        </w:rPr>
                      </w:pPr>
                      <w:r w:rsidRPr="00B963AF">
                        <w:rPr>
                          <w:rFonts w:ascii="Times New Roman" w:hAnsi="Times New Roman" w:cs="Times New Roman"/>
                          <w:spacing w:val="-8"/>
                          <w:sz w:val="26"/>
                          <w:szCs w:val="26"/>
                        </w:rPr>
                        <w:t>BỘ</w:t>
                      </w:r>
                      <w:r w:rsidRPr="00B963AF">
                        <w:rPr>
                          <w:rFonts w:ascii="Times New Roman" w:hAnsi="Times New Roman" w:cs="Times New Roman"/>
                          <w:spacing w:val="-8"/>
                          <w:sz w:val="26"/>
                          <w:szCs w:val="26"/>
                          <w:lang w:val="vi-VN"/>
                        </w:rPr>
                        <w:t xml:space="preserve"> </w:t>
                      </w:r>
                      <w:r w:rsidRPr="00B963AF">
                        <w:rPr>
                          <w:rFonts w:ascii="Times New Roman" w:hAnsi="Times New Roman" w:cs="Times New Roman"/>
                          <w:spacing w:val="-8"/>
                          <w:sz w:val="26"/>
                          <w:szCs w:val="26"/>
                        </w:rPr>
                        <w:t>PHẬN HỖ TRỢ</w:t>
                      </w:r>
                    </w:p>
                  </w:txbxContent>
                </v:textbox>
              </v:rect>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73600" behindDoc="0" locked="0" layoutInCell="1" allowOverlap="1" wp14:anchorId="51DB9C5B" wp14:editId="7813F2FB">
                <wp:simplePos x="0" y="0"/>
                <wp:positionH relativeFrom="column">
                  <wp:posOffset>786131</wp:posOffset>
                </wp:positionH>
                <wp:positionV relativeFrom="paragraph">
                  <wp:posOffset>38100</wp:posOffset>
                </wp:positionV>
                <wp:extent cx="4324350" cy="0"/>
                <wp:effectExtent l="0" t="0" r="0" b="0"/>
                <wp:wrapNone/>
                <wp:docPr id="1920874357" name="Straight Connector 1920874357"/>
                <wp:cNvGraphicFramePr/>
                <a:graphic xmlns:a="http://schemas.openxmlformats.org/drawingml/2006/main">
                  <a:graphicData uri="http://schemas.microsoft.com/office/word/2010/wordprocessingShape">
                    <wps:wsp>
                      <wps:cNvCnPr/>
                      <wps:spPr>
                        <a:xfrm>
                          <a:off x="0" y="0"/>
                          <a:ext cx="4324350"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285BF5" id="Straight Connector 192087435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9pt,3pt" to="402.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" strokecolor="black [3040]" strokeweight="1.25pt"/>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0768" behindDoc="0" locked="0" layoutInCell="1" allowOverlap="1" wp14:anchorId="78DA7ECE" wp14:editId="52B8321C">
                <wp:simplePos x="0" y="0"/>
                <wp:positionH relativeFrom="column">
                  <wp:posOffset>5110480</wp:posOffset>
                </wp:positionH>
                <wp:positionV relativeFrom="paragraph">
                  <wp:posOffset>26035</wp:posOffset>
                </wp:positionV>
                <wp:extent cx="0" cy="194554"/>
                <wp:effectExtent l="76200" t="0" r="57150" b="53340"/>
                <wp:wrapNone/>
                <wp:docPr id="236884580" name="Straight Arrow Connector 30"/>
                <wp:cNvGraphicFramePr/>
                <a:graphic xmlns:a="http://schemas.openxmlformats.org/drawingml/2006/main">
                  <a:graphicData uri="http://schemas.microsoft.com/office/word/2010/wordprocessingShape">
                    <wps:wsp>
                      <wps:cNvCnPr/>
                      <wps:spPr>
                        <a:xfrm>
                          <a:off x="0" y="0"/>
                          <a:ext cx="0" cy="194554"/>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FDA0BA" id="Straight Arrow Connector 30" o:spid="_x0000_s1026" type="#_x0000_t32" style="position:absolute;margin-left:402.4pt;margin-top:2.05pt;width:0;height:15.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" strokecolor="black [3040]" strokeweight="1pt">
                <v:stroke endarrow="block"/>
              </v:shape>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66432" behindDoc="0" locked="0" layoutInCell="1" allowOverlap="1" wp14:anchorId="317D4473" wp14:editId="390F51BC">
                <wp:simplePos x="0" y="0"/>
                <wp:positionH relativeFrom="column">
                  <wp:posOffset>4744720</wp:posOffset>
                </wp:positionH>
                <wp:positionV relativeFrom="paragraph">
                  <wp:posOffset>240665</wp:posOffset>
                </wp:positionV>
                <wp:extent cx="762000" cy="1398270"/>
                <wp:effectExtent l="0" t="0" r="19050" b="11430"/>
                <wp:wrapNone/>
                <wp:docPr id="596543836" name="Rectangle 596543836"/>
                <wp:cNvGraphicFramePr/>
                <a:graphic xmlns:a="http://schemas.openxmlformats.org/drawingml/2006/main">
                  <a:graphicData uri="http://schemas.microsoft.com/office/word/2010/wordprocessingShape">
                    <wps:wsp>
                      <wps:cNvSpPr/>
                      <wps:spPr>
                        <a:xfrm>
                          <a:off x="0" y="0"/>
                          <a:ext cx="762000" cy="1398270"/>
                        </a:xfrm>
                        <a:prstGeom prst="rect">
                          <a:avLst/>
                        </a:prstGeom>
                        <a:ln>
                          <a:solidFill>
                            <a:schemeClr val="tx1"/>
                          </a:solidFill>
                        </a:ln>
                        <a:effectLst>
                          <a:innerShdw blurRad="63500" dist="50800" dir="135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00CE204" w14:textId="77777777" w:rsidR="000B7204" w:rsidRPr="000B7204" w:rsidRDefault="000B7204" w:rsidP="000B7204">
                            <w:pPr>
                              <w:jc w:val="center"/>
                              <w:rPr>
                                <w:rFonts w:ascii="Times New Roman" w:hAnsi="Times New Roman" w:cs="Times New Roman"/>
                                <w:spacing w:val="-8"/>
                                <w:sz w:val="26"/>
                                <w:szCs w:val="26"/>
                                <w:lang w:val="vi-VN"/>
                              </w:rPr>
                            </w:pPr>
                            <w:r w:rsidRPr="00B963AF">
                              <w:rPr>
                                <w:rFonts w:ascii="Times New Roman" w:hAnsi="Times New Roman" w:cs="Times New Roman"/>
                                <w:spacing w:val="-8"/>
                                <w:sz w:val="26"/>
                                <w:szCs w:val="26"/>
                              </w:rPr>
                              <w:t>BỘ PHẬN HÀNH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D4473" id="Rectangle 596543836" o:spid="_x0000_s1028" style="position:absolute;left:0;text-align:left;margin-left:373.6pt;margin-top:18.95pt;width:60pt;height:1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" fillcolor="white [3201]" strokecolor="black [3213]" strokeweight="2pt">
                <v:textbox>
                  <w:txbxContent>
                    <w:p w14:paraId="500CE204" w14:textId="77777777" w:rsidR="000B7204" w:rsidRPr="000B7204" w:rsidRDefault="000B7204" w:rsidP="000B7204">
                      <w:pPr>
                        <w:jc w:val="center"/>
                        <w:rPr>
                          <w:rFonts w:ascii="Times New Roman" w:hAnsi="Times New Roman" w:cs="Times New Roman"/>
                          <w:spacing w:val="-8"/>
                          <w:sz w:val="26"/>
                          <w:szCs w:val="26"/>
                          <w:lang w:val="vi-VN"/>
                        </w:rPr>
                      </w:pPr>
                      <w:r w:rsidRPr="00B963AF">
                        <w:rPr>
                          <w:rFonts w:ascii="Times New Roman" w:hAnsi="Times New Roman" w:cs="Times New Roman"/>
                          <w:spacing w:val="-8"/>
                          <w:sz w:val="26"/>
                          <w:szCs w:val="26"/>
                        </w:rPr>
                        <w:t>BỘ PHẬN HÀNH CHÍNH</w:t>
                      </w:r>
                    </w:p>
                  </w:txbxContent>
                </v:textbox>
              </v:rect>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63360" behindDoc="0" locked="0" layoutInCell="1" allowOverlap="1" wp14:anchorId="096E7D0C" wp14:editId="3C45A29D">
                <wp:simplePos x="0" y="0"/>
                <wp:positionH relativeFrom="column">
                  <wp:posOffset>284480</wp:posOffset>
                </wp:positionH>
                <wp:positionV relativeFrom="paragraph">
                  <wp:posOffset>219710</wp:posOffset>
                </wp:positionV>
                <wp:extent cx="855345" cy="1398270"/>
                <wp:effectExtent l="0" t="0" r="20955" b="11430"/>
                <wp:wrapNone/>
                <wp:docPr id="886257631" name="Rectangle 886257631"/>
                <wp:cNvGraphicFramePr/>
                <a:graphic xmlns:a="http://schemas.openxmlformats.org/drawingml/2006/main">
                  <a:graphicData uri="http://schemas.microsoft.com/office/word/2010/wordprocessingShape">
                    <wps:wsp>
                      <wps:cNvSpPr/>
                      <wps:spPr>
                        <a:xfrm>
                          <a:off x="0" y="0"/>
                          <a:ext cx="855345" cy="1398270"/>
                        </a:xfrm>
                        <a:prstGeom prst="rect">
                          <a:avLst/>
                        </a:prstGeom>
                        <a:ln>
                          <a:solidFill>
                            <a:schemeClr val="tx1"/>
                          </a:solidFill>
                        </a:ln>
                        <a:effectLst>
                          <a:innerShdw blurRad="63500" dist="50800" dir="135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3B4C2854" w14:textId="77777777" w:rsidR="000B7204" w:rsidRPr="00B963AF" w:rsidRDefault="000B7204" w:rsidP="000B7204">
                            <w:pPr>
                              <w:spacing w:after="0" w:line="240" w:lineRule="auto"/>
                              <w:jc w:val="center"/>
                              <w:rPr>
                                <w:rFonts w:ascii="Times New Roman" w:hAnsi="Times New Roman" w:cs="Times New Roman"/>
                                <w:spacing w:val="-16"/>
                                <w:sz w:val="26"/>
                                <w:szCs w:val="26"/>
                              </w:rPr>
                            </w:pPr>
                            <w:r w:rsidRPr="00B963AF">
                              <w:rPr>
                                <w:rFonts w:ascii="Times New Roman" w:hAnsi="Times New Roman" w:cs="Times New Roman"/>
                                <w:spacing w:val="-16"/>
                                <w:sz w:val="26"/>
                                <w:szCs w:val="26"/>
                              </w:rPr>
                              <w:t>PHÒNG KẾ TOÁN VÀ DỊCH VỤ</w:t>
                            </w:r>
                            <w:r>
                              <w:rPr>
                                <w:rFonts w:ascii="Times New Roman" w:hAnsi="Times New Roman" w:cs="Times New Roman"/>
                                <w:spacing w:val="-16"/>
                                <w:sz w:val="26"/>
                                <w:szCs w:val="26"/>
                                <w:lang w:val="vi-VN"/>
                              </w:rPr>
                              <w:t xml:space="preserve"> </w:t>
                            </w:r>
                            <w:r w:rsidRPr="00B963AF">
                              <w:rPr>
                                <w:rFonts w:ascii="Times New Roman" w:hAnsi="Times New Roman" w:cs="Times New Roman"/>
                                <w:spacing w:val="-16"/>
                                <w:sz w:val="26"/>
                                <w:szCs w:val="26"/>
                              </w:rPr>
                              <w:t>HÀNG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E7D0C" id="Rectangle 886257631" o:spid="_x0000_s1029" style="position:absolute;left:0;text-align:left;margin-left:22.4pt;margin-top:17.3pt;width:67.35pt;height:11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" fillcolor="white [3201]" strokecolor="black [3213]" strokeweight="2pt">
                <v:textbox>
                  <w:txbxContent>
                    <w:p w14:paraId="3B4C2854" w14:textId="77777777" w:rsidR="000B7204" w:rsidRPr="00B963AF" w:rsidRDefault="000B7204" w:rsidP="000B7204">
                      <w:pPr>
                        <w:spacing w:after="0" w:line="240" w:lineRule="auto"/>
                        <w:jc w:val="center"/>
                        <w:rPr>
                          <w:rFonts w:ascii="Times New Roman" w:hAnsi="Times New Roman" w:cs="Times New Roman"/>
                          <w:spacing w:val="-16"/>
                          <w:sz w:val="26"/>
                          <w:szCs w:val="26"/>
                        </w:rPr>
                      </w:pPr>
                      <w:r w:rsidRPr="00B963AF">
                        <w:rPr>
                          <w:rFonts w:ascii="Times New Roman" w:hAnsi="Times New Roman" w:cs="Times New Roman"/>
                          <w:spacing w:val="-16"/>
                          <w:sz w:val="26"/>
                          <w:szCs w:val="26"/>
                        </w:rPr>
                        <w:t>PHÒNG KẾ TOÁN VÀ DỊCH VỤ</w:t>
                      </w:r>
                      <w:r>
                        <w:rPr>
                          <w:rFonts w:ascii="Times New Roman" w:hAnsi="Times New Roman" w:cs="Times New Roman"/>
                          <w:spacing w:val="-16"/>
                          <w:sz w:val="26"/>
                          <w:szCs w:val="26"/>
                          <w:lang w:val="vi-VN"/>
                        </w:rPr>
                        <w:t xml:space="preserve"> </w:t>
                      </w:r>
                      <w:r w:rsidRPr="00B963AF">
                        <w:rPr>
                          <w:rFonts w:ascii="Times New Roman" w:hAnsi="Times New Roman" w:cs="Times New Roman"/>
                          <w:spacing w:val="-16"/>
                          <w:sz w:val="26"/>
                          <w:szCs w:val="26"/>
                        </w:rPr>
                        <w:t>HÀNG</w:t>
                      </w:r>
                    </w:p>
                  </w:txbxContent>
                </v:textbox>
              </v:rect>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67456" behindDoc="0" locked="0" layoutInCell="1" allowOverlap="1" wp14:anchorId="7E1D8B4F" wp14:editId="621BB3D8">
                <wp:simplePos x="0" y="0"/>
                <wp:positionH relativeFrom="column">
                  <wp:posOffset>3669030</wp:posOffset>
                </wp:positionH>
                <wp:positionV relativeFrom="paragraph">
                  <wp:posOffset>225425</wp:posOffset>
                </wp:positionV>
                <wp:extent cx="775335" cy="1402080"/>
                <wp:effectExtent l="0" t="0" r="24765" b="26670"/>
                <wp:wrapNone/>
                <wp:docPr id="186033454" name="Rectangle 186033454"/>
                <wp:cNvGraphicFramePr/>
                <a:graphic xmlns:a="http://schemas.openxmlformats.org/drawingml/2006/main">
                  <a:graphicData uri="http://schemas.microsoft.com/office/word/2010/wordprocessingShape">
                    <wps:wsp>
                      <wps:cNvSpPr/>
                      <wps:spPr>
                        <a:xfrm>
                          <a:off x="0" y="0"/>
                          <a:ext cx="775335" cy="1402080"/>
                        </a:xfrm>
                        <a:prstGeom prst="rect">
                          <a:avLst/>
                        </a:prstGeom>
                        <a:ln>
                          <a:solidFill>
                            <a:schemeClr val="tx1"/>
                          </a:solidFill>
                        </a:ln>
                        <a:effectLst>
                          <a:innerShdw blurRad="63500" dist="50800" dir="135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68E78936" w14:textId="77777777" w:rsidR="000B7204" w:rsidRPr="00B963AF" w:rsidRDefault="000B7204" w:rsidP="001E6B37">
                            <w:pPr>
                              <w:jc w:val="center"/>
                              <w:rPr>
                                <w:rFonts w:ascii="Times New Roman" w:hAnsi="Times New Roman" w:cs="Times New Roman"/>
                                <w:spacing w:val="-8"/>
                                <w:sz w:val="26"/>
                                <w:szCs w:val="26"/>
                              </w:rPr>
                            </w:pPr>
                            <w:r w:rsidRPr="00B963AF">
                              <w:rPr>
                                <w:rFonts w:ascii="Times New Roman" w:hAnsi="Times New Roman" w:cs="Times New Roman"/>
                                <w:spacing w:val="-8"/>
                                <w:sz w:val="26"/>
                                <w:szCs w:val="26"/>
                              </w:rPr>
                              <w:t>PHÒNG QUAN HỆ KHÁCH HÀNG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D8B4F" id="Rectangle 186033454" o:spid="_x0000_s1030" style="position:absolute;left:0;text-align:left;margin-left:288.9pt;margin-top:17.75pt;width:61.05pt;height:11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" fillcolor="white [3201]" strokecolor="black [3213]" strokeweight="2pt">
                <v:textbox>
                  <w:txbxContent>
                    <w:p w14:paraId="68E78936" w14:textId="77777777" w:rsidR="000B7204" w:rsidRPr="00B963AF" w:rsidRDefault="000B7204" w:rsidP="001E6B37">
                      <w:pPr>
                        <w:jc w:val="center"/>
                        <w:rPr>
                          <w:rFonts w:ascii="Times New Roman" w:hAnsi="Times New Roman" w:cs="Times New Roman"/>
                          <w:spacing w:val="-8"/>
                          <w:sz w:val="26"/>
                          <w:szCs w:val="26"/>
                        </w:rPr>
                      </w:pPr>
                      <w:r w:rsidRPr="00B963AF">
                        <w:rPr>
                          <w:rFonts w:ascii="Times New Roman" w:hAnsi="Times New Roman" w:cs="Times New Roman"/>
                          <w:spacing w:val="-8"/>
                          <w:sz w:val="26"/>
                          <w:szCs w:val="26"/>
                        </w:rPr>
                        <w:t>PHÒNG QUAN HỆ KHÁCH HÀNG</w:t>
                      </w:r>
                    </w:p>
                  </w:txbxContent>
                </v:textbox>
              </v:rect>
            </w:pict>
          </mc:Fallback>
        </mc:AlternateContent>
      </w:r>
      <w:r w:rsidR="001E6B37"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64384" behindDoc="0" locked="0" layoutInCell="1" allowOverlap="1" wp14:anchorId="67DD6B68" wp14:editId="1E7660CA">
                <wp:simplePos x="0" y="0"/>
                <wp:positionH relativeFrom="column">
                  <wp:posOffset>1388745</wp:posOffset>
                </wp:positionH>
                <wp:positionV relativeFrom="paragraph">
                  <wp:posOffset>207645</wp:posOffset>
                </wp:positionV>
                <wp:extent cx="734695" cy="1398270"/>
                <wp:effectExtent l="0" t="0" r="27305" b="11430"/>
                <wp:wrapNone/>
                <wp:docPr id="1946378970" name="Rectangle 1946378970"/>
                <wp:cNvGraphicFramePr/>
                <a:graphic xmlns:a="http://schemas.openxmlformats.org/drawingml/2006/main">
                  <a:graphicData uri="http://schemas.microsoft.com/office/word/2010/wordprocessingShape">
                    <wps:wsp>
                      <wps:cNvSpPr/>
                      <wps:spPr>
                        <a:xfrm>
                          <a:off x="0" y="0"/>
                          <a:ext cx="734695" cy="1398270"/>
                        </a:xfrm>
                        <a:prstGeom prst="rect">
                          <a:avLst/>
                        </a:prstGeom>
                        <a:ln>
                          <a:solidFill>
                            <a:schemeClr val="tx1"/>
                          </a:solidFill>
                        </a:ln>
                        <a:effectLst>
                          <a:innerShdw blurRad="63500" dist="50800" dir="135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10583A61" w14:textId="77777777" w:rsidR="000B7204" w:rsidRPr="00B963AF" w:rsidRDefault="000B7204" w:rsidP="007C65F4">
                            <w:pPr>
                              <w:jc w:val="center"/>
                              <w:rPr>
                                <w:rFonts w:ascii="Times New Roman" w:hAnsi="Times New Roman" w:cs="Times New Roman"/>
                                <w:spacing w:val="-8"/>
                                <w:sz w:val="26"/>
                                <w:szCs w:val="26"/>
                                <w:lang w:val="vi-VN"/>
                              </w:rPr>
                            </w:pPr>
                            <w:r w:rsidRPr="00B963AF">
                              <w:rPr>
                                <w:rFonts w:ascii="Times New Roman" w:hAnsi="Times New Roman" w:cs="Times New Roman"/>
                                <w:spacing w:val="-16"/>
                                <w:sz w:val="26"/>
                                <w:szCs w:val="26"/>
                              </w:rPr>
                              <w:t>PHÒNG</w:t>
                            </w:r>
                            <w:r w:rsidRPr="00B963AF">
                              <w:rPr>
                                <w:rFonts w:ascii="Times New Roman" w:hAnsi="Times New Roman" w:cs="Times New Roman"/>
                                <w:spacing w:val="-8"/>
                                <w:sz w:val="26"/>
                                <w:szCs w:val="26"/>
                              </w:rPr>
                              <w:t xml:space="preserve"> GIAO DỊCH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D6B68" id="Rectangle 1946378970" o:spid="_x0000_s1031" style="position:absolute;left:0;text-align:left;margin-left:109.35pt;margin-top:16.35pt;width:57.85pt;height:1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" fillcolor="white [3201]" strokecolor="black [3213]" strokeweight="2pt">
                <v:textbox>
                  <w:txbxContent>
                    <w:p w14:paraId="10583A61" w14:textId="77777777" w:rsidR="000B7204" w:rsidRPr="00B963AF" w:rsidRDefault="000B7204" w:rsidP="007C65F4">
                      <w:pPr>
                        <w:jc w:val="center"/>
                        <w:rPr>
                          <w:rFonts w:ascii="Times New Roman" w:hAnsi="Times New Roman" w:cs="Times New Roman"/>
                          <w:spacing w:val="-8"/>
                          <w:sz w:val="26"/>
                          <w:szCs w:val="26"/>
                          <w:lang w:val="vi-VN"/>
                        </w:rPr>
                      </w:pPr>
                      <w:r w:rsidRPr="00B963AF">
                        <w:rPr>
                          <w:rFonts w:ascii="Times New Roman" w:hAnsi="Times New Roman" w:cs="Times New Roman"/>
                          <w:spacing w:val="-16"/>
                          <w:sz w:val="26"/>
                          <w:szCs w:val="26"/>
                        </w:rPr>
                        <w:t>PHÒNG</w:t>
                      </w:r>
                      <w:r w:rsidRPr="00B963AF">
                        <w:rPr>
                          <w:rFonts w:ascii="Times New Roman" w:hAnsi="Times New Roman" w:cs="Times New Roman"/>
                          <w:spacing w:val="-8"/>
                          <w:sz w:val="26"/>
                          <w:szCs w:val="26"/>
                        </w:rPr>
                        <w:t xml:space="preserve"> GIAO DỊCH</w:t>
                      </w:r>
                    </w:p>
                  </w:txbxContent>
                </v:textbox>
              </v:rect>
            </w:pict>
          </mc:Fallback>
        </mc:AlternateContent>
      </w:r>
      <w:r w:rsidR="000B7204"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78720" behindDoc="0" locked="0" layoutInCell="1" allowOverlap="1" wp14:anchorId="3411A9A9" wp14:editId="24A67D8E">
                <wp:simplePos x="0" y="0"/>
                <wp:positionH relativeFrom="column">
                  <wp:posOffset>1768475</wp:posOffset>
                </wp:positionH>
                <wp:positionV relativeFrom="paragraph">
                  <wp:posOffset>36830</wp:posOffset>
                </wp:positionV>
                <wp:extent cx="0" cy="194554"/>
                <wp:effectExtent l="76200" t="0" r="57150" b="53340"/>
                <wp:wrapNone/>
                <wp:docPr id="1185497415" name="Straight Arrow Connector 30"/>
                <wp:cNvGraphicFramePr/>
                <a:graphic xmlns:a="http://schemas.openxmlformats.org/drawingml/2006/main">
                  <a:graphicData uri="http://schemas.microsoft.com/office/word/2010/wordprocessingShape">
                    <wps:wsp>
                      <wps:cNvCnPr/>
                      <wps:spPr>
                        <a:xfrm>
                          <a:off x="0" y="0"/>
                          <a:ext cx="0" cy="194554"/>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DC3DC1" id="Straight Arrow Connector 30" o:spid="_x0000_s1026" type="#_x0000_t32" style="position:absolute;margin-left:139.25pt;margin-top:2.9pt;width:0;height:15.3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" strokecolor="black [3040]" strokeweight="1pt">
                <v:stroke endarrow="block"/>
              </v:shape>
            </w:pict>
          </mc:Fallback>
        </mc:AlternateContent>
      </w:r>
      <w:r w:rsidR="000B7204"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79744" behindDoc="0" locked="0" layoutInCell="1" allowOverlap="1" wp14:anchorId="222B7D2A" wp14:editId="2B086CB3">
                <wp:simplePos x="0" y="0"/>
                <wp:positionH relativeFrom="column">
                  <wp:posOffset>4117975</wp:posOffset>
                </wp:positionH>
                <wp:positionV relativeFrom="paragraph">
                  <wp:posOffset>22860</wp:posOffset>
                </wp:positionV>
                <wp:extent cx="0" cy="194310"/>
                <wp:effectExtent l="76200" t="0" r="57150" b="53340"/>
                <wp:wrapNone/>
                <wp:docPr id="1688802326" name="Straight Arrow Connector 30"/>
                <wp:cNvGraphicFramePr/>
                <a:graphic xmlns:a="http://schemas.openxmlformats.org/drawingml/2006/main">
                  <a:graphicData uri="http://schemas.microsoft.com/office/word/2010/wordprocessingShape">
                    <wps:wsp>
                      <wps:cNvCnPr/>
                      <wps:spPr>
                        <a:xfrm>
                          <a:off x="0" y="0"/>
                          <a:ext cx="0" cy="19431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E71DC5" id="Straight Arrow Connector 30" o:spid="_x0000_s1026" type="#_x0000_t32" style="position:absolute;margin-left:324.25pt;margin-top:1.8pt;width:0;height:15.3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" strokecolor="black [3040]" strokeweight="1pt">
                <v:stroke endarrow="block"/>
              </v:shape>
            </w:pict>
          </mc:Fallback>
        </mc:AlternateContent>
      </w:r>
      <w:r w:rsidR="000B7204"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77696" behindDoc="0" locked="0" layoutInCell="1" allowOverlap="1" wp14:anchorId="2E2BCD17" wp14:editId="6167B41C">
                <wp:simplePos x="0" y="0"/>
                <wp:positionH relativeFrom="column">
                  <wp:posOffset>790233</wp:posOffset>
                </wp:positionH>
                <wp:positionV relativeFrom="paragraph">
                  <wp:posOffset>41031</wp:posOffset>
                </wp:positionV>
                <wp:extent cx="0" cy="194554"/>
                <wp:effectExtent l="76200" t="0" r="57150" b="53340"/>
                <wp:wrapNone/>
                <wp:docPr id="1940704820" name="Straight Arrow Connector 30"/>
                <wp:cNvGraphicFramePr/>
                <a:graphic xmlns:a="http://schemas.openxmlformats.org/drawingml/2006/main">
                  <a:graphicData uri="http://schemas.microsoft.com/office/word/2010/wordprocessingShape">
                    <wps:wsp>
                      <wps:cNvCnPr/>
                      <wps:spPr>
                        <a:xfrm>
                          <a:off x="0" y="0"/>
                          <a:ext cx="0" cy="194554"/>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1B28B5" id="Straight Arrow Connector 30" o:spid="_x0000_s1026" type="#_x0000_t32" style="position:absolute;margin-left:62.2pt;margin-top:3.25pt;width:0;height:15.3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" strokecolor="black [3040]" strokeweight="1pt">
                <v:stroke endarrow="block"/>
              </v:shape>
            </w:pict>
          </mc:Fallback>
        </mc:AlternateContent>
      </w:r>
    </w:p>
    <w:p w14:paraId="08CE980E" w14:textId="77777777" w:rsidR="000B7204" w:rsidRPr="00A90E6A" w:rsidRDefault="000B720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p>
    <w:p w14:paraId="78AC0E13" w14:textId="77777777" w:rsidR="000B7204" w:rsidRPr="00A90E6A" w:rsidRDefault="000B720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4864" behindDoc="0" locked="0" layoutInCell="1" allowOverlap="1" wp14:anchorId="62757E52" wp14:editId="507BFC0F">
                <wp:simplePos x="0" y="0"/>
                <wp:positionH relativeFrom="column">
                  <wp:posOffset>1140460</wp:posOffset>
                </wp:positionH>
                <wp:positionV relativeFrom="paragraph">
                  <wp:posOffset>310515</wp:posOffset>
                </wp:positionV>
                <wp:extent cx="259715" cy="0"/>
                <wp:effectExtent l="38100" t="76200" r="26035" b="95250"/>
                <wp:wrapNone/>
                <wp:docPr id="997030462" name="Straight Arrow Connector 33"/>
                <wp:cNvGraphicFramePr/>
                <a:graphic xmlns:a="http://schemas.openxmlformats.org/drawingml/2006/main">
                  <a:graphicData uri="http://schemas.microsoft.com/office/word/2010/wordprocessingShape">
                    <wps:wsp>
                      <wps:cNvCnPr/>
                      <wps:spPr>
                        <a:xfrm>
                          <a:off x="0" y="0"/>
                          <a:ext cx="259715" cy="0"/>
                        </a:xfrm>
                        <a:prstGeom prst="straightConnector1">
                          <a:avLst/>
                        </a:prstGeom>
                        <a:ln w="12700">
                          <a:prstDash val="dash"/>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58D09846" id="Straight Arrow Connector 33" o:spid="_x0000_s1026" type="#_x0000_t32" style="position:absolute;margin-left:89.8pt;margin-top:24.45pt;width:20.45pt;height:0;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" strokecolor="black [3040]" strokeweight="1pt">
                <v:stroke dashstyle="dash" startarrow="block" endarrow="block"/>
              </v:shape>
            </w:pict>
          </mc:Fallback>
        </mc:AlternateContent>
      </w:r>
    </w:p>
    <w:p w14:paraId="7BA4E98F" w14:textId="6A5C71B6" w:rsidR="000B7204" w:rsidRPr="00A90E6A" w:rsidRDefault="007C65F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7936" behindDoc="0" locked="0" layoutInCell="1" allowOverlap="1" wp14:anchorId="5F9AEDA9" wp14:editId="5B5262E0">
                <wp:simplePos x="0" y="0"/>
                <wp:positionH relativeFrom="column">
                  <wp:posOffset>4443730</wp:posOffset>
                </wp:positionH>
                <wp:positionV relativeFrom="paragraph">
                  <wp:posOffset>145415</wp:posOffset>
                </wp:positionV>
                <wp:extent cx="273050" cy="0"/>
                <wp:effectExtent l="38100" t="76200" r="12700" b="95250"/>
                <wp:wrapNone/>
                <wp:docPr id="1558172242" name="Straight Arrow Connector 38"/>
                <wp:cNvGraphicFramePr/>
                <a:graphic xmlns:a="http://schemas.openxmlformats.org/drawingml/2006/main">
                  <a:graphicData uri="http://schemas.microsoft.com/office/word/2010/wordprocessingShape">
                    <wps:wsp>
                      <wps:cNvCnPr/>
                      <wps:spPr>
                        <a:xfrm>
                          <a:off x="0" y="0"/>
                          <a:ext cx="273050" cy="0"/>
                        </a:xfrm>
                        <a:prstGeom prst="straightConnector1">
                          <a:avLst/>
                        </a:prstGeom>
                        <a:ln w="12700">
                          <a:prstDash val="dash"/>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7BC6B0A7" id="Straight Arrow Connector 38" o:spid="_x0000_s1026" type="#_x0000_t32" style="position:absolute;margin-left:349.9pt;margin-top:11.45pt;width:21.5pt;height:0;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" strokecolor="black [3040]" strokeweight="1pt">
                <v:stroke dashstyle="dash" startarrow="block" endarrow="block"/>
              </v:shape>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6912" behindDoc="0" locked="0" layoutInCell="1" allowOverlap="1" wp14:anchorId="67FCF4EE" wp14:editId="2D4DCE4D">
                <wp:simplePos x="0" y="0"/>
                <wp:positionH relativeFrom="column">
                  <wp:posOffset>3237865</wp:posOffset>
                </wp:positionH>
                <wp:positionV relativeFrom="paragraph">
                  <wp:posOffset>146685</wp:posOffset>
                </wp:positionV>
                <wp:extent cx="418113" cy="0"/>
                <wp:effectExtent l="38100" t="76200" r="20320" b="95250"/>
                <wp:wrapNone/>
                <wp:docPr id="2091202808" name="Straight Arrow Connector 37"/>
                <wp:cNvGraphicFramePr/>
                <a:graphic xmlns:a="http://schemas.openxmlformats.org/drawingml/2006/main">
                  <a:graphicData uri="http://schemas.microsoft.com/office/word/2010/wordprocessingShape">
                    <wps:wsp>
                      <wps:cNvCnPr/>
                      <wps:spPr>
                        <a:xfrm>
                          <a:off x="0" y="0"/>
                          <a:ext cx="418113" cy="0"/>
                        </a:xfrm>
                        <a:prstGeom prst="straightConnector1">
                          <a:avLst/>
                        </a:prstGeom>
                        <a:ln w="12700">
                          <a:prstDash val="dash"/>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B4F606" id="Straight Arrow Connector 37" o:spid="_x0000_s1026" type="#_x0000_t32" style="position:absolute;margin-left:254.95pt;margin-top:11.55pt;width:32.9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" strokecolor="black [3040]" strokeweight="1pt">
                <v:stroke dashstyle="dash" startarrow="block" endarrow="block"/>
              </v:shape>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5888" behindDoc="0" locked="0" layoutInCell="1" allowOverlap="1" wp14:anchorId="263A2828" wp14:editId="54B8D5BE">
                <wp:simplePos x="0" y="0"/>
                <wp:positionH relativeFrom="column">
                  <wp:posOffset>2124075</wp:posOffset>
                </wp:positionH>
                <wp:positionV relativeFrom="paragraph">
                  <wp:posOffset>145415</wp:posOffset>
                </wp:positionV>
                <wp:extent cx="401955" cy="0"/>
                <wp:effectExtent l="38100" t="76200" r="17145" b="95250"/>
                <wp:wrapNone/>
                <wp:docPr id="1057849814" name="Straight Arrow Connector 35"/>
                <wp:cNvGraphicFramePr/>
                <a:graphic xmlns:a="http://schemas.openxmlformats.org/drawingml/2006/main">
                  <a:graphicData uri="http://schemas.microsoft.com/office/word/2010/wordprocessingShape">
                    <wps:wsp>
                      <wps:cNvCnPr/>
                      <wps:spPr>
                        <a:xfrm>
                          <a:off x="0" y="0"/>
                          <a:ext cx="401955" cy="0"/>
                        </a:xfrm>
                        <a:prstGeom prst="straightConnector1">
                          <a:avLst/>
                        </a:prstGeom>
                        <a:ln w="12700">
                          <a:prstDash val="dash"/>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CD65BF9" id="Straight Arrow Connector 35" o:spid="_x0000_s1026" type="#_x0000_t32" style="position:absolute;margin-left:167.25pt;margin-top:11.45pt;width:31.65pt;height:0;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" strokecolor="black [3040]" strokeweight="1pt">
                <v:stroke dashstyle="dash" startarrow="block" endarrow="block"/>
              </v:shape>
            </w:pict>
          </mc:Fallback>
        </mc:AlternateContent>
      </w:r>
    </w:p>
    <w:p w14:paraId="00A0FA21" w14:textId="742AE288" w:rsidR="000B7204" w:rsidRPr="00A90E6A" w:rsidRDefault="000B720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p>
    <w:p w14:paraId="3AA87C1C" w14:textId="31803FFB" w:rsidR="000B7204" w:rsidRPr="00A90E6A" w:rsidRDefault="007C65F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r w:rsidRPr="00A90E6A">
        <w:rPr>
          <w:rFonts w:ascii="Times New Roman" w:hAnsi="Times New Roman" w:cs="Times New Roman"/>
          <w:noProof/>
          <w:color w:val="000000" w:themeColor="text1"/>
          <w:sz w:val="26"/>
          <w:szCs w:val="26"/>
        </w:rPr>
        <mc:AlternateContent>
          <mc:Choice Requires="wps">
            <w:drawing>
              <wp:anchor distT="0" distB="0" distL="114300" distR="114300" simplePos="0" relativeHeight="251675648" behindDoc="0" locked="0" layoutInCell="1" allowOverlap="1" wp14:anchorId="02EF6DF2" wp14:editId="6FA2DF0D">
                <wp:simplePos x="0" y="0"/>
                <wp:positionH relativeFrom="column">
                  <wp:posOffset>3427730</wp:posOffset>
                </wp:positionH>
                <wp:positionV relativeFrom="paragraph">
                  <wp:posOffset>248285</wp:posOffset>
                </wp:positionV>
                <wp:extent cx="1676400" cy="0"/>
                <wp:effectExtent l="0" t="0" r="0" b="0"/>
                <wp:wrapNone/>
                <wp:docPr id="995909250" name="Straight Connector 995909250"/>
                <wp:cNvGraphicFramePr/>
                <a:graphic xmlns:a="http://schemas.openxmlformats.org/drawingml/2006/main">
                  <a:graphicData uri="http://schemas.microsoft.com/office/word/2010/wordprocessingShape">
                    <wps:wsp>
                      <wps:cNvCnPr/>
                      <wps:spPr>
                        <a:xfrm>
                          <a:off x="0" y="0"/>
                          <a:ext cx="1676400"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A122999" id="Straight Connector 995909250"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9.9pt,19.55pt" to="401.9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" strokecolor="black [3040]" strokeweight="1.25pt"/>
            </w:pict>
          </mc:Fallback>
        </mc:AlternateContent>
      </w:r>
      <w:r w:rsidR="001E6B37"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3840" behindDoc="0" locked="0" layoutInCell="1" allowOverlap="1" wp14:anchorId="7B3038AA" wp14:editId="382C92BB">
                <wp:simplePos x="0" y="0"/>
                <wp:positionH relativeFrom="column">
                  <wp:posOffset>5104130</wp:posOffset>
                </wp:positionH>
                <wp:positionV relativeFrom="paragraph">
                  <wp:posOffset>254635</wp:posOffset>
                </wp:positionV>
                <wp:extent cx="0" cy="220345"/>
                <wp:effectExtent l="76200" t="0" r="57150" b="65405"/>
                <wp:wrapNone/>
                <wp:docPr id="94408154" name="Straight Arrow Connector 32"/>
                <wp:cNvGraphicFramePr/>
                <a:graphic xmlns:a="http://schemas.openxmlformats.org/drawingml/2006/main">
                  <a:graphicData uri="http://schemas.microsoft.com/office/word/2010/wordprocessingShape">
                    <wps:wsp>
                      <wps:cNvCnPr/>
                      <wps:spPr>
                        <a:xfrm>
                          <a:off x="0" y="0"/>
                          <a:ext cx="0" cy="22034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9A7CC4" id="Straight Arrow Connector 32" o:spid="_x0000_s1026" type="#_x0000_t32" style="position:absolute;margin-left:401.9pt;margin-top:20.05pt;width:0;height:17.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" strokecolor="black [3040]" strokeweight="1pt">
                <v:stroke endarrow="block"/>
              </v:shape>
            </w:pict>
          </mc:Fallback>
        </mc:AlternateContent>
      </w:r>
      <w:r w:rsidR="001E6B37"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95104" behindDoc="0" locked="0" layoutInCell="1" allowOverlap="1" wp14:anchorId="2EE8DC26" wp14:editId="32867E41">
                <wp:simplePos x="0" y="0"/>
                <wp:positionH relativeFrom="column">
                  <wp:posOffset>4178300</wp:posOffset>
                </wp:positionH>
                <wp:positionV relativeFrom="paragraph">
                  <wp:posOffset>147955</wp:posOffset>
                </wp:positionV>
                <wp:extent cx="0" cy="344981"/>
                <wp:effectExtent l="76200" t="0" r="76200" b="55245"/>
                <wp:wrapNone/>
                <wp:docPr id="323136327" name="Straight Arrow Connector 29"/>
                <wp:cNvGraphicFramePr/>
                <a:graphic xmlns:a="http://schemas.openxmlformats.org/drawingml/2006/main">
                  <a:graphicData uri="http://schemas.microsoft.com/office/word/2010/wordprocessingShape">
                    <wps:wsp>
                      <wps:cNvCnPr/>
                      <wps:spPr>
                        <a:xfrm>
                          <a:off x="0" y="0"/>
                          <a:ext cx="0" cy="344981"/>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00FABE" id="Straight Arrow Connector 29" o:spid="_x0000_s1026" type="#_x0000_t32" style="position:absolute;margin-left:329pt;margin-top:11.65pt;width:0;height:2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" strokecolor="black [3040]" strokeweight="1pt">
                <v:stroke endarrow="block"/>
              </v:shape>
            </w:pict>
          </mc:Fallback>
        </mc:AlternateContent>
      </w:r>
      <w:r w:rsidR="001E6B37"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2816" behindDoc="0" locked="0" layoutInCell="1" allowOverlap="1" wp14:anchorId="49B16C64" wp14:editId="4687D778">
                <wp:simplePos x="0" y="0"/>
                <wp:positionH relativeFrom="column">
                  <wp:posOffset>3434080</wp:posOffset>
                </wp:positionH>
                <wp:positionV relativeFrom="paragraph">
                  <wp:posOffset>241935</wp:posOffset>
                </wp:positionV>
                <wp:extent cx="4445" cy="226695"/>
                <wp:effectExtent l="76200" t="0" r="71755" b="59055"/>
                <wp:wrapNone/>
                <wp:docPr id="976073134" name="Straight Arrow Connector 32"/>
                <wp:cNvGraphicFramePr/>
                <a:graphic xmlns:a="http://schemas.openxmlformats.org/drawingml/2006/main">
                  <a:graphicData uri="http://schemas.microsoft.com/office/word/2010/wordprocessingShape">
                    <wps:wsp>
                      <wps:cNvCnPr/>
                      <wps:spPr>
                        <a:xfrm>
                          <a:off x="0" y="0"/>
                          <a:ext cx="4445" cy="22669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D5D7E55" id="Straight Arrow Connector 32" o:spid="_x0000_s1026" type="#_x0000_t32" style="position:absolute;margin-left:270.4pt;margin-top:19.05pt;width:.35pt;height:17.8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" strokecolor="black [3040]" strokeweight="1pt">
                <v:stroke endarrow="block"/>
              </v:shape>
            </w:pict>
          </mc:Fallback>
        </mc:AlternateContent>
      </w:r>
      <w:r w:rsidR="001E6B37"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1792" behindDoc="0" locked="0" layoutInCell="1" allowOverlap="1" wp14:anchorId="1E5D85DC" wp14:editId="754AD13D">
                <wp:simplePos x="0" y="0"/>
                <wp:positionH relativeFrom="column">
                  <wp:posOffset>742950</wp:posOffset>
                </wp:positionH>
                <wp:positionV relativeFrom="paragraph">
                  <wp:posOffset>248285</wp:posOffset>
                </wp:positionV>
                <wp:extent cx="0" cy="220345"/>
                <wp:effectExtent l="76200" t="0" r="57150" b="65405"/>
                <wp:wrapNone/>
                <wp:docPr id="1771698146" name="Straight Arrow Connector 32"/>
                <wp:cNvGraphicFramePr/>
                <a:graphic xmlns:a="http://schemas.openxmlformats.org/drawingml/2006/main">
                  <a:graphicData uri="http://schemas.microsoft.com/office/word/2010/wordprocessingShape">
                    <wps:wsp>
                      <wps:cNvCnPr/>
                      <wps:spPr>
                        <a:xfrm>
                          <a:off x="0" y="0"/>
                          <a:ext cx="0" cy="22034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6A1E4F" id="Straight Arrow Connector 32" o:spid="_x0000_s1026" type="#_x0000_t32" style="position:absolute;margin-left:58.5pt;margin-top:19.55pt;width:0;height:17.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" strokecolor="black [3040]" strokeweight="1pt">
                <v:stroke endarrow="block"/>
              </v:shape>
            </w:pict>
          </mc:Fallback>
        </mc:AlternateContent>
      </w:r>
      <w:r w:rsidR="000B7204"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9984" behindDoc="0" locked="0" layoutInCell="1" allowOverlap="1" wp14:anchorId="7E26A59F" wp14:editId="658E41D7">
                <wp:simplePos x="0" y="0"/>
                <wp:positionH relativeFrom="column">
                  <wp:posOffset>1654810</wp:posOffset>
                </wp:positionH>
                <wp:positionV relativeFrom="paragraph">
                  <wp:posOffset>135255</wp:posOffset>
                </wp:positionV>
                <wp:extent cx="0" cy="344981"/>
                <wp:effectExtent l="76200" t="0" r="76200" b="55245"/>
                <wp:wrapNone/>
                <wp:docPr id="1864712388" name="Straight Arrow Connector 29"/>
                <wp:cNvGraphicFramePr/>
                <a:graphic xmlns:a="http://schemas.openxmlformats.org/drawingml/2006/main">
                  <a:graphicData uri="http://schemas.microsoft.com/office/word/2010/wordprocessingShape">
                    <wps:wsp>
                      <wps:cNvCnPr/>
                      <wps:spPr>
                        <a:xfrm>
                          <a:off x="0" y="0"/>
                          <a:ext cx="0" cy="344981"/>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BCF6FE" id="Straight Arrow Connector 29" o:spid="_x0000_s1026" type="#_x0000_t32" style="position:absolute;margin-left:130.3pt;margin-top:10.65pt;width:0;height:2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" strokecolor="black [3040]" strokeweight="1pt">
                <v:stroke endarrow="block"/>
              </v:shape>
            </w:pict>
          </mc:Fallback>
        </mc:AlternateContent>
      </w:r>
      <w:r w:rsidR="000B7204" w:rsidRPr="00A90E6A">
        <w:rPr>
          <w:rFonts w:ascii="Times New Roman" w:hAnsi="Times New Roman" w:cs="Times New Roman"/>
          <w:noProof/>
          <w:color w:val="000000" w:themeColor="text1"/>
          <w:sz w:val="26"/>
          <w:szCs w:val="26"/>
        </w:rPr>
        <mc:AlternateContent>
          <mc:Choice Requires="wps">
            <w:drawing>
              <wp:anchor distT="0" distB="0" distL="114300" distR="114300" simplePos="0" relativeHeight="251674624" behindDoc="0" locked="0" layoutInCell="1" allowOverlap="1" wp14:anchorId="60A23BFE" wp14:editId="765425D5">
                <wp:simplePos x="0" y="0"/>
                <wp:positionH relativeFrom="column">
                  <wp:posOffset>730250</wp:posOffset>
                </wp:positionH>
                <wp:positionV relativeFrom="paragraph">
                  <wp:posOffset>245110</wp:posOffset>
                </wp:positionV>
                <wp:extent cx="1614668" cy="0"/>
                <wp:effectExtent l="0" t="0" r="0" b="0"/>
                <wp:wrapNone/>
                <wp:docPr id="597582346" name="Straight Connector 597582346"/>
                <wp:cNvGraphicFramePr/>
                <a:graphic xmlns:a="http://schemas.openxmlformats.org/drawingml/2006/main">
                  <a:graphicData uri="http://schemas.microsoft.com/office/word/2010/wordprocessingShape">
                    <wps:wsp>
                      <wps:cNvCnPr/>
                      <wps:spPr>
                        <a:xfrm>
                          <a:off x="0" y="0"/>
                          <a:ext cx="1614668"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68C731" id="Straight Connector 59758234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7.5pt,19.3pt" to="184.6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" strokecolor="black [3040]" strokeweight="1.25pt"/>
            </w:pict>
          </mc:Fallback>
        </mc:AlternateContent>
      </w:r>
      <w:r w:rsidR="000B7204"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88960" behindDoc="0" locked="0" layoutInCell="1" allowOverlap="1" wp14:anchorId="35A5DA6C" wp14:editId="4A0946C1">
                <wp:simplePos x="0" y="0"/>
                <wp:positionH relativeFrom="column">
                  <wp:posOffset>2338705</wp:posOffset>
                </wp:positionH>
                <wp:positionV relativeFrom="paragraph">
                  <wp:posOffset>254000</wp:posOffset>
                </wp:positionV>
                <wp:extent cx="0" cy="220493"/>
                <wp:effectExtent l="76200" t="0" r="57150" b="65405"/>
                <wp:wrapNone/>
                <wp:docPr id="1277396838" name="Straight Arrow Connector 32"/>
                <wp:cNvGraphicFramePr/>
                <a:graphic xmlns:a="http://schemas.openxmlformats.org/drawingml/2006/main">
                  <a:graphicData uri="http://schemas.microsoft.com/office/word/2010/wordprocessingShape">
                    <wps:wsp>
                      <wps:cNvCnPr/>
                      <wps:spPr>
                        <a:xfrm>
                          <a:off x="0" y="0"/>
                          <a:ext cx="0" cy="220493"/>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6BB729" id="Straight Arrow Connector 32" o:spid="_x0000_s1026" type="#_x0000_t32" style="position:absolute;margin-left:184.15pt;margin-top:20pt;width:0;height:17.3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" strokecolor="black [3040]" strokeweight="1pt">
                <v:stroke endarrow="block"/>
              </v:shape>
            </w:pict>
          </mc:Fallback>
        </mc:AlternateContent>
      </w:r>
    </w:p>
    <w:p w14:paraId="6CAE19E2" w14:textId="2A95BEEA" w:rsidR="000B7204" w:rsidRPr="00A90E6A" w:rsidRDefault="007C65F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72576" behindDoc="0" locked="0" layoutInCell="1" allowOverlap="1" wp14:anchorId="29AB54BE" wp14:editId="3ACD8635">
                <wp:simplePos x="0" y="0"/>
                <wp:positionH relativeFrom="column">
                  <wp:posOffset>4717415</wp:posOffset>
                </wp:positionH>
                <wp:positionV relativeFrom="paragraph">
                  <wp:posOffset>201930</wp:posOffset>
                </wp:positionV>
                <wp:extent cx="792480" cy="1333500"/>
                <wp:effectExtent l="0" t="0" r="12700" b="19050"/>
                <wp:wrapNone/>
                <wp:docPr id="2053270548" name="Rectangle 2053270548"/>
                <wp:cNvGraphicFramePr/>
                <a:graphic xmlns:a="http://schemas.openxmlformats.org/drawingml/2006/main">
                  <a:graphicData uri="http://schemas.microsoft.com/office/word/2010/wordprocessingShape">
                    <wps:wsp>
                      <wps:cNvSpPr/>
                      <wps:spPr>
                        <a:xfrm>
                          <a:off x="0" y="0"/>
                          <a:ext cx="792480" cy="1333500"/>
                        </a:xfrm>
                        <a:prstGeom prst="rect">
                          <a:avLst/>
                        </a:prstGeom>
                        <a:solidFill>
                          <a:schemeClr val="bg1"/>
                        </a:solidFill>
                        <a:ln>
                          <a:solidFill>
                            <a:schemeClr val="tx1"/>
                          </a:solidFill>
                        </a:ln>
                        <a:effectLst>
                          <a:innerShdw blurRad="63500" dist="50800" dir="54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0CA0A2D4" w14:textId="77777777" w:rsidR="000B7204" w:rsidRPr="00B963AF" w:rsidRDefault="000B7204" w:rsidP="000B7204">
                            <w:pPr>
                              <w:rPr>
                                <w:rFonts w:ascii="Times New Roman" w:hAnsi="Times New Roman" w:cs="Times New Roman"/>
                                <w:spacing w:val="-14"/>
                                <w:sz w:val="26"/>
                                <w:szCs w:val="26"/>
                              </w:rPr>
                            </w:pPr>
                            <w:r w:rsidRPr="00B963AF">
                              <w:rPr>
                                <w:rFonts w:ascii="Times New Roman" w:hAnsi="Times New Roman" w:cs="Times New Roman"/>
                                <w:spacing w:val="-14"/>
                                <w:sz w:val="26"/>
                                <w:szCs w:val="26"/>
                              </w:rPr>
                              <w:t>PHÒNG KHÁCH HÀNG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AB54BE" id="Rectangle 2053270548" o:spid="_x0000_s1032" style="position:absolute;left:0;text-align:left;margin-left:371.45pt;margin-top:15.9pt;width:62.4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" fillcolor="white [3212]" strokecolor="black [3213]" strokeweight="2pt">
                <v:textbox>
                  <w:txbxContent>
                    <w:p w14:paraId="0CA0A2D4" w14:textId="77777777" w:rsidR="000B7204" w:rsidRPr="00B963AF" w:rsidRDefault="000B7204" w:rsidP="000B7204">
                      <w:pPr>
                        <w:rPr>
                          <w:rFonts w:ascii="Times New Roman" w:hAnsi="Times New Roman" w:cs="Times New Roman"/>
                          <w:spacing w:val="-14"/>
                          <w:sz w:val="26"/>
                          <w:szCs w:val="26"/>
                        </w:rPr>
                      </w:pPr>
                      <w:r w:rsidRPr="00B963AF">
                        <w:rPr>
                          <w:rFonts w:ascii="Times New Roman" w:hAnsi="Times New Roman" w:cs="Times New Roman"/>
                          <w:spacing w:val="-14"/>
                          <w:sz w:val="26"/>
                          <w:szCs w:val="26"/>
                        </w:rPr>
                        <w:t>PHÒNG KHÁCH HÀNG CÁ NHÂN</w:t>
                      </w:r>
                    </w:p>
                  </w:txbxContent>
                </v:textbox>
              </v:rect>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71552" behindDoc="0" locked="0" layoutInCell="1" allowOverlap="1" wp14:anchorId="7A02C3AE" wp14:editId="5D228B8E">
                <wp:simplePos x="0" y="0"/>
                <wp:positionH relativeFrom="column">
                  <wp:posOffset>3867785</wp:posOffset>
                </wp:positionH>
                <wp:positionV relativeFrom="paragraph">
                  <wp:posOffset>205105</wp:posOffset>
                </wp:positionV>
                <wp:extent cx="755073" cy="1327150"/>
                <wp:effectExtent l="0" t="0" r="26035" b="25400"/>
                <wp:wrapNone/>
                <wp:docPr id="381098688" name="Rectangle 381098688"/>
                <wp:cNvGraphicFramePr/>
                <a:graphic xmlns:a="http://schemas.openxmlformats.org/drawingml/2006/main">
                  <a:graphicData uri="http://schemas.microsoft.com/office/word/2010/wordprocessingShape">
                    <wps:wsp>
                      <wps:cNvSpPr/>
                      <wps:spPr>
                        <a:xfrm>
                          <a:off x="0" y="0"/>
                          <a:ext cx="755073" cy="1327150"/>
                        </a:xfrm>
                        <a:prstGeom prst="rect">
                          <a:avLst/>
                        </a:prstGeom>
                        <a:solidFill>
                          <a:schemeClr val="bg1"/>
                        </a:solidFill>
                        <a:ln>
                          <a:solidFill>
                            <a:schemeClr val="tx1"/>
                          </a:solidFill>
                        </a:ln>
                        <a:effectLst>
                          <a:innerShdw blurRad="63500" dist="50800" dir="54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74CA9231" w14:textId="77777777" w:rsidR="000B7204" w:rsidRPr="00B963AF" w:rsidRDefault="000B7204" w:rsidP="000B7204">
                            <w:pPr>
                              <w:spacing w:after="0"/>
                              <w:rPr>
                                <w:rFonts w:ascii="Times New Roman" w:hAnsi="Times New Roman" w:cs="Times New Roman"/>
                                <w:spacing w:val="-16"/>
                                <w:sz w:val="26"/>
                                <w:szCs w:val="26"/>
                              </w:rPr>
                            </w:pPr>
                            <w:r w:rsidRPr="00B963AF">
                              <w:rPr>
                                <w:rFonts w:ascii="Times New Roman" w:hAnsi="Times New Roman" w:cs="Times New Roman"/>
                                <w:spacing w:val="-16"/>
                                <w:sz w:val="26"/>
                                <w:szCs w:val="26"/>
                              </w:rPr>
                              <w:t>PHÒNG KHÁCH HÀNG DOANH NGHIỆP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2C3AE" id="Rectangle 381098688" o:spid="_x0000_s1033" style="position:absolute;left:0;text-align:left;margin-left:304.55pt;margin-top:16.15pt;width:59.45pt;height:1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" fillcolor="white [3212]" strokecolor="black [3213]" strokeweight="2pt">
                <v:textbox>
                  <w:txbxContent>
                    <w:p w14:paraId="74CA9231" w14:textId="77777777" w:rsidR="000B7204" w:rsidRPr="00B963AF" w:rsidRDefault="000B7204" w:rsidP="000B7204">
                      <w:pPr>
                        <w:spacing w:after="0"/>
                        <w:rPr>
                          <w:rFonts w:ascii="Times New Roman" w:hAnsi="Times New Roman" w:cs="Times New Roman"/>
                          <w:spacing w:val="-16"/>
                          <w:sz w:val="26"/>
                          <w:szCs w:val="26"/>
                        </w:rPr>
                      </w:pPr>
                      <w:r w:rsidRPr="00B963AF">
                        <w:rPr>
                          <w:rFonts w:ascii="Times New Roman" w:hAnsi="Times New Roman" w:cs="Times New Roman"/>
                          <w:spacing w:val="-16"/>
                          <w:sz w:val="26"/>
                          <w:szCs w:val="26"/>
                        </w:rPr>
                        <w:t>PHÒNG KHÁCH HÀNG DOANH NGHIỆP</w:t>
                      </w:r>
                    </w:p>
                  </w:txbxContent>
                </v:textbox>
              </v:rect>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70528" behindDoc="0" locked="0" layoutInCell="1" allowOverlap="1" wp14:anchorId="224A9D6E" wp14:editId="5F6F4F28">
                <wp:simplePos x="0" y="0"/>
                <wp:positionH relativeFrom="column">
                  <wp:posOffset>3003550</wp:posOffset>
                </wp:positionH>
                <wp:positionV relativeFrom="paragraph">
                  <wp:posOffset>205105</wp:posOffset>
                </wp:positionV>
                <wp:extent cx="753110" cy="1346200"/>
                <wp:effectExtent l="0" t="0" r="27940" b="25400"/>
                <wp:wrapNone/>
                <wp:docPr id="1849326174" name="Rectangle 1849326174"/>
                <wp:cNvGraphicFramePr/>
                <a:graphic xmlns:a="http://schemas.openxmlformats.org/drawingml/2006/main">
                  <a:graphicData uri="http://schemas.microsoft.com/office/word/2010/wordprocessingShape">
                    <wps:wsp>
                      <wps:cNvSpPr/>
                      <wps:spPr>
                        <a:xfrm>
                          <a:off x="0" y="0"/>
                          <a:ext cx="753110" cy="1346200"/>
                        </a:xfrm>
                        <a:prstGeom prst="rect">
                          <a:avLst/>
                        </a:prstGeom>
                        <a:solidFill>
                          <a:schemeClr val="bg1"/>
                        </a:solidFill>
                        <a:ln>
                          <a:solidFill>
                            <a:schemeClr val="tx1"/>
                          </a:solidFill>
                        </a:ln>
                        <a:effectLst>
                          <a:innerShdw blurRad="63500" dist="50800" dir="54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8D5DD8B" w14:textId="77777777" w:rsidR="000B7204" w:rsidRPr="00B963AF" w:rsidRDefault="000B7204" w:rsidP="000B7204">
                            <w:pPr>
                              <w:spacing w:before="120" w:after="120"/>
                              <w:rPr>
                                <w:rFonts w:ascii="Times New Roman" w:hAnsi="Times New Roman" w:cs="Times New Roman"/>
                                <w:spacing w:val="-14"/>
                                <w:sz w:val="26"/>
                                <w:szCs w:val="26"/>
                              </w:rPr>
                            </w:pPr>
                            <w:r w:rsidRPr="00B963AF">
                              <w:rPr>
                                <w:rFonts w:ascii="Times New Roman" w:hAnsi="Times New Roman" w:cs="Times New Roman"/>
                                <w:spacing w:val="-14"/>
                                <w:sz w:val="26"/>
                                <w:szCs w:val="26"/>
                              </w:rPr>
                              <w:t>PHÒNG KHÁCH HÀNG LỚN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A9D6E" id="Rectangle 1849326174" o:spid="_x0000_s1034" style="position:absolute;left:0;text-align:left;margin-left:236.5pt;margin-top:16.15pt;width:59.3pt;height:1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" fillcolor="white [3212]" strokecolor="black [3213]" strokeweight="2pt">
                <v:textbox>
                  <w:txbxContent>
                    <w:p w14:paraId="58D5DD8B" w14:textId="77777777" w:rsidR="000B7204" w:rsidRPr="00B963AF" w:rsidRDefault="000B7204" w:rsidP="000B7204">
                      <w:pPr>
                        <w:spacing w:before="120" w:after="120"/>
                        <w:rPr>
                          <w:rFonts w:ascii="Times New Roman" w:hAnsi="Times New Roman" w:cs="Times New Roman"/>
                          <w:spacing w:val="-14"/>
                          <w:sz w:val="26"/>
                          <w:szCs w:val="26"/>
                        </w:rPr>
                      </w:pPr>
                      <w:r w:rsidRPr="00B963AF">
                        <w:rPr>
                          <w:rFonts w:ascii="Times New Roman" w:hAnsi="Times New Roman" w:cs="Times New Roman"/>
                          <w:spacing w:val="-14"/>
                          <w:sz w:val="26"/>
                          <w:szCs w:val="26"/>
                        </w:rPr>
                        <w:t>PHÒNG KHÁCH HÀNG LỚN</w:t>
                      </w:r>
                    </w:p>
                  </w:txbxContent>
                </v:textbox>
              </v:rect>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68480" behindDoc="0" locked="0" layoutInCell="1" allowOverlap="1" wp14:anchorId="29DF6377" wp14:editId="4C8CB7A1">
                <wp:simplePos x="0" y="0"/>
                <wp:positionH relativeFrom="column">
                  <wp:posOffset>1896745</wp:posOffset>
                </wp:positionH>
                <wp:positionV relativeFrom="paragraph">
                  <wp:posOffset>193675</wp:posOffset>
                </wp:positionV>
                <wp:extent cx="753110" cy="1355725"/>
                <wp:effectExtent l="0" t="0" r="27940" b="15875"/>
                <wp:wrapNone/>
                <wp:docPr id="1957740686" name="Rectangle 1957740686"/>
                <wp:cNvGraphicFramePr/>
                <a:graphic xmlns:a="http://schemas.openxmlformats.org/drawingml/2006/main">
                  <a:graphicData uri="http://schemas.microsoft.com/office/word/2010/wordprocessingShape">
                    <wps:wsp>
                      <wps:cNvSpPr/>
                      <wps:spPr>
                        <a:xfrm>
                          <a:off x="0" y="0"/>
                          <a:ext cx="753110" cy="1355725"/>
                        </a:xfrm>
                        <a:prstGeom prst="rect">
                          <a:avLst/>
                        </a:prstGeom>
                        <a:solidFill>
                          <a:schemeClr val="bg1"/>
                        </a:solidFill>
                        <a:ln>
                          <a:solidFill>
                            <a:schemeClr val="tx1"/>
                          </a:solidFill>
                        </a:ln>
                        <a:effectLst>
                          <a:innerShdw blurRad="63500" dist="50800" dir="54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72283BC1" w14:textId="77777777" w:rsidR="000B7204" w:rsidRPr="00B963AF" w:rsidRDefault="000B7204" w:rsidP="007C65F4">
                            <w:pPr>
                              <w:jc w:val="center"/>
                              <w:rPr>
                                <w:rFonts w:ascii="Times New Roman" w:hAnsi="Times New Roman" w:cs="Times New Roman"/>
                                <w:spacing w:val="-14"/>
                                <w:sz w:val="26"/>
                                <w:szCs w:val="26"/>
                              </w:rPr>
                            </w:pPr>
                            <w:r w:rsidRPr="00B963AF">
                              <w:rPr>
                                <w:rFonts w:ascii="Times New Roman" w:hAnsi="Times New Roman" w:cs="Times New Roman"/>
                                <w:spacing w:val="-14"/>
                                <w:sz w:val="26"/>
                                <w:szCs w:val="26"/>
                              </w:rPr>
                              <w:t>PHÒNG GIAO DỊCH HOÀ THỌ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F6377" id="Rectangle 1957740686" o:spid="_x0000_s1035" style="position:absolute;left:0;text-align:left;margin-left:149.35pt;margin-top:15.25pt;width:59.3pt;height:10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" fillcolor="white [3212]" strokecolor="black [3213]" strokeweight="2pt">
                <v:textbox>
                  <w:txbxContent>
                    <w:p w14:paraId="72283BC1" w14:textId="77777777" w:rsidR="000B7204" w:rsidRPr="00B963AF" w:rsidRDefault="000B7204" w:rsidP="007C65F4">
                      <w:pPr>
                        <w:jc w:val="center"/>
                        <w:rPr>
                          <w:rFonts w:ascii="Times New Roman" w:hAnsi="Times New Roman" w:cs="Times New Roman"/>
                          <w:spacing w:val="-14"/>
                          <w:sz w:val="26"/>
                          <w:szCs w:val="26"/>
                        </w:rPr>
                      </w:pPr>
                      <w:r w:rsidRPr="00B963AF">
                        <w:rPr>
                          <w:rFonts w:ascii="Times New Roman" w:hAnsi="Times New Roman" w:cs="Times New Roman"/>
                          <w:spacing w:val="-14"/>
                          <w:sz w:val="26"/>
                          <w:szCs w:val="26"/>
                        </w:rPr>
                        <w:t>PHÒNG GIAO DỊCH HOÀ THỌ</w:t>
                      </w:r>
                    </w:p>
                  </w:txbxContent>
                </v:textbox>
              </v:rect>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69504" behindDoc="0" locked="0" layoutInCell="1" allowOverlap="1" wp14:anchorId="37BABDA5" wp14:editId="1B16125A">
                <wp:simplePos x="0" y="0"/>
                <wp:positionH relativeFrom="column">
                  <wp:posOffset>1027430</wp:posOffset>
                </wp:positionH>
                <wp:positionV relativeFrom="paragraph">
                  <wp:posOffset>187325</wp:posOffset>
                </wp:positionV>
                <wp:extent cx="776605" cy="1355725"/>
                <wp:effectExtent l="0" t="0" r="23495" b="15875"/>
                <wp:wrapNone/>
                <wp:docPr id="1825910297" name="Rectangle 1825910297"/>
                <wp:cNvGraphicFramePr/>
                <a:graphic xmlns:a="http://schemas.openxmlformats.org/drawingml/2006/main">
                  <a:graphicData uri="http://schemas.microsoft.com/office/word/2010/wordprocessingShape">
                    <wps:wsp>
                      <wps:cNvSpPr/>
                      <wps:spPr>
                        <a:xfrm>
                          <a:off x="0" y="0"/>
                          <a:ext cx="776605" cy="1355725"/>
                        </a:xfrm>
                        <a:prstGeom prst="rect">
                          <a:avLst/>
                        </a:prstGeom>
                        <a:solidFill>
                          <a:schemeClr val="bg1"/>
                        </a:solidFill>
                        <a:ln>
                          <a:solidFill>
                            <a:schemeClr val="tx1"/>
                          </a:solidFill>
                        </a:ln>
                        <a:effectLst>
                          <a:innerShdw blurRad="63500" dist="50800" dir="54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4A47BB7D" w14:textId="77777777" w:rsidR="000B7204" w:rsidRPr="00B963AF" w:rsidRDefault="000B7204" w:rsidP="001E6B37">
                            <w:pPr>
                              <w:jc w:val="center"/>
                              <w:rPr>
                                <w:rFonts w:ascii="Times New Roman" w:hAnsi="Times New Roman" w:cs="Times New Roman"/>
                                <w:spacing w:val="-16"/>
                                <w:sz w:val="26"/>
                                <w:szCs w:val="26"/>
                              </w:rPr>
                            </w:pPr>
                            <w:r w:rsidRPr="00B963AF">
                              <w:rPr>
                                <w:rFonts w:ascii="Times New Roman" w:hAnsi="Times New Roman" w:cs="Times New Roman"/>
                                <w:spacing w:val="-16"/>
                                <w:sz w:val="26"/>
                                <w:szCs w:val="26"/>
                              </w:rPr>
                              <w:t>PHÒNG GIAO DỊCH SÔNG HÀN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BABDA5" id="Rectangle 1825910297" o:spid="_x0000_s1036" style="position:absolute;left:0;text-align:left;margin-left:80.9pt;margin-top:14.75pt;width:61.15pt;height:10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" fillcolor="white [3212]" strokecolor="black [3213]" strokeweight="2pt">
                <v:textbox>
                  <w:txbxContent>
                    <w:p w14:paraId="4A47BB7D" w14:textId="77777777" w:rsidR="000B7204" w:rsidRPr="00B963AF" w:rsidRDefault="000B7204" w:rsidP="001E6B37">
                      <w:pPr>
                        <w:jc w:val="center"/>
                        <w:rPr>
                          <w:rFonts w:ascii="Times New Roman" w:hAnsi="Times New Roman" w:cs="Times New Roman"/>
                          <w:spacing w:val="-16"/>
                          <w:sz w:val="26"/>
                          <w:szCs w:val="26"/>
                        </w:rPr>
                      </w:pPr>
                      <w:r w:rsidRPr="00B963AF">
                        <w:rPr>
                          <w:rFonts w:ascii="Times New Roman" w:hAnsi="Times New Roman" w:cs="Times New Roman"/>
                          <w:spacing w:val="-16"/>
                          <w:sz w:val="26"/>
                          <w:szCs w:val="26"/>
                        </w:rPr>
                        <w:t>PHÒNG GIAO DỊCH SÔNG HÀN</w:t>
                      </w:r>
                    </w:p>
                  </w:txbxContent>
                </v:textbox>
              </v:rect>
            </w:pict>
          </mc:Fallback>
        </mc:AlternateContent>
      </w:r>
      <w:r w:rsidRPr="00A90E6A">
        <w:rPr>
          <w:rFonts w:ascii="Times New Roman" w:hAnsi="Times New Roman" w:cs="Times New Roman"/>
          <w:noProof/>
          <w:color w:val="000000" w:themeColor="text1"/>
          <w:sz w:val="26"/>
          <w:szCs w:val="26"/>
          <w:lang w:val="vi-VN"/>
        </w:rPr>
        <mc:AlternateContent>
          <mc:Choice Requires="wps">
            <w:drawing>
              <wp:anchor distT="0" distB="0" distL="114300" distR="114300" simplePos="0" relativeHeight="251662336" behindDoc="0" locked="0" layoutInCell="1" allowOverlap="1" wp14:anchorId="73298493" wp14:editId="1B83FCD7">
                <wp:simplePos x="0" y="0"/>
                <wp:positionH relativeFrom="column">
                  <wp:posOffset>125730</wp:posOffset>
                </wp:positionH>
                <wp:positionV relativeFrom="paragraph">
                  <wp:posOffset>188595</wp:posOffset>
                </wp:positionV>
                <wp:extent cx="755650" cy="1352550"/>
                <wp:effectExtent l="0" t="0" r="25400" b="19050"/>
                <wp:wrapNone/>
                <wp:docPr id="1382579762" name="Rectangle 1382579762"/>
                <wp:cNvGraphicFramePr/>
                <a:graphic xmlns:a="http://schemas.openxmlformats.org/drawingml/2006/main">
                  <a:graphicData uri="http://schemas.microsoft.com/office/word/2010/wordprocessingShape">
                    <wps:wsp>
                      <wps:cNvSpPr/>
                      <wps:spPr>
                        <a:xfrm>
                          <a:off x="0" y="0"/>
                          <a:ext cx="755650" cy="1352550"/>
                        </a:xfrm>
                        <a:prstGeom prst="rect">
                          <a:avLst/>
                        </a:prstGeom>
                        <a:solidFill>
                          <a:schemeClr val="bg1"/>
                        </a:solidFill>
                        <a:ln>
                          <a:solidFill>
                            <a:schemeClr val="tx1"/>
                          </a:solidFill>
                        </a:ln>
                        <a:effectLst>
                          <a:innerShdw blurRad="63500" dist="50800" dir="54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7CF87304" w14:textId="77777777" w:rsidR="000B7204" w:rsidRPr="00B963AF" w:rsidRDefault="000B7204" w:rsidP="001E6B37">
                            <w:pPr>
                              <w:jc w:val="center"/>
                              <w:rPr>
                                <w:rFonts w:ascii="Times New Roman" w:hAnsi="Times New Roman" w:cs="Times New Roman"/>
                                <w:spacing w:val="-14"/>
                                <w:sz w:val="26"/>
                                <w:szCs w:val="26"/>
                              </w:rPr>
                            </w:pPr>
                            <w:r w:rsidRPr="00B963AF">
                              <w:rPr>
                                <w:rFonts w:ascii="Times New Roman" w:hAnsi="Times New Roman" w:cs="Times New Roman"/>
                                <w:spacing w:val="-14"/>
                                <w:sz w:val="26"/>
                                <w:szCs w:val="26"/>
                              </w:rPr>
                              <w:t>SMART BANK HOÀ VANG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98493" id="Rectangle 1382579762" o:spid="_x0000_s1037" style="position:absolute;left:0;text-align:left;margin-left:9.9pt;margin-top:14.85pt;width:59.5pt;height:1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" fillcolor="white [3212]" strokecolor="black [3213]" strokeweight="2pt">
                <v:textbox>
                  <w:txbxContent>
                    <w:p w14:paraId="7CF87304" w14:textId="77777777" w:rsidR="000B7204" w:rsidRPr="00B963AF" w:rsidRDefault="000B7204" w:rsidP="001E6B37">
                      <w:pPr>
                        <w:jc w:val="center"/>
                        <w:rPr>
                          <w:rFonts w:ascii="Times New Roman" w:hAnsi="Times New Roman" w:cs="Times New Roman"/>
                          <w:spacing w:val="-14"/>
                          <w:sz w:val="26"/>
                          <w:szCs w:val="26"/>
                        </w:rPr>
                      </w:pPr>
                      <w:r w:rsidRPr="00B963AF">
                        <w:rPr>
                          <w:rFonts w:ascii="Times New Roman" w:hAnsi="Times New Roman" w:cs="Times New Roman"/>
                          <w:spacing w:val="-14"/>
                          <w:sz w:val="26"/>
                          <w:szCs w:val="26"/>
                        </w:rPr>
                        <w:t>SMART BANK HOÀ VANG</w:t>
                      </w:r>
                    </w:p>
                  </w:txbxContent>
                </v:textbox>
              </v:rect>
            </w:pict>
          </mc:Fallback>
        </mc:AlternateContent>
      </w:r>
    </w:p>
    <w:p w14:paraId="6E23E4FD" w14:textId="77777777" w:rsidR="000B7204" w:rsidRPr="00A90E6A" w:rsidRDefault="000B720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p>
    <w:p w14:paraId="7214C1B5" w14:textId="77777777" w:rsidR="000B7204" w:rsidRPr="00A90E6A" w:rsidRDefault="000B720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p>
    <w:p w14:paraId="21582A14" w14:textId="77777777" w:rsidR="000B7204" w:rsidRPr="00A90E6A" w:rsidRDefault="000B720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p>
    <w:p w14:paraId="4E52F557" w14:textId="77777777" w:rsidR="000B7204" w:rsidRPr="00A90E6A" w:rsidRDefault="000B7204" w:rsidP="00A139CF">
      <w:pPr>
        <w:pStyle w:val="ListParagraph"/>
        <w:spacing w:before="120" w:after="120"/>
        <w:ind w:right="130" w:firstLine="567"/>
        <w:contextualSpacing w:val="0"/>
        <w:rPr>
          <w:rFonts w:ascii="Times New Roman" w:hAnsi="Times New Roman" w:cs="Times New Roman"/>
          <w:i/>
          <w:iCs/>
          <w:color w:val="000000" w:themeColor="text1"/>
          <w:sz w:val="26"/>
          <w:szCs w:val="26"/>
          <w:lang w:val="vi-VN"/>
        </w:rPr>
      </w:pPr>
    </w:p>
    <w:p w14:paraId="74BCF999" w14:textId="77777777" w:rsidR="000B7204" w:rsidRPr="00A90E6A" w:rsidRDefault="000B7204"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p>
    <w:p w14:paraId="5EA7A24A" w14:textId="37F2DE28" w:rsidR="0016458D" w:rsidRPr="00A90E6A" w:rsidRDefault="0016458D" w:rsidP="00A139CF">
      <w:pPr>
        <w:tabs>
          <w:tab w:val="left" w:pos="6210"/>
        </w:tabs>
        <w:spacing w:after="0" w:line="360" w:lineRule="auto"/>
        <w:ind w:firstLine="567"/>
        <w:jc w:val="right"/>
        <w:rPr>
          <w:rFonts w:ascii="Times New Roman" w:hAnsi="Times New Roman" w:cs="Times New Roman"/>
          <w:i/>
          <w:iCs/>
          <w:color w:val="000000" w:themeColor="text1"/>
          <w:sz w:val="26"/>
          <w:szCs w:val="26"/>
          <w:lang w:val="vi-VN"/>
        </w:rPr>
      </w:pPr>
      <w:r w:rsidRPr="00A90E6A">
        <w:rPr>
          <w:rFonts w:ascii="Times New Roman" w:hAnsi="Times New Roman" w:cs="Times New Roman"/>
          <w:i/>
          <w:iCs/>
          <w:color w:val="000000" w:themeColor="text1"/>
          <w:sz w:val="26"/>
          <w:szCs w:val="26"/>
          <w:lang w:val="vi-VN"/>
        </w:rPr>
        <w:t>(Nguồn:</w:t>
      </w:r>
      <w:r w:rsidR="0018372B" w:rsidRPr="00A90E6A">
        <w:rPr>
          <w:rFonts w:ascii="Times New Roman" w:eastAsia="Times New Roman" w:hAnsi="Times New Roman" w:cs="Times New Roman"/>
          <w:i/>
          <w:iCs/>
          <w:color w:val="000000"/>
          <w:kern w:val="0"/>
          <w:sz w:val="26"/>
          <w:szCs w:val="26"/>
          <w:lang w:val="vi-VN"/>
          <w14:ligatures w14:val="none"/>
        </w:rPr>
        <w:t xml:space="preserve"> Ngân hàng TMCP Quân đội - Chi Nhánh Đà Nẵng</w:t>
      </w:r>
      <w:r w:rsidRPr="00A90E6A">
        <w:rPr>
          <w:rFonts w:ascii="Times New Roman" w:hAnsi="Times New Roman" w:cs="Times New Roman"/>
          <w:i/>
          <w:iCs/>
          <w:color w:val="000000" w:themeColor="text1"/>
          <w:sz w:val="26"/>
          <w:szCs w:val="26"/>
          <w:lang w:val="vi-VN"/>
        </w:rPr>
        <w:t>)</w:t>
      </w:r>
    </w:p>
    <w:p w14:paraId="6009D18A" w14:textId="0915804D" w:rsidR="0016458D" w:rsidRPr="00A90E6A" w:rsidRDefault="00F4029F" w:rsidP="00F4029F">
      <w:pPr>
        <w:pStyle w:val="Caption"/>
        <w:rPr>
          <w:rFonts w:ascii="Times New Roman" w:hAnsi="Times New Roman" w:cs="Times New Roman"/>
          <w:b/>
          <w:bCs/>
          <w:i w:val="0"/>
          <w:iCs w:val="0"/>
          <w:color w:val="auto"/>
          <w:sz w:val="26"/>
          <w:szCs w:val="26"/>
          <w:lang w:val="vi-VN"/>
        </w:rPr>
      </w:pPr>
      <w:bookmarkStart w:id="38" w:name="_Toc229217909"/>
      <w:bookmarkStart w:id="39" w:name="_Toc230367733"/>
      <w:r w:rsidRPr="00A90E6A">
        <w:rPr>
          <w:rFonts w:ascii="Times New Roman" w:hAnsi="Times New Roman" w:cs="Times New Roman"/>
          <w:b/>
          <w:bCs/>
          <w:i w:val="0"/>
          <w:iCs w:val="0"/>
          <w:color w:val="000000" w:themeColor="text1"/>
          <w:sz w:val="26"/>
          <w:szCs w:val="26"/>
          <w:lang w:val="vi-VN"/>
        </w:rPr>
        <w:t>Sơ đồ 2.</w:t>
      </w:r>
      <w:r w:rsidRPr="00A90E6A">
        <w:rPr>
          <w:rFonts w:ascii="Times New Roman" w:hAnsi="Times New Roman" w:cs="Times New Roman"/>
          <w:b/>
          <w:bCs/>
          <w:i w:val="0"/>
          <w:iCs w:val="0"/>
          <w:color w:val="000000" w:themeColor="text1"/>
          <w:sz w:val="26"/>
          <w:szCs w:val="26"/>
        </w:rPr>
        <w:fldChar w:fldCharType="begin"/>
      </w:r>
      <w:r w:rsidRPr="00A90E6A">
        <w:rPr>
          <w:rFonts w:ascii="Times New Roman" w:hAnsi="Times New Roman" w:cs="Times New Roman"/>
          <w:b/>
          <w:bCs/>
          <w:i w:val="0"/>
          <w:iCs w:val="0"/>
          <w:color w:val="000000" w:themeColor="text1"/>
          <w:sz w:val="26"/>
          <w:szCs w:val="26"/>
          <w:lang w:val="vi-VN"/>
        </w:rPr>
        <w:instrText xml:space="preserve"> SEQ Sơ_đồ_2. \* ARABIC </w:instrText>
      </w:r>
      <w:r w:rsidRPr="00A90E6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1</w:t>
      </w:r>
      <w:r w:rsidRPr="00A90E6A">
        <w:rPr>
          <w:rFonts w:ascii="Times New Roman" w:hAnsi="Times New Roman" w:cs="Times New Roman"/>
          <w:b/>
          <w:bCs/>
          <w:i w:val="0"/>
          <w:iCs w:val="0"/>
          <w:color w:val="000000" w:themeColor="text1"/>
          <w:sz w:val="26"/>
          <w:szCs w:val="26"/>
        </w:rPr>
        <w:fldChar w:fldCharType="end"/>
      </w:r>
      <w:r w:rsidRPr="00A90E6A">
        <w:rPr>
          <w:rFonts w:ascii="Times New Roman" w:hAnsi="Times New Roman" w:cs="Times New Roman"/>
          <w:sz w:val="26"/>
          <w:szCs w:val="26"/>
          <w:lang w:val="vi-VN"/>
        </w:rPr>
        <w:t xml:space="preserve"> </w:t>
      </w:r>
      <w:r w:rsidR="0016458D" w:rsidRPr="00A90E6A">
        <w:rPr>
          <w:rFonts w:ascii="Times New Roman" w:hAnsi="Times New Roman" w:cs="Times New Roman"/>
          <w:b/>
          <w:bCs/>
          <w:i w:val="0"/>
          <w:iCs w:val="0"/>
          <w:color w:val="auto"/>
          <w:sz w:val="26"/>
          <w:szCs w:val="26"/>
          <w:lang w:val="vi-VN"/>
        </w:rPr>
        <w:t xml:space="preserve">Sơ </w:t>
      </w:r>
      <w:r w:rsidR="0016458D" w:rsidRPr="00A90E6A">
        <w:rPr>
          <w:rFonts w:ascii="Times New Roman" w:hAnsi="Times New Roman" w:cs="Times New Roman"/>
          <w:b/>
          <w:bCs/>
          <w:i w:val="0"/>
          <w:iCs w:val="0"/>
          <w:color w:val="000000" w:themeColor="text1"/>
          <w:sz w:val="26"/>
          <w:szCs w:val="26"/>
          <w:lang w:val="vi-VN"/>
        </w:rPr>
        <w:t>đồ tổ chức Ngân hàng</w:t>
      </w:r>
      <w:r w:rsidR="00D01127" w:rsidRPr="00A90E6A">
        <w:rPr>
          <w:rFonts w:ascii="Times New Roman" w:hAnsi="Times New Roman" w:cs="Times New Roman"/>
          <w:b/>
          <w:bCs/>
          <w:i w:val="0"/>
          <w:iCs w:val="0"/>
          <w:color w:val="000000" w:themeColor="text1"/>
          <w:sz w:val="26"/>
          <w:szCs w:val="26"/>
          <w:lang w:val="vi-VN"/>
        </w:rPr>
        <w:t xml:space="preserve"> TMCP</w:t>
      </w:r>
      <w:r w:rsidR="0016458D" w:rsidRPr="00A90E6A">
        <w:rPr>
          <w:rFonts w:ascii="Times New Roman" w:hAnsi="Times New Roman" w:cs="Times New Roman"/>
          <w:b/>
          <w:bCs/>
          <w:i w:val="0"/>
          <w:iCs w:val="0"/>
          <w:color w:val="000000" w:themeColor="text1"/>
          <w:sz w:val="26"/>
          <w:szCs w:val="26"/>
          <w:lang w:val="vi-VN"/>
        </w:rPr>
        <w:t xml:space="preserve"> Quân đội – Chi nhánh Đà </w:t>
      </w:r>
      <w:bookmarkEnd w:id="38"/>
      <w:r w:rsidR="00CF4964" w:rsidRPr="00A90E6A">
        <w:rPr>
          <w:rFonts w:ascii="Times New Roman" w:hAnsi="Times New Roman" w:cs="Times New Roman"/>
          <w:b/>
          <w:bCs/>
          <w:i w:val="0"/>
          <w:iCs w:val="0"/>
          <w:color w:val="000000" w:themeColor="text1"/>
          <w:sz w:val="26"/>
          <w:szCs w:val="26"/>
          <w:lang w:val="vi-VN"/>
        </w:rPr>
        <w:t>Nẵng.</w:t>
      </w:r>
      <w:bookmarkEnd w:id="39"/>
    </w:p>
    <w:p w14:paraId="73B8811B" w14:textId="77777777" w:rsidR="0016458D" w:rsidRPr="00A90E6A" w:rsidRDefault="0016458D"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Chức năng và nhiệm vụ của các phòng ban:</w:t>
      </w:r>
    </w:p>
    <w:p w14:paraId="75BB5AB0" w14:textId="77777777" w:rsidR="009D6242" w:rsidRPr="00A90E6A" w:rsidRDefault="009D6242">
      <w:pPr>
        <w:pStyle w:val="ListParagraph"/>
        <w:numPr>
          <w:ilvl w:val="0"/>
          <w:numId w:val="1"/>
        </w:numPr>
        <w:tabs>
          <w:tab w:val="left" w:pos="851"/>
          <w:tab w:val="left" w:pos="993"/>
        </w:tabs>
        <w:spacing w:after="0" w:line="360" w:lineRule="auto"/>
        <w:ind w:left="0" w:firstLine="709"/>
        <w:jc w:val="both"/>
        <w:rPr>
          <w:rFonts w:ascii="Times New Roman" w:hAnsi="Times New Roman" w:cs="Times New Roman"/>
          <w:color w:val="000000" w:themeColor="text1"/>
          <w:sz w:val="26"/>
          <w:szCs w:val="26"/>
          <w:lang w:val="vi-VN"/>
        </w:rPr>
      </w:pPr>
      <w:r w:rsidRPr="00A90E6A">
        <w:rPr>
          <w:rFonts w:ascii="Times New Roman" w:hAnsi="Times New Roman" w:cs="Times New Roman"/>
          <w:b/>
          <w:bCs/>
          <w:color w:val="000000" w:themeColor="text1"/>
          <w:sz w:val="26"/>
          <w:szCs w:val="26"/>
          <w:lang w:val="vi-VN"/>
        </w:rPr>
        <w:t>Ban giám đốc:</w:t>
      </w:r>
      <w:r w:rsidRPr="00A90E6A">
        <w:rPr>
          <w:rFonts w:ascii="Times New Roman" w:hAnsi="Times New Roman" w:cs="Times New Roman"/>
          <w:color w:val="000000" w:themeColor="text1"/>
          <w:sz w:val="26"/>
          <w:szCs w:val="26"/>
          <w:lang w:val="vi-VN"/>
        </w:rPr>
        <w:t xml:space="preserve"> Quản lý và điều hành toàn bộ hoạt động của chi nhánh; quyết định các vấn đề về tổ chức và hoạt động kinh doanh; xử lý hoặc kiến nghị cấp có thẩm quyền đối với các vi phạm về tiền tệ, tín dụng và thanh toán.</w:t>
      </w:r>
    </w:p>
    <w:p w14:paraId="2F92FA04" w14:textId="77777777" w:rsidR="009D6242" w:rsidRPr="00A90E6A" w:rsidRDefault="009D6242">
      <w:pPr>
        <w:pStyle w:val="ListParagraph"/>
        <w:numPr>
          <w:ilvl w:val="0"/>
          <w:numId w:val="1"/>
        </w:numPr>
        <w:tabs>
          <w:tab w:val="left" w:pos="851"/>
          <w:tab w:val="left" w:pos="993"/>
        </w:tabs>
        <w:spacing w:after="0" w:line="360" w:lineRule="auto"/>
        <w:ind w:left="0" w:firstLine="709"/>
        <w:jc w:val="both"/>
        <w:rPr>
          <w:rFonts w:ascii="Times New Roman" w:hAnsi="Times New Roman" w:cs="Times New Roman"/>
          <w:color w:val="000000" w:themeColor="text1"/>
          <w:sz w:val="26"/>
          <w:szCs w:val="26"/>
          <w:lang w:val="vi-VN"/>
        </w:rPr>
      </w:pPr>
      <w:r w:rsidRPr="00A90E6A">
        <w:rPr>
          <w:rFonts w:ascii="Times New Roman" w:hAnsi="Times New Roman" w:cs="Times New Roman"/>
          <w:b/>
          <w:bCs/>
          <w:color w:val="000000" w:themeColor="text1"/>
          <w:sz w:val="26"/>
          <w:szCs w:val="26"/>
          <w:lang w:val="vi-VN"/>
        </w:rPr>
        <w:t>Phòng kế toán và dịch vụ khách hàng:</w:t>
      </w:r>
      <w:r w:rsidRPr="00A90E6A">
        <w:rPr>
          <w:rFonts w:ascii="Times New Roman" w:hAnsi="Times New Roman" w:cs="Times New Roman"/>
          <w:color w:val="000000" w:themeColor="text1"/>
          <w:sz w:val="26"/>
          <w:szCs w:val="26"/>
          <w:lang w:val="vi-VN"/>
        </w:rPr>
        <w:t xml:space="preserve"> Quản lý tài chính, tài sản của chi nhánh; tổ chức hạch toán kế toán, điều hòa và cân đối vốn; thực hiện huy động vốn, xây dựng chính sách lãi suất và vận hành hệ thống công nghệ thông tin phục vụ hoạt động chi nhánh.</w:t>
      </w:r>
    </w:p>
    <w:p w14:paraId="348E2A78" w14:textId="77777777" w:rsidR="009D6242" w:rsidRPr="00A90E6A" w:rsidRDefault="009D6242">
      <w:pPr>
        <w:pStyle w:val="ListParagraph"/>
        <w:numPr>
          <w:ilvl w:val="0"/>
          <w:numId w:val="1"/>
        </w:numPr>
        <w:tabs>
          <w:tab w:val="left" w:pos="851"/>
          <w:tab w:val="left" w:pos="993"/>
        </w:tabs>
        <w:spacing w:after="0" w:line="360" w:lineRule="auto"/>
        <w:ind w:left="0" w:firstLine="709"/>
        <w:jc w:val="both"/>
        <w:rPr>
          <w:rFonts w:ascii="Times New Roman" w:hAnsi="Times New Roman" w:cs="Times New Roman"/>
          <w:color w:val="000000" w:themeColor="text1"/>
          <w:sz w:val="26"/>
          <w:szCs w:val="26"/>
          <w:lang w:val="vi-VN"/>
        </w:rPr>
      </w:pPr>
      <w:r w:rsidRPr="00A90E6A">
        <w:rPr>
          <w:rFonts w:ascii="Times New Roman" w:hAnsi="Times New Roman" w:cs="Times New Roman"/>
          <w:b/>
          <w:bCs/>
          <w:color w:val="000000" w:themeColor="text1"/>
          <w:sz w:val="26"/>
          <w:szCs w:val="26"/>
          <w:lang w:val="vi-VN"/>
        </w:rPr>
        <w:lastRenderedPageBreak/>
        <w:t xml:space="preserve">Phòng giao dịch: </w:t>
      </w:r>
      <w:r w:rsidRPr="00A90E6A">
        <w:rPr>
          <w:rFonts w:ascii="Times New Roman" w:hAnsi="Times New Roman" w:cs="Times New Roman"/>
          <w:color w:val="000000" w:themeColor="text1"/>
          <w:sz w:val="26"/>
          <w:szCs w:val="26"/>
          <w:lang w:val="vi-VN"/>
        </w:rPr>
        <w:t>Thực hiện các giao dịch thanh toán, chi trả tiền mặt dưới 300 triệu đồng; tiếp nhận và xử lý giao dịch khách hàng; tư vấn và hỗ trợ sử dụng sản phẩm dịch vụ ngân hàng.</w:t>
      </w:r>
    </w:p>
    <w:p w14:paraId="4D000E37" w14:textId="77777777" w:rsidR="009D6242" w:rsidRPr="00A90E6A" w:rsidRDefault="009D6242">
      <w:pPr>
        <w:pStyle w:val="ListParagraph"/>
        <w:numPr>
          <w:ilvl w:val="0"/>
          <w:numId w:val="1"/>
        </w:numPr>
        <w:tabs>
          <w:tab w:val="left" w:pos="851"/>
          <w:tab w:val="left" w:pos="993"/>
        </w:tabs>
        <w:spacing w:after="0" w:line="360" w:lineRule="auto"/>
        <w:ind w:left="0" w:firstLine="709"/>
        <w:jc w:val="both"/>
        <w:rPr>
          <w:rFonts w:ascii="Times New Roman" w:hAnsi="Times New Roman" w:cs="Times New Roman"/>
          <w:color w:val="000000" w:themeColor="text1"/>
          <w:sz w:val="26"/>
          <w:szCs w:val="26"/>
          <w:lang w:val="vi-VN"/>
        </w:rPr>
      </w:pPr>
      <w:r w:rsidRPr="00A90E6A">
        <w:rPr>
          <w:rFonts w:ascii="Times New Roman" w:hAnsi="Times New Roman" w:cs="Times New Roman"/>
          <w:b/>
          <w:bCs/>
          <w:color w:val="000000" w:themeColor="text1"/>
          <w:sz w:val="26"/>
          <w:szCs w:val="26"/>
          <w:lang w:val="vi-VN"/>
        </w:rPr>
        <w:t>Phòng hỗ trợ:</w:t>
      </w:r>
      <w:r w:rsidRPr="00A90E6A">
        <w:rPr>
          <w:rFonts w:ascii="Times New Roman" w:hAnsi="Times New Roman" w:cs="Times New Roman"/>
          <w:color w:val="000000" w:themeColor="text1"/>
          <w:sz w:val="26"/>
          <w:szCs w:val="26"/>
          <w:lang w:val="vi-VN"/>
        </w:rPr>
        <w:t xml:space="preserve"> Soạn thảo hồ sơ tín dụng sau thẩm định; thực hiện công chứng giấy tờ theo quy định; hoàn thiện thủ tục giải ngân cho khách hàng.</w:t>
      </w:r>
    </w:p>
    <w:p w14:paraId="162E3EE8" w14:textId="77777777" w:rsidR="009D6242" w:rsidRPr="00A90E6A" w:rsidRDefault="009D6242">
      <w:pPr>
        <w:pStyle w:val="ListParagraph"/>
        <w:numPr>
          <w:ilvl w:val="0"/>
          <w:numId w:val="1"/>
        </w:numPr>
        <w:tabs>
          <w:tab w:val="left" w:pos="851"/>
        </w:tabs>
        <w:spacing w:after="0" w:line="360" w:lineRule="auto"/>
        <w:ind w:left="0" w:firstLine="709"/>
        <w:jc w:val="both"/>
        <w:rPr>
          <w:rFonts w:ascii="Times New Roman" w:hAnsi="Times New Roman" w:cs="Times New Roman"/>
          <w:color w:val="000000" w:themeColor="text1"/>
          <w:sz w:val="26"/>
          <w:szCs w:val="26"/>
          <w:lang w:val="vi-VN"/>
        </w:rPr>
      </w:pPr>
      <w:r w:rsidRPr="00A90E6A">
        <w:rPr>
          <w:rFonts w:ascii="Times New Roman" w:hAnsi="Times New Roman" w:cs="Times New Roman"/>
          <w:b/>
          <w:bCs/>
          <w:color w:val="000000" w:themeColor="text1"/>
          <w:sz w:val="26"/>
          <w:szCs w:val="26"/>
          <w:lang w:val="vi-VN"/>
        </w:rPr>
        <w:t>Phòng hành chính:</w:t>
      </w:r>
      <w:r w:rsidRPr="00A90E6A">
        <w:rPr>
          <w:rFonts w:ascii="Times New Roman" w:hAnsi="Times New Roman" w:cs="Times New Roman"/>
          <w:color w:val="000000" w:themeColor="text1"/>
          <w:sz w:val="26"/>
          <w:szCs w:val="26"/>
          <w:lang w:val="vi-VN"/>
        </w:rPr>
        <w:t xml:space="preserve"> Tổ chức công tác nhân sự, hành chính; đảm bảo cơ sở vật chất, an toàn và vệ sinh; xây dựng nội quy, quy chế hoạt động của chi nhánh theo quy định của Ngân hàng Quân đội.</w:t>
      </w:r>
    </w:p>
    <w:p w14:paraId="0730057A" w14:textId="77777777" w:rsidR="009D6242" w:rsidRPr="00A90E6A" w:rsidRDefault="009D6242">
      <w:pPr>
        <w:pStyle w:val="ListParagraph"/>
        <w:numPr>
          <w:ilvl w:val="0"/>
          <w:numId w:val="1"/>
        </w:numPr>
        <w:tabs>
          <w:tab w:val="left" w:pos="851"/>
        </w:tabs>
        <w:spacing w:after="0" w:line="360" w:lineRule="auto"/>
        <w:ind w:left="0" w:firstLine="709"/>
        <w:jc w:val="both"/>
        <w:rPr>
          <w:rFonts w:ascii="Times New Roman" w:hAnsi="Times New Roman" w:cs="Times New Roman"/>
          <w:color w:val="000000" w:themeColor="text1"/>
          <w:sz w:val="26"/>
          <w:szCs w:val="26"/>
          <w:lang w:val="vi-VN"/>
        </w:rPr>
      </w:pPr>
      <w:r w:rsidRPr="00A90E6A">
        <w:rPr>
          <w:rFonts w:ascii="Times New Roman" w:hAnsi="Times New Roman" w:cs="Times New Roman"/>
          <w:b/>
          <w:bCs/>
          <w:color w:val="000000" w:themeColor="text1"/>
          <w:sz w:val="26"/>
          <w:szCs w:val="26"/>
          <w:lang w:val="vi-VN"/>
        </w:rPr>
        <w:t>Phòng quan hệ khách hàng lớn:</w:t>
      </w:r>
      <w:r w:rsidRPr="00A90E6A">
        <w:rPr>
          <w:rFonts w:ascii="Times New Roman" w:hAnsi="Times New Roman" w:cs="Times New Roman"/>
          <w:color w:val="000000" w:themeColor="text1"/>
          <w:sz w:val="26"/>
          <w:szCs w:val="26"/>
          <w:lang w:val="vi-VN"/>
        </w:rPr>
        <w:t xml:space="preserve"> Quản lý và phát triển khách hàng doanh nghiệp lớn; triển khai sản phẩm và chương trình kinh doanh; giám sát tín dụng, sử dụng vốn và bảo lãnh nhằm đảm bảo an toàn và hiệu quả.</w:t>
      </w:r>
    </w:p>
    <w:p w14:paraId="584EDFD4" w14:textId="77777777" w:rsidR="009D6242" w:rsidRPr="00A90E6A" w:rsidRDefault="009D6242">
      <w:pPr>
        <w:pStyle w:val="ListParagraph"/>
        <w:numPr>
          <w:ilvl w:val="0"/>
          <w:numId w:val="1"/>
        </w:numPr>
        <w:tabs>
          <w:tab w:val="left" w:pos="851"/>
        </w:tabs>
        <w:spacing w:after="0" w:line="360" w:lineRule="auto"/>
        <w:ind w:left="0" w:firstLine="709"/>
        <w:jc w:val="both"/>
        <w:rPr>
          <w:rFonts w:ascii="Times New Roman" w:hAnsi="Times New Roman" w:cs="Times New Roman"/>
          <w:color w:val="000000" w:themeColor="text1"/>
          <w:sz w:val="26"/>
          <w:szCs w:val="26"/>
          <w:lang w:val="vi-VN"/>
        </w:rPr>
      </w:pPr>
      <w:r w:rsidRPr="00A90E6A">
        <w:rPr>
          <w:rFonts w:ascii="Times New Roman" w:hAnsi="Times New Roman" w:cs="Times New Roman"/>
          <w:b/>
          <w:bCs/>
          <w:color w:val="000000" w:themeColor="text1"/>
          <w:sz w:val="26"/>
          <w:szCs w:val="26"/>
          <w:lang w:val="vi-VN"/>
        </w:rPr>
        <w:t>Phòng quan hệ khách hàng doanh nghiệp:</w:t>
      </w:r>
      <w:r w:rsidRPr="00A90E6A">
        <w:rPr>
          <w:rFonts w:ascii="Times New Roman" w:hAnsi="Times New Roman" w:cs="Times New Roman"/>
          <w:color w:val="000000" w:themeColor="text1"/>
          <w:sz w:val="26"/>
          <w:szCs w:val="26"/>
          <w:lang w:val="vi-VN"/>
        </w:rPr>
        <w:t xml:space="preserve"> Phát triển khách hàng doanh nghiệp, cung cấp sản phẩm dịch vụ; thực hiện kinh doanh ngoại tệ và thanh toán quốc tế; xây dựng kế hoạch phát triển sản phẩm dịch vụ ngân hàng.</w:t>
      </w:r>
    </w:p>
    <w:p w14:paraId="073C4750" w14:textId="64ED9EEE" w:rsidR="00C74710" w:rsidRPr="00A90E6A" w:rsidRDefault="009D6242">
      <w:pPr>
        <w:pStyle w:val="ListParagraph"/>
        <w:numPr>
          <w:ilvl w:val="0"/>
          <w:numId w:val="1"/>
        </w:numPr>
        <w:tabs>
          <w:tab w:val="left" w:pos="851"/>
        </w:tabs>
        <w:spacing w:after="0" w:line="360" w:lineRule="auto"/>
        <w:ind w:left="0" w:firstLine="709"/>
        <w:jc w:val="both"/>
        <w:rPr>
          <w:rFonts w:ascii="Times New Roman" w:hAnsi="Times New Roman" w:cs="Times New Roman"/>
          <w:color w:val="000000" w:themeColor="text1"/>
          <w:sz w:val="26"/>
          <w:szCs w:val="26"/>
          <w:lang w:val="vi-VN"/>
        </w:rPr>
        <w:sectPr w:rsidR="00C74710" w:rsidRPr="00A90E6A" w:rsidSect="009E0361">
          <w:headerReference w:type="default" r:id="rId14"/>
          <w:footerReference w:type="default" r:id="rId15"/>
          <w:type w:val="continuous"/>
          <w:pgSz w:w="11906" w:h="16838" w:code="9"/>
          <w:pgMar w:top="1134" w:right="1134" w:bottom="1134" w:left="1701" w:header="680" w:footer="454" w:gutter="0"/>
          <w:pgNumType w:start="1"/>
          <w:cols w:space="720"/>
          <w:docGrid w:linePitch="360"/>
        </w:sectPr>
      </w:pPr>
      <w:r w:rsidRPr="00A90E6A">
        <w:rPr>
          <w:rFonts w:ascii="Times New Roman" w:hAnsi="Times New Roman" w:cs="Times New Roman"/>
          <w:b/>
          <w:bCs/>
          <w:color w:val="000000" w:themeColor="text1"/>
          <w:sz w:val="26"/>
          <w:szCs w:val="26"/>
          <w:lang w:val="vi-VN"/>
        </w:rPr>
        <w:t>Phòng khách hàng cá nhân:</w:t>
      </w:r>
      <w:r w:rsidRPr="00A90E6A">
        <w:rPr>
          <w:rFonts w:ascii="Times New Roman" w:hAnsi="Times New Roman" w:cs="Times New Roman"/>
          <w:color w:val="000000" w:themeColor="text1"/>
          <w:sz w:val="26"/>
          <w:szCs w:val="26"/>
          <w:lang w:val="vi-VN"/>
        </w:rPr>
        <w:t xml:space="preserve"> Quản lý và phát triển khách hàng cá nhân; thực hiện thẩm định, đề xuất và trình phê duyệt các nghiệp vụ tín dụng như cho vay, cầm cố, chiết khấu, bảo lãnh theo quy định.</w:t>
      </w:r>
    </w:p>
    <w:p w14:paraId="000E7A92" w14:textId="6976D33C" w:rsidR="0016458D" w:rsidRPr="00A90E6A" w:rsidRDefault="00CA42EC" w:rsidP="009E08FC">
      <w:pPr>
        <w:pStyle w:val="Heading3"/>
        <w:tabs>
          <w:tab w:val="clear" w:pos="6210"/>
          <w:tab w:val="left" w:pos="1276"/>
        </w:tabs>
        <w:ind w:left="567" w:firstLine="0"/>
        <w:rPr>
          <w:b w:val="0"/>
          <w:bCs w:val="0"/>
          <w:i w:val="0"/>
          <w:iCs w:val="0"/>
          <w:color w:val="000000" w:themeColor="text1"/>
          <w:lang w:val="vi-VN"/>
        </w:rPr>
      </w:pPr>
      <w:bookmarkStart w:id="40" w:name="_Toc230962390"/>
      <w:r w:rsidRPr="00A90E6A">
        <w:rPr>
          <w:i w:val="0"/>
          <w:iCs w:val="0"/>
          <w:color w:val="000000" w:themeColor="text1"/>
          <w:lang w:val="vi-VN"/>
        </w:rPr>
        <w:t xml:space="preserve">2.1.4 </w:t>
      </w:r>
      <w:r w:rsidR="009E08FC">
        <w:rPr>
          <w:i w:val="0"/>
          <w:iCs w:val="0"/>
          <w:color w:val="000000" w:themeColor="text1"/>
        </w:rPr>
        <w:tab/>
      </w:r>
      <w:r w:rsidRPr="00A90E6A">
        <w:rPr>
          <w:i w:val="0"/>
          <w:iCs w:val="0"/>
          <w:color w:val="000000" w:themeColor="text1"/>
          <w:lang w:val="vi-VN"/>
        </w:rPr>
        <w:t>Kết quả hoạt động kinh doanh của ngân hàng TMCP Quân đội – Chi nhánh Đà Nẵng</w:t>
      </w:r>
      <w:r w:rsidRPr="00A90E6A">
        <w:rPr>
          <w:b w:val="0"/>
          <w:bCs w:val="0"/>
          <w:i w:val="0"/>
          <w:iCs w:val="0"/>
          <w:color w:val="000000" w:themeColor="text1"/>
          <w:lang w:val="vi-VN"/>
        </w:rPr>
        <w:t>.</w:t>
      </w:r>
      <w:bookmarkEnd w:id="40"/>
    </w:p>
    <w:p w14:paraId="218E4A5E" w14:textId="4DC58D01" w:rsidR="00722397" w:rsidRPr="00A90E6A" w:rsidRDefault="00E20C57"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b/>
          <w:bCs/>
          <w:color w:val="000000" w:themeColor="text1"/>
          <w:sz w:val="26"/>
          <w:szCs w:val="26"/>
          <w:lang w:val="vi-VN"/>
        </w:rPr>
        <w:t>a)</w:t>
      </w:r>
      <w:r w:rsidR="00CF4964" w:rsidRPr="00A90E6A">
        <w:rPr>
          <w:rFonts w:ascii="Times New Roman" w:hAnsi="Times New Roman" w:cs="Times New Roman"/>
          <w:b/>
          <w:bCs/>
          <w:color w:val="000000" w:themeColor="text1"/>
          <w:sz w:val="26"/>
          <w:szCs w:val="26"/>
          <w:lang w:val="vi-VN"/>
        </w:rPr>
        <w:t xml:space="preserve"> </w:t>
      </w:r>
      <w:r w:rsidRPr="00A90E6A">
        <w:rPr>
          <w:rFonts w:ascii="Times New Roman" w:hAnsi="Times New Roman" w:cs="Times New Roman"/>
          <w:b/>
          <w:bCs/>
          <w:color w:val="000000" w:themeColor="text1"/>
          <w:sz w:val="26"/>
          <w:szCs w:val="26"/>
          <w:lang w:val="vi-VN"/>
        </w:rPr>
        <w:t xml:space="preserve">Tình hình huy động vốn của ngân hàng TMCP Quân đội – Chi nhánh Đà </w:t>
      </w:r>
      <w:r w:rsidR="00CF4964" w:rsidRPr="00A90E6A">
        <w:rPr>
          <w:rFonts w:ascii="Times New Roman" w:hAnsi="Times New Roman" w:cs="Times New Roman"/>
          <w:b/>
          <w:bCs/>
          <w:color w:val="000000" w:themeColor="text1"/>
          <w:sz w:val="26"/>
          <w:szCs w:val="26"/>
          <w:lang w:val="vi-VN"/>
        </w:rPr>
        <w:t>Nẵng.</w:t>
      </w:r>
      <w:r w:rsidRPr="00A90E6A">
        <w:rPr>
          <w:rFonts w:ascii="Times New Roman" w:hAnsi="Times New Roman" w:cs="Times New Roman"/>
          <w:color w:val="000000" w:themeColor="text1"/>
          <w:sz w:val="26"/>
          <w:szCs w:val="26"/>
          <w:lang w:val="vi-VN"/>
        </w:rPr>
        <w:t xml:space="preserve"> </w:t>
      </w:r>
    </w:p>
    <w:p w14:paraId="3C6A7D7D" w14:textId="77777777" w:rsidR="00401A6F" w:rsidRPr="002B008A" w:rsidRDefault="00795D14" w:rsidP="00C73AA2">
      <w:pPr>
        <w:tabs>
          <w:tab w:val="left" w:pos="6210"/>
        </w:tabs>
        <w:spacing w:after="0" w:line="360" w:lineRule="auto"/>
        <w:ind w:firstLine="567"/>
        <w:jc w:val="both"/>
        <w:rPr>
          <w:rFonts w:ascii="Times New Roman" w:hAnsi="Times New Roman" w:cs="Times New Roman"/>
          <w:color w:val="000000" w:themeColor="text1"/>
          <w:sz w:val="26"/>
          <w:szCs w:val="26"/>
          <w:lang w:val="vi-VN"/>
        </w:rPr>
        <w:sectPr w:rsidR="00401A6F" w:rsidRPr="002B008A" w:rsidSect="009E0361">
          <w:type w:val="continuous"/>
          <w:pgSz w:w="11906" w:h="16838" w:code="9"/>
          <w:pgMar w:top="1134" w:right="1134" w:bottom="1134" w:left="1701" w:header="720" w:footer="720" w:gutter="0"/>
          <w:cols w:space="720"/>
          <w:docGrid w:linePitch="360"/>
        </w:sectPr>
      </w:pPr>
      <w:r w:rsidRPr="00A90E6A">
        <w:rPr>
          <w:rFonts w:ascii="Times New Roman" w:hAnsi="Times New Roman" w:cs="Times New Roman"/>
          <w:color w:val="000000" w:themeColor="text1"/>
          <w:sz w:val="26"/>
          <w:szCs w:val="26"/>
          <w:lang w:val="vi-VN"/>
        </w:rPr>
        <w:t xml:space="preserve">Trong giai đoạn 2023–2025, hoạt động huy động vốn của Ngân hàng TMCP Quân đội – Chi nhánh Đà Nẵng đạt được kết quả tích cực dù bối cảnh kinh tế còn nhiều biến động và cạnh tranh gay gắt. Chi nhánh đã chủ động đa dạng hóa sản phẩm tiền gửi, áp dụng mức lãi suất linh hoạt và đẩy mạnh ngân hàng số như </w:t>
      </w:r>
      <w:r w:rsidR="001D64A8" w:rsidRPr="00A90E6A">
        <w:rPr>
          <w:rFonts w:ascii="Times New Roman" w:hAnsi="Times New Roman" w:cs="Times New Roman"/>
          <w:color w:val="000000" w:themeColor="text1"/>
          <w:sz w:val="26"/>
          <w:szCs w:val="26"/>
          <w:lang w:val="vi-VN"/>
        </w:rPr>
        <w:t xml:space="preserve">App </w:t>
      </w:r>
      <w:r w:rsidRPr="00A90E6A">
        <w:rPr>
          <w:rFonts w:ascii="Times New Roman" w:hAnsi="Times New Roman" w:cs="Times New Roman"/>
          <w:color w:val="000000" w:themeColor="text1"/>
          <w:sz w:val="26"/>
          <w:szCs w:val="26"/>
          <w:lang w:val="vi-VN"/>
        </w:rPr>
        <w:t>MB, qua đó tạo thuận tiện cho khách hàng và gia tăng nguồn vốn huy động. Nhờ đó, tổng nguồn vốn huy động vẫn duy trì tăng trưởng ổn định, trong đó tiền gửi dân cư chiếm tỷ trọng lớn, góp phần khẳng định uy tín và hiệu quả hoạt động của chi nhánh. Kết quả cụ thể được thể hiện ở Bảng 2.1.</w:t>
      </w:r>
    </w:p>
    <w:p w14:paraId="166348C9" w14:textId="5E0E7D8E" w:rsidR="00CD01FA" w:rsidRPr="002B008A" w:rsidRDefault="00CD01FA" w:rsidP="00C73AA2">
      <w:pPr>
        <w:tabs>
          <w:tab w:val="left" w:pos="6210"/>
        </w:tabs>
        <w:spacing w:after="0" w:line="360" w:lineRule="auto"/>
        <w:ind w:firstLine="567"/>
        <w:jc w:val="both"/>
        <w:rPr>
          <w:rFonts w:ascii="Times New Roman" w:hAnsi="Times New Roman" w:cs="Times New Roman"/>
          <w:color w:val="000000" w:themeColor="text1"/>
          <w:sz w:val="26"/>
          <w:szCs w:val="26"/>
          <w:lang w:val="vi-VN"/>
        </w:rPr>
      </w:pPr>
    </w:p>
    <w:p w14:paraId="6C8BD4CC" w14:textId="4F92E044" w:rsidR="00C73AA2" w:rsidRPr="002B008A" w:rsidRDefault="00FB2636" w:rsidP="00401A6F">
      <w:pPr>
        <w:pStyle w:val="Caption"/>
        <w:jc w:val="center"/>
        <w:rPr>
          <w:rFonts w:ascii="Times New Roman" w:hAnsi="Times New Roman" w:cs="Times New Roman"/>
          <w:lang w:val="vi-VN"/>
        </w:rPr>
      </w:pPr>
      <w:bookmarkStart w:id="41" w:name="_Toc219057926"/>
      <w:bookmarkStart w:id="42" w:name="_Toc230367577"/>
      <w:r w:rsidRPr="002B008A">
        <w:rPr>
          <w:rFonts w:ascii="Times New Roman" w:hAnsi="Times New Roman" w:cs="Times New Roman"/>
          <w:b/>
          <w:bCs/>
          <w:i w:val="0"/>
          <w:iCs w:val="0"/>
          <w:color w:val="auto"/>
          <w:sz w:val="26"/>
          <w:szCs w:val="26"/>
          <w:lang w:val="vi-VN"/>
        </w:rPr>
        <w:t>Bảng 2.</w:t>
      </w:r>
      <w:r w:rsidRPr="002B008A">
        <w:rPr>
          <w:rFonts w:ascii="Times New Roman" w:hAnsi="Times New Roman" w:cs="Times New Roman"/>
          <w:b/>
          <w:bCs/>
          <w:i w:val="0"/>
          <w:iCs w:val="0"/>
          <w:color w:val="auto"/>
          <w:sz w:val="26"/>
          <w:szCs w:val="26"/>
        </w:rPr>
        <w:fldChar w:fldCharType="begin"/>
      </w:r>
      <w:r w:rsidRPr="002B008A">
        <w:rPr>
          <w:rFonts w:ascii="Times New Roman" w:hAnsi="Times New Roman" w:cs="Times New Roman"/>
          <w:b/>
          <w:bCs/>
          <w:i w:val="0"/>
          <w:iCs w:val="0"/>
          <w:color w:val="auto"/>
          <w:sz w:val="26"/>
          <w:szCs w:val="26"/>
          <w:lang w:val="vi-VN"/>
        </w:rPr>
        <w:instrText xml:space="preserve"> SEQ Bảng_2. \* ARABIC </w:instrText>
      </w:r>
      <w:r w:rsidRPr="002B008A">
        <w:rPr>
          <w:rFonts w:ascii="Times New Roman" w:hAnsi="Times New Roman" w:cs="Times New Roman"/>
          <w:b/>
          <w:bCs/>
          <w:i w:val="0"/>
          <w:iCs w:val="0"/>
          <w:color w:val="auto"/>
          <w:sz w:val="26"/>
          <w:szCs w:val="26"/>
        </w:rPr>
        <w:fldChar w:fldCharType="separate"/>
      </w:r>
      <w:r w:rsidR="002F2275">
        <w:rPr>
          <w:rFonts w:ascii="Times New Roman" w:hAnsi="Times New Roman" w:cs="Times New Roman"/>
          <w:b/>
          <w:bCs/>
          <w:i w:val="0"/>
          <w:iCs w:val="0"/>
          <w:noProof/>
          <w:color w:val="auto"/>
          <w:sz w:val="26"/>
          <w:szCs w:val="26"/>
          <w:lang w:val="vi-VN"/>
        </w:rPr>
        <w:t>1</w:t>
      </w:r>
      <w:r w:rsidRPr="002B008A">
        <w:rPr>
          <w:rFonts w:ascii="Times New Roman" w:hAnsi="Times New Roman" w:cs="Times New Roman"/>
          <w:b/>
          <w:bCs/>
          <w:i w:val="0"/>
          <w:iCs w:val="0"/>
          <w:color w:val="auto"/>
          <w:sz w:val="26"/>
          <w:szCs w:val="26"/>
        </w:rPr>
        <w:fldChar w:fldCharType="end"/>
      </w:r>
      <w:r w:rsidRPr="002B008A">
        <w:rPr>
          <w:rFonts w:ascii="Times New Roman" w:hAnsi="Times New Roman" w:cs="Times New Roman"/>
          <w:lang w:val="vi-VN"/>
        </w:rPr>
        <w:t xml:space="preserve"> </w:t>
      </w:r>
      <w:r w:rsidR="00C73AA2" w:rsidRPr="002B008A">
        <w:rPr>
          <w:rFonts w:ascii="Times New Roman" w:hAnsi="Times New Roman" w:cs="Times New Roman"/>
          <w:b/>
          <w:bCs/>
          <w:i w:val="0"/>
          <w:iCs w:val="0"/>
          <w:color w:val="auto"/>
          <w:sz w:val="26"/>
          <w:szCs w:val="26"/>
          <w:lang w:val="vi"/>
        </w:rPr>
        <w:t>Kết quả huy động vốn của Ngân hàng TMCP Quân đội – Chi nhánh Đà Nẵng (giai đoạn 2023 - 2025).</w:t>
      </w:r>
      <w:bookmarkEnd w:id="41"/>
      <w:bookmarkEnd w:id="42"/>
    </w:p>
    <w:p w14:paraId="4B6F89E0" w14:textId="77777777" w:rsidR="00C73AA2" w:rsidRPr="002B008A" w:rsidRDefault="00C73AA2" w:rsidP="00C73AA2">
      <w:pPr>
        <w:tabs>
          <w:tab w:val="left" w:pos="6210"/>
        </w:tabs>
        <w:spacing w:after="0" w:line="360" w:lineRule="auto"/>
        <w:ind w:firstLine="567"/>
        <w:jc w:val="right"/>
        <w:rPr>
          <w:rFonts w:ascii="Times New Roman" w:hAnsi="Times New Roman" w:cs="Times New Roman"/>
          <w:i/>
          <w:iCs/>
          <w:color w:val="000000" w:themeColor="text1"/>
          <w:sz w:val="26"/>
          <w:szCs w:val="26"/>
          <w:lang w:val="vi-VN"/>
        </w:rPr>
      </w:pPr>
      <w:r w:rsidRPr="002B008A">
        <w:rPr>
          <w:rFonts w:ascii="Times New Roman" w:eastAsia="Times New Roman" w:hAnsi="Times New Roman" w:cs="Times New Roman"/>
          <w:i/>
          <w:iCs/>
          <w:color w:val="000000"/>
          <w:kern w:val="0"/>
          <w:sz w:val="26"/>
          <w:szCs w:val="26"/>
          <w:lang w:val="vi-VN"/>
          <w14:ligatures w14:val="none"/>
        </w:rPr>
        <w:t>Đơn vị tính: Tỷ đồng</w:t>
      </w:r>
    </w:p>
    <w:tbl>
      <w:tblPr>
        <w:tblW w:w="5000" w:type="pct"/>
        <w:tblLook w:val="04A0" w:firstRow="1" w:lastRow="0" w:firstColumn="1" w:lastColumn="0" w:noHBand="0" w:noVBand="1"/>
      </w:tblPr>
      <w:tblGrid>
        <w:gridCol w:w="2789"/>
        <w:gridCol w:w="833"/>
        <w:gridCol w:w="1415"/>
        <w:gridCol w:w="833"/>
        <w:gridCol w:w="1415"/>
        <w:gridCol w:w="833"/>
        <w:gridCol w:w="1415"/>
        <w:gridCol w:w="1011"/>
        <w:gridCol w:w="1219"/>
        <w:gridCol w:w="970"/>
        <w:gridCol w:w="1260"/>
      </w:tblGrid>
      <w:tr w:rsidR="00C73AA2" w:rsidRPr="002B008A" w14:paraId="1CF1A4AC" w14:textId="77777777" w:rsidTr="00A5287F">
        <w:trPr>
          <w:trHeight w:val="340"/>
        </w:trPr>
        <w:tc>
          <w:tcPr>
            <w:tcW w:w="1139" w:type="pct"/>
            <w:vMerge w:val="restart"/>
            <w:tcBorders>
              <w:top w:val="single" w:sz="4" w:space="0" w:color="auto"/>
              <w:left w:val="single" w:sz="4" w:space="0" w:color="auto"/>
              <w:bottom w:val="single" w:sz="4" w:space="0" w:color="000000"/>
              <w:right w:val="single" w:sz="4" w:space="0" w:color="auto"/>
            </w:tcBorders>
            <w:shd w:val="clear" w:color="000000" w:fill="C0E6F5"/>
            <w:noWrap/>
            <w:vAlign w:val="center"/>
            <w:hideMark/>
          </w:tcPr>
          <w:p w14:paraId="11092248"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Chỉ tiêu</w:t>
            </w:r>
          </w:p>
        </w:tc>
        <w:tc>
          <w:tcPr>
            <w:tcW w:w="691"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2674D7B5"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2023</w:t>
            </w:r>
          </w:p>
        </w:tc>
        <w:tc>
          <w:tcPr>
            <w:tcW w:w="691"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6B841364"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2024</w:t>
            </w:r>
          </w:p>
        </w:tc>
        <w:tc>
          <w:tcPr>
            <w:tcW w:w="691"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44E8DEF6"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2025</w:t>
            </w:r>
          </w:p>
        </w:tc>
        <w:tc>
          <w:tcPr>
            <w:tcW w:w="895"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34BE521E"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Chênh lệch 2024/2023</w:t>
            </w:r>
          </w:p>
        </w:tc>
        <w:tc>
          <w:tcPr>
            <w:tcW w:w="895"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04611F12"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Chênh lệch 2025/2024</w:t>
            </w:r>
          </w:p>
        </w:tc>
      </w:tr>
      <w:tr w:rsidR="00C73AA2" w:rsidRPr="002B008A" w14:paraId="137A5CD5" w14:textId="77777777" w:rsidTr="00A5287F">
        <w:trPr>
          <w:trHeight w:val="340"/>
        </w:trPr>
        <w:tc>
          <w:tcPr>
            <w:tcW w:w="1139" w:type="pct"/>
            <w:vMerge/>
            <w:tcBorders>
              <w:top w:val="single" w:sz="4" w:space="0" w:color="auto"/>
              <w:left w:val="single" w:sz="4" w:space="0" w:color="auto"/>
              <w:bottom w:val="single" w:sz="4" w:space="0" w:color="000000"/>
              <w:right w:val="single" w:sz="4" w:space="0" w:color="auto"/>
            </w:tcBorders>
            <w:vAlign w:val="center"/>
            <w:hideMark/>
          </w:tcPr>
          <w:p w14:paraId="7D47179F" w14:textId="77777777" w:rsidR="00C73AA2" w:rsidRPr="004A0BB7" w:rsidRDefault="00C73AA2" w:rsidP="00C93E8D">
            <w:pPr>
              <w:spacing w:after="0" w:line="240" w:lineRule="auto"/>
              <w:rPr>
                <w:rFonts w:ascii="Times New Roman" w:eastAsia="Times New Roman" w:hAnsi="Times New Roman" w:cs="Times New Roman"/>
                <w:b/>
                <w:bCs/>
                <w:color w:val="000000"/>
                <w:kern w:val="0"/>
                <w:sz w:val="26"/>
                <w:szCs w:val="26"/>
                <w:lang w:eastAsia="zh-CN"/>
                <w14:ligatures w14:val="none"/>
              </w:rPr>
            </w:pPr>
          </w:p>
        </w:tc>
        <w:tc>
          <w:tcPr>
            <w:tcW w:w="331" w:type="pct"/>
            <w:tcBorders>
              <w:top w:val="nil"/>
              <w:left w:val="nil"/>
              <w:bottom w:val="single" w:sz="4" w:space="0" w:color="auto"/>
              <w:right w:val="single" w:sz="4" w:space="0" w:color="auto"/>
            </w:tcBorders>
            <w:shd w:val="clear" w:color="000000" w:fill="C0E6F5"/>
            <w:noWrap/>
            <w:vAlign w:val="center"/>
            <w:hideMark/>
          </w:tcPr>
          <w:p w14:paraId="2B62375C"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Số tiền</w:t>
            </w:r>
          </w:p>
        </w:tc>
        <w:tc>
          <w:tcPr>
            <w:tcW w:w="360" w:type="pct"/>
            <w:tcBorders>
              <w:top w:val="nil"/>
              <w:left w:val="nil"/>
              <w:bottom w:val="single" w:sz="4" w:space="0" w:color="auto"/>
              <w:right w:val="single" w:sz="4" w:space="0" w:color="auto"/>
            </w:tcBorders>
            <w:shd w:val="clear" w:color="000000" w:fill="C0E6F5"/>
            <w:noWrap/>
            <w:vAlign w:val="center"/>
            <w:hideMark/>
          </w:tcPr>
          <w:p w14:paraId="71F27CFD" w14:textId="58868854" w:rsidR="00C73AA2" w:rsidRPr="004A0BB7" w:rsidRDefault="005B626B"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Tỷ trọng (%)</w:t>
            </w:r>
          </w:p>
        </w:tc>
        <w:tc>
          <w:tcPr>
            <w:tcW w:w="331" w:type="pct"/>
            <w:tcBorders>
              <w:top w:val="nil"/>
              <w:left w:val="nil"/>
              <w:bottom w:val="single" w:sz="4" w:space="0" w:color="auto"/>
              <w:right w:val="single" w:sz="4" w:space="0" w:color="auto"/>
            </w:tcBorders>
            <w:shd w:val="clear" w:color="000000" w:fill="C0E6F5"/>
            <w:noWrap/>
            <w:vAlign w:val="center"/>
            <w:hideMark/>
          </w:tcPr>
          <w:p w14:paraId="7EB1FB6E"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Số tiền</w:t>
            </w:r>
          </w:p>
        </w:tc>
        <w:tc>
          <w:tcPr>
            <w:tcW w:w="360" w:type="pct"/>
            <w:tcBorders>
              <w:top w:val="nil"/>
              <w:left w:val="nil"/>
              <w:bottom w:val="single" w:sz="4" w:space="0" w:color="auto"/>
              <w:right w:val="single" w:sz="4" w:space="0" w:color="auto"/>
            </w:tcBorders>
            <w:shd w:val="clear" w:color="000000" w:fill="C0E6F5"/>
            <w:noWrap/>
            <w:vAlign w:val="center"/>
            <w:hideMark/>
          </w:tcPr>
          <w:p w14:paraId="0D079F2E" w14:textId="26B4137C" w:rsidR="00C73AA2" w:rsidRPr="004A0BB7" w:rsidRDefault="005B626B"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Tỷ trọng (%)</w:t>
            </w:r>
          </w:p>
        </w:tc>
        <w:tc>
          <w:tcPr>
            <w:tcW w:w="331" w:type="pct"/>
            <w:tcBorders>
              <w:top w:val="nil"/>
              <w:left w:val="nil"/>
              <w:bottom w:val="single" w:sz="4" w:space="0" w:color="auto"/>
              <w:right w:val="single" w:sz="4" w:space="0" w:color="auto"/>
            </w:tcBorders>
            <w:shd w:val="clear" w:color="000000" w:fill="C0E6F5"/>
            <w:noWrap/>
            <w:vAlign w:val="center"/>
            <w:hideMark/>
          </w:tcPr>
          <w:p w14:paraId="787250B2"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Số tiền</w:t>
            </w:r>
          </w:p>
        </w:tc>
        <w:tc>
          <w:tcPr>
            <w:tcW w:w="360" w:type="pct"/>
            <w:tcBorders>
              <w:top w:val="nil"/>
              <w:left w:val="nil"/>
              <w:bottom w:val="single" w:sz="4" w:space="0" w:color="auto"/>
              <w:right w:val="single" w:sz="4" w:space="0" w:color="auto"/>
            </w:tcBorders>
            <w:shd w:val="clear" w:color="000000" w:fill="C0E6F5"/>
            <w:noWrap/>
            <w:vAlign w:val="center"/>
            <w:hideMark/>
          </w:tcPr>
          <w:p w14:paraId="548EA437" w14:textId="6DAAE47F" w:rsidR="00C73AA2" w:rsidRPr="004A0BB7" w:rsidRDefault="005B626B"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Tỷ trọng (%)</w:t>
            </w:r>
          </w:p>
        </w:tc>
        <w:tc>
          <w:tcPr>
            <w:tcW w:w="404" w:type="pct"/>
            <w:tcBorders>
              <w:top w:val="nil"/>
              <w:left w:val="nil"/>
              <w:bottom w:val="single" w:sz="4" w:space="0" w:color="auto"/>
              <w:right w:val="single" w:sz="4" w:space="0" w:color="auto"/>
            </w:tcBorders>
            <w:shd w:val="clear" w:color="000000" w:fill="C0E6F5"/>
            <w:noWrap/>
            <w:vAlign w:val="center"/>
            <w:hideMark/>
          </w:tcPr>
          <w:p w14:paraId="7F3EAD04"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Số tiền</w:t>
            </w:r>
          </w:p>
        </w:tc>
        <w:tc>
          <w:tcPr>
            <w:tcW w:w="491" w:type="pct"/>
            <w:tcBorders>
              <w:top w:val="nil"/>
              <w:left w:val="nil"/>
              <w:bottom w:val="single" w:sz="4" w:space="0" w:color="auto"/>
              <w:right w:val="single" w:sz="4" w:space="0" w:color="auto"/>
            </w:tcBorders>
            <w:shd w:val="clear" w:color="000000" w:fill="C0E6F5"/>
            <w:noWrap/>
            <w:vAlign w:val="center"/>
            <w:hideMark/>
          </w:tcPr>
          <w:p w14:paraId="228066E5"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Tỷ lệ (%)</w:t>
            </w:r>
          </w:p>
        </w:tc>
        <w:tc>
          <w:tcPr>
            <w:tcW w:w="387" w:type="pct"/>
            <w:tcBorders>
              <w:top w:val="nil"/>
              <w:left w:val="nil"/>
              <w:bottom w:val="single" w:sz="4" w:space="0" w:color="auto"/>
              <w:right w:val="single" w:sz="4" w:space="0" w:color="auto"/>
            </w:tcBorders>
            <w:shd w:val="clear" w:color="000000" w:fill="C0E6F5"/>
            <w:noWrap/>
            <w:vAlign w:val="center"/>
            <w:hideMark/>
          </w:tcPr>
          <w:p w14:paraId="32F81D29"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Số tiền</w:t>
            </w:r>
          </w:p>
        </w:tc>
        <w:tc>
          <w:tcPr>
            <w:tcW w:w="507" w:type="pct"/>
            <w:tcBorders>
              <w:top w:val="nil"/>
              <w:left w:val="nil"/>
              <w:bottom w:val="single" w:sz="4" w:space="0" w:color="auto"/>
              <w:right w:val="single" w:sz="4" w:space="0" w:color="auto"/>
            </w:tcBorders>
            <w:shd w:val="clear" w:color="000000" w:fill="C0E6F5"/>
            <w:noWrap/>
            <w:vAlign w:val="center"/>
            <w:hideMark/>
          </w:tcPr>
          <w:p w14:paraId="738369AF" w14:textId="77777777" w:rsidR="00C73AA2" w:rsidRPr="004A0BB7" w:rsidRDefault="00C73AA2" w:rsidP="00C93E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4A0BB7">
              <w:rPr>
                <w:rFonts w:ascii="Times New Roman" w:eastAsia="Times New Roman" w:hAnsi="Times New Roman" w:cs="Times New Roman"/>
                <w:b/>
                <w:bCs/>
                <w:color w:val="000000"/>
                <w:kern w:val="0"/>
                <w:sz w:val="26"/>
                <w:szCs w:val="26"/>
                <w:lang w:eastAsia="zh-CN"/>
                <w14:ligatures w14:val="none"/>
              </w:rPr>
              <w:t>Tỷ lệ (%)</w:t>
            </w:r>
          </w:p>
        </w:tc>
      </w:tr>
      <w:tr w:rsidR="00A5287F" w:rsidRPr="002B008A" w14:paraId="38CD02F2" w14:textId="77777777" w:rsidTr="00A5287F">
        <w:trPr>
          <w:trHeight w:val="340"/>
        </w:trPr>
        <w:tc>
          <w:tcPr>
            <w:tcW w:w="1139" w:type="pct"/>
            <w:tcBorders>
              <w:top w:val="nil"/>
              <w:left w:val="single" w:sz="4" w:space="0" w:color="auto"/>
              <w:bottom w:val="single" w:sz="4" w:space="0" w:color="auto"/>
              <w:right w:val="single" w:sz="4" w:space="0" w:color="auto"/>
            </w:tcBorders>
            <w:noWrap/>
            <w:vAlign w:val="center"/>
          </w:tcPr>
          <w:p w14:paraId="58480D67" w14:textId="2FCDF255" w:rsidR="00A5287F" w:rsidRPr="002B008A" w:rsidRDefault="00A5287F" w:rsidP="00A5287F">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i/>
                <w:iCs/>
                <w:color w:val="000000"/>
                <w:kern w:val="0"/>
                <w:sz w:val="26"/>
                <w:szCs w:val="26"/>
                <w:lang w:eastAsia="zh-CN"/>
                <w14:ligatures w14:val="none"/>
              </w:rPr>
              <w:t xml:space="preserve">Phân theo kỳ hạn huy động </w:t>
            </w:r>
          </w:p>
        </w:tc>
        <w:tc>
          <w:tcPr>
            <w:tcW w:w="331" w:type="pct"/>
            <w:tcBorders>
              <w:top w:val="nil"/>
              <w:left w:val="nil"/>
              <w:bottom w:val="single" w:sz="4" w:space="0" w:color="auto"/>
              <w:right w:val="single" w:sz="4" w:space="0" w:color="auto"/>
            </w:tcBorders>
            <w:noWrap/>
            <w:vAlign w:val="center"/>
          </w:tcPr>
          <w:p w14:paraId="5F3700D5" w14:textId="22D5F743" w:rsidR="00A5287F" w:rsidRPr="002B008A" w:rsidRDefault="00A5287F" w:rsidP="00A5287F">
            <w:pPr>
              <w:spacing w:after="0" w:line="240" w:lineRule="auto"/>
              <w:ind w:left="-112"/>
              <w:jc w:val="right"/>
              <w:rPr>
                <w:rFonts w:ascii="Times New Roman" w:eastAsia="Times New Roman" w:hAnsi="Times New Roman" w:cs="Times New Roman"/>
                <w:b/>
                <w:bCs/>
                <w:color w:val="000000"/>
                <w:kern w:val="0"/>
                <w:sz w:val="26"/>
                <w:szCs w:val="26"/>
                <w:lang w:eastAsia="zh-CN"/>
                <w14:ligatures w14:val="none"/>
              </w:rPr>
            </w:pPr>
          </w:p>
        </w:tc>
        <w:tc>
          <w:tcPr>
            <w:tcW w:w="360" w:type="pct"/>
            <w:tcBorders>
              <w:top w:val="nil"/>
              <w:left w:val="nil"/>
              <w:bottom w:val="single" w:sz="4" w:space="0" w:color="auto"/>
              <w:right w:val="single" w:sz="4" w:space="0" w:color="auto"/>
            </w:tcBorders>
            <w:noWrap/>
            <w:vAlign w:val="center"/>
          </w:tcPr>
          <w:p w14:paraId="5C27D21B" w14:textId="2D47495B"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31" w:type="pct"/>
            <w:tcBorders>
              <w:top w:val="nil"/>
              <w:left w:val="nil"/>
              <w:bottom w:val="single" w:sz="4" w:space="0" w:color="auto"/>
              <w:right w:val="single" w:sz="4" w:space="0" w:color="auto"/>
            </w:tcBorders>
            <w:noWrap/>
            <w:vAlign w:val="center"/>
          </w:tcPr>
          <w:p w14:paraId="7EB430C5" w14:textId="2ACD9E86"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60" w:type="pct"/>
            <w:tcBorders>
              <w:top w:val="nil"/>
              <w:left w:val="nil"/>
              <w:bottom w:val="single" w:sz="4" w:space="0" w:color="auto"/>
              <w:right w:val="single" w:sz="4" w:space="0" w:color="auto"/>
            </w:tcBorders>
            <w:noWrap/>
            <w:vAlign w:val="center"/>
          </w:tcPr>
          <w:p w14:paraId="61BFE309" w14:textId="1988A925"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31" w:type="pct"/>
            <w:tcBorders>
              <w:top w:val="nil"/>
              <w:left w:val="nil"/>
              <w:bottom w:val="single" w:sz="4" w:space="0" w:color="auto"/>
              <w:right w:val="single" w:sz="4" w:space="0" w:color="auto"/>
            </w:tcBorders>
            <w:noWrap/>
            <w:vAlign w:val="center"/>
          </w:tcPr>
          <w:p w14:paraId="1975B8A6" w14:textId="2D2FB03C"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60" w:type="pct"/>
            <w:tcBorders>
              <w:top w:val="nil"/>
              <w:left w:val="nil"/>
              <w:bottom w:val="single" w:sz="4" w:space="0" w:color="auto"/>
              <w:right w:val="single" w:sz="4" w:space="0" w:color="auto"/>
            </w:tcBorders>
            <w:noWrap/>
            <w:vAlign w:val="center"/>
          </w:tcPr>
          <w:p w14:paraId="54396CC1" w14:textId="2D5EE97A"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404" w:type="pct"/>
            <w:tcBorders>
              <w:top w:val="nil"/>
              <w:left w:val="nil"/>
              <w:bottom w:val="single" w:sz="4" w:space="0" w:color="auto"/>
              <w:right w:val="single" w:sz="4" w:space="0" w:color="auto"/>
            </w:tcBorders>
            <w:noWrap/>
            <w:vAlign w:val="center"/>
          </w:tcPr>
          <w:p w14:paraId="3A0E07A6" w14:textId="68054618"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491" w:type="pct"/>
            <w:tcBorders>
              <w:top w:val="nil"/>
              <w:left w:val="nil"/>
              <w:bottom w:val="single" w:sz="4" w:space="0" w:color="auto"/>
              <w:right w:val="single" w:sz="4" w:space="0" w:color="auto"/>
            </w:tcBorders>
            <w:noWrap/>
            <w:vAlign w:val="center"/>
          </w:tcPr>
          <w:p w14:paraId="4748357C" w14:textId="28AF4C0D"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87" w:type="pct"/>
            <w:tcBorders>
              <w:top w:val="nil"/>
              <w:left w:val="nil"/>
              <w:bottom w:val="single" w:sz="4" w:space="0" w:color="auto"/>
              <w:right w:val="single" w:sz="4" w:space="0" w:color="auto"/>
            </w:tcBorders>
            <w:noWrap/>
            <w:vAlign w:val="center"/>
          </w:tcPr>
          <w:p w14:paraId="3838A925" w14:textId="76049404"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507" w:type="pct"/>
            <w:tcBorders>
              <w:top w:val="nil"/>
              <w:left w:val="nil"/>
              <w:bottom w:val="single" w:sz="4" w:space="0" w:color="auto"/>
              <w:right w:val="single" w:sz="4" w:space="0" w:color="auto"/>
            </w:tcBorders>
            <w:noWrap/>
            <w:vAlign w:val="center"/>
          </w:tcPr>
          <w:p w14:paraId="70BDB4C6" w14:textId="28984E67"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r>
      <w:tr w:rsidR="00A5287F" w:rsidRPr="002B008A" w14:paraId="4FE4C34C" w14:textId="77777777" w:rsidTr="00A5287F">
        <w:trPr>
          <w:trHeight w:val="340"/>
        </w:trPr>
        <w:tc>
          <w:tcPr>
            <w:tcW w:w="1139" w:type="pct"/>
            <w:tcBorders>
              <w:top w:val="nil"/>
              <w:left w:val="single" w:sz="4" w:space="0" w:color="auto"/>
              <w:bottom w:val="single" w:sz="4" w:space="0" w:color="auto"/>
              <w:right w:val="single" w:sz="4" w:space="0" w:color="auto"/>
            </w:tcBorders>
            <w:noWrap/>
            <w:vAlign w:val="center"/>
          </w:tcPr>
          <w:p w14:paraId="2BF6D0DC" w14:textId="09828E38" w:rsidR="00A5287F" w:rsidRPr="002B008A" w:rsidRDefault="00A5287F" w:rsidP="00A5287F">
            <w:pPr>
              <w:spacing w:after="0" w:line="240" w:lineRule="auto"/>
              <w:rPr>
                <w:rFonts w:ascii="Times New Roman" w:eastAsia="Times New Roman" w:hAnsi="Times New Roman" w:cs="Times New Roman"/>
                <w:i/>
                <w:i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 xml:space="preserve">Tổng vốn huy động </w:t>
            </w:r>
          </w:p>
        </w:tc>
        <w:tc>
          <w:tcPr>
            <w:tcW w:w="331" w:type="pct"/>
            <w:tcBorders>
              <w:top w:val="nil"/>
              <w:left w:val="nil"/>
              <w:bottom w:val="single" w:sz="4" w:space="0" w:color="auto"/>
              <w:right w:val="single" w:sz="4" w:space="0" w:color="auto"/>
            </w:tcBorders>
            <w:noWrap/>
            <w:vAlign w:val="center"/>
          </w:tcPr>
          <w:p w14:paraId="36B764AF" w14:textId="7096AE91" w:rsidR="00A5287F" w:rsidRPr="002B008A" w:rsidRDefault="00A5287F" w:rsidP="00A5287F">
            <w:pPr>
              <w:spacing w:after="0" w:line="240" w:lineRule="auto"/>
              <w:ind w:left="-112"/>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2.930</w:t>
            </w:r>
          </w:p>
        </w:tc>
        <w:tc>
          <w:tcPr>
            <w:tcW w:w="360" w:type="pct"/>
            <w:tcBorders>
              <w:top w:val="nil"/>
              <w:left w:val="nil"/>
              <w:bottom w:val="single" w:sz="4" w:space="0" w:color="auto"/>
              <w:right w:val="single" w:sz="4" w:space="0" w:color="auto"/>
            </w:tcBorders>
            <w:noWrap/>
            <w:vAlign w:val="center"/>
          </w:tcPr>
          <w:p w14:paraId="349E6278" w14:textId="5FB3E1AB"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331" w:type="pct"/>
            <w:tcBorders>
              <w:top w:val="nil"/>
              <w:left w:val="nil"/>
              <w:bottom w:val="single" w:sz="4" w:space="0" w:color="auto"/>
              <w:right w:val="single" w:sz="4" w:space="0" w:color="auto"/>
            </w:tcBorders>
            <w:noWrap/>
            <w:vAlign w:val="center"/>
          </w:tcPr>
          <w:p w14:paraId="3B3467B7" w14:textId="12E533AB"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3.355</w:t>
            </w:r>
          </w:p>
        </w:tc>
        <w:tc>
          <w:tcPr>
            <w:tcW w:w="360" w:type="pct"/>
            <w:tcBorders>
              <w:top w:val="nil"/>
              <w:left w:val="nil"/>
              <w:bottom w:val="single" w:sz="4" w:space="0" w:color="auto"/>
              <w:right w:val="single" w:sz="4" w:space="0" w:color="auto"/>
            </w:tcBorders>
            <w:noWrap/>
            <w:vAlign w:val="center"/>
          </w:tcPr>
          <w:p w14:paraId="647BB451" w14:textId="7DFBD2BA"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331" w:type="pct"/>
            <w:tcBorders>
              <w:top w:val="nil"/>
              <w:left w:val="nil"/>
              <w:bottom w:val="single" w:sz="4" w:space="0" w:color="auto"/>
              <w:right w:val="single" w:sz="4" w:space="0" w:color="auto"/>
            </w:tcBorders>
            <w:noWrap/>
            <w:vAlign w:val="center"/>
          </w:tcPr>
          <w:p w14:paraId="78C16349" w14:textId="40D01ED5"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3.825</w:t>
            </w:r>
          </w:p>
        </w:tc>
        <w:tc>
          <w:tcPr>
            <w:tcW w:w="360" w:type="pct"/>
            <w:tcBorders>
              <w:top w:val="nil"/>
              <w:left w:val="nil"/>
              <w:bottom w:val="single" w:sz="4" w:space="0" w:color="auto"/>
              <w:right w:val="single" w:sz="4" w:space="0" w:color="auto"/>
            </w:tcBorders>
            <w:noWrap/>
            <w:vAlign w:val="center"/>
          </w:tcPr>
          <w:p w14:paraId="2E0ADBE2" w14:textId="0B3BB590"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404" w:type="pct"/>
            <w:tcBorders>
              <w:top w:val="nil"/>
              <w:left w:val="nil"/>
              <w:bottom w:val="single" w:sz="4" w:space="0" w:color="auto"/>
              <w:right w:val="single" w:sz="4" w:space="0" w:color="auto"/>
            </w:tcBorders>
            <w:noWrap/>
            <w:vAlign w:val="center"/>
          </w:tcPr>
          <w:p w14:paraId="71A24A62" w14:textId="0CB1032C"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425</w:t>
            </w:r>
          </w:p>
        </w:tc>
        <w:tc>
          <w:tcPr>
            <w:tcW w:w="491" w:type="pct"/>
            <w:tcBorders>
              <w:top w:val="nil"/>
              <w:left w:val="nil"/>
              <w:bottom w:val="single" w:sz="4" w:space="0" w:color="auto"/>
              <w:right w:val="single" w:sz="4" w:space="0" w:color="auto"/>
            </w:tcBorders>
            <w:noWrap/>
            <w:vAlign w:val="center"/>
          </w:tcPr>
          <w:p w14:paraId="7A0C9745" w14:textId="7DD368C0"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14,51</w:t>
            </w:r>
          </w:p>
        </w:tc>
        <w:tc>
          <w:tcPr>
            <w:tcW w:w="387" w:type="pct"/>
            <w:tcBorders>
              <w:top w:val="nil"/>
              <w:left w:val="nil"/>
              <w:bottom w:val="single" w:sz="4" w:space="0" w:color="auto"/>
              <w:right w:val="single" w:sz="4" w:space="0" w:color="auto"/>
            </w:tcBorders>
            <w:noWrap/>
            <w:vAlign w:val="center"/>
          </w:tcPr>
          <w:p w14:paraId="50143411" w14:textId="32668FAD"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470</w:t>
            </w:r>
          </w:p>
        </w:tc>
        <w:tc>
          <w:tcPr>
            <w:tcW w:w="507" w:type="pct"/>
            <w:tcBorders>
              <w:top w:val="nil"/>
              <w:left w:val="nil"/>
              <w:bottom w:val="single" w:sz="4" w:space="0" w:color="auto"/>
              <w:right w:val="single" w:sz="4" w:space="0" w:color="auto"/>
            </w:tcBorders>
            <w:noWrap/>
            <w:vAlign w:val="center"/>
          </w:tcPr>
          <w:p w14:paraId="321E4FB6" w14:textId="23A2B87D"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14,01</w:t>
            </w:r>
          </w:p>
        </w:tc>
      </w:tr>
      <w:tr w:rsidR="00A5287F" w:rsidRPr="002B008A" w14:paraId="0CBDAAD4" w14:textId="77777777" w:rsidTr="00A5287F">
        <w:trPr>
          <w:trHeight w:val="227"/>
        </w:trPr>
        <w:tc>
          <w:tcPr>
            <w:tcW w:w="1139" w:type="pct"/>
            <w:tcBorders>
              <w:top w:val="nil"/>
              <w:left w:val="single" w:sz="4" w:space="0" w:color="auto"/>
              <w:bottom w:val="single" w:sz="4" w:space="0" w:color="auto"/>
              <w:right w:val="single" w:sz="4" w:space="0" w:color="auto"/>
            </w:tcBorders>
            <w:noWrap/>
            <w:vAlign w:val="center"/>
            <w:hideMark/>
          </w:tcPr>
          <w:p w14:paraId="16250DB5" w14:textId="77777777" w:rsidR="00A5287F" w:rsidRPr="002B008A" w:rsidRDefault="00A5287F" w:rsidP="00A5287F">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Không kỳ hạn</w:t>
            </w:r>
          </w:p>
        </w:tc>
        <w:tc>
          <w:tcPr>
            <w:tcW w:w="331" w:type="pct"/>
            <w:tcBorders>
              <w:top w:val="nil"/>
              <w:left w:val="nil"/>
              <w:bottom w:val="single" w:sz="4" w:space="0" w:color="auto"/>
              <w:right w:val="single" w:sz="4" w:space="0" w:color="auto"/>
            </w:tcBorders>
            <w:noWrap/>
            <w:vAlign w:val="center"/>
            <w:hideMark/>
          </w:tcPr>
          <w:p w14:paraId="268B9D17"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651</w:t>
            </w:r>
          </w:p>
        </w:tc>
        <w:tc>
          <w:tcPr>
            <w:tcW w:w="360" w:type="pct"/>
            <w:tcBorders>
              <w:top w:val="nil"/>
              <w:left w:val="nil"/>
              <w:bottom w:val="single" w:sz="4" w:space="0" w:color="auto"/>
              <w:right w:val="single" w:sz="4" w:space="0" w:color="auto"/>
            </w:tcBorders>
            <w:noWrap/>
            <w:vAlign w:val="center"/>
            <w:hideMark/>
          </w:tcPr>
          <w:p w14:paraId="55164802"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22,22</w:t>
            </w:r>
          </w:p>
        </w:tc>
        <w:tc>
          <w:tcPr>
            <w:tcW w:w="331" w:type="pct"/>
            <w:tcBorders>
              <w:top w:val="nil"/>
              <w:left w:val="nil"/>
              <w:bottom w:val="single" w:sz="4" w:space="0" w:color="auto"/>
              <w:right w:val="single" w:sz="4" w:space="0" w:color="auto"/>
            </w:tcBorders>
            <w:noWrap/>
            <w:vAlign w:val="center"/>
            <w:hideMark/>
          </w:tcPr>
          <w:p w14:paraId="52D54799"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677</w:t>
            </w:r>
          </w:p>
        </w:tc>
        <w:tc>
          <w:tcPr>
            <w:tcW w:w="360" w:type="pct"/>
            <w:tcBorders>
              <w:top w:val="nil"/>
              <w:left w:val="nil"/>
              <w:bottom w:val="single" w:sz="4" w:space="0" w:color="auto"/>
              <w:right w:val="single" w:sz="4" w:space="0" w:color="auto"/>
            </w:tcBorders>
            <w:noWrap/>
            <w:vAlign w:val="center"/>
            <w:hideMark/>
          </w:tcPr>
          <w:p w14:paraId="5B288E60" w14:textId="77777777" w:rsidR="00A5287F" w:rsidRPr="002B008A" w:rsidRDefault="00A5287F" w:rsidP="00A5287F">
            <w:pPr>
              <w:spacing w:after="0" w:line="240" w:lineRule="auto"/>
              <w:ind w:left="-114"/>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20,18</w:t>
            </w:r>
          </w:p>
        </w:tc>
        <w:tc>
          <w:tcPr>
            <w:tcW w:w="331" w:type="pct"/>
            <w:tcBorders>
              <w:top w:val="nil"/>
              <w:left w:val="nil"/>
              <w:bottom w:val="single" w:sz="4" w:space="0" w:color="auto"/>
              <w:right w:val="single" w:sz="4" w:space="0" w:color="auto"/>
            </w:tcBorders>
            <w:noWrap/>
            <w:vAlign w:val="center"/>
            <w:hideMark/>
          </w:tcPr>
          <w:p w14:paraId="3DEAD1E4"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745</w:t>
            </w:r>
          </w:p>
        </w:tc>
        <w:tc>
          <w:tcPr>
            <w:tcW w:w="360" w:type="pct"/>
            <w:tcBorders>
              <w:top w:val="nil"/>
              <w:left w:val="nil"/>
              <w:bottom w:val="single" w:sz="4" w:space="0" w:color="auto"/>
              <w:right w:val="single" w:sz="4" w:space="0" w:color="auto"/>
            </w:tcBorders>
            <w:noWrap/>
            <w:vAlign w:val="center"/>
            <w:hideMark/>
          </w:tcPr>
          <w:p w14:paraId="7482E992"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19,48</w:t>
            </w:r>
          </w:p>
        </w:tc>
        <w:tc>
          <w:tcPr>
            <w:tcW w:w="404" w:type="pct"/>
            <w:tcBorders>
              <w:top w:val="nil"/>
              <w:left w:val="nil"/>
              <w:bottom w:val="single" w:sz="4" w:space="0" w:color="auto"/>
              <w:right w:val="single" w:sz="4" w:space="0" w:color="auto"/>
            </w:tcBorders>
            <w:noWrap/>
            <w:vAlign w:val="center"/>
            <w:hideMark/>
          </w:tcPr>
          <w:p w14:paraId="5D478CC2"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26</w:t>
            </w:r>
          </w:p>
        </w:tc>
        <w:tc>
          <w:tcPr>
            <w:tcW w:w="491" w:type="pct"/>
            <w:tcBorders>
              <w:top w:val="nil"/>
              <w:left w:val="nil"/>
              <w:bottom w:val="single" w:sz="4" w:space="0" w:color="auto"/>
              <w:right w:val="single" w:sz="4" w:space="0" w:color="auto"/>
            </w:tcBorders>
            <w:noWrap/>
            <w:vAlign w:val="center"/>
            <w:hideMark/>
          </w:tcPr>
          <w:p w14:paraId="1CEFDF19"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3,99</w:t>
            </w:r>
          </w:p>
        </w:tc>
        <w:tc>
          <w:tcPr>
            <w:tcW w:w="387" w:type="pct"/>
            <w:tcBorders>
              <w:top w:val="nil"/>
              <w:left w:val="nil"/>
              <w:bottom w:val="single" w:sz="4" w:space="0" w:color="auto"/>
              <w:right w:val="single" w:sz="4" w:space="0" w:color="auto"/>
            </w:tcBorders>
            <w:noWrap/>
            <w:vAlign w:val="center"/>
            <w:hideMark/>
          </w:tcPr>
          <w:p w14:paraId="394E75C9"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68</w:t>
            </w:r>
          </w:p>
        </w:tc>
        <w:tc>
          <w:tcPr>
            <w:tcW w:w="507" w:type="pct"/>
            <w:tcBorders>
              <w:top w:val="nil"/>
              <w:left w:val="nil"/>
              <w:bottom w:val="single" w:sz="4" w:space="0" w:color="auto"/>
              <w:right w:val="single" w:sz="4" w:space="0" w:color="auto"/>
            </w:tcBorders>
            <w:noWrap/>
            <w:vAlign w:val="center"/>
            <w:hideMark/>
          </w:tcPr>
          <w:p w14:paraId="1209603C"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10,04</w:t>
            </w:r>
          </w:p>
        </w:tc>
      </w:tr>
      <w:tr w:rsidR="00A5287F" w:rsidRPr="002B008A" w14:paraId="766B2EF0" w14:textId="77777777" w:rsidTr="00A5287F">
        <w:trPr>
          <w:trHeight w:val="227"/>
        </w:trPr>
        <w:tc>
          <w:tcPr>
            <w:tcW w:w="1139" w:type="pct"/>
            <w:tcBorders>
              <w:top w:val="nil"/>
              <w:left w:val="single" w:sz="4" w:space="0" w:color="auto"/>
              <w:bottom w:val="single" w:sz="4" w:space="0" w:color="auto"/>
              <w:right w:val="single" w:sz="4" w:space="0" w:color="auto"/>
            </w:tcBorders>
            <w:noWrap/>
            <w:vAlign w:val="center"/>
            <w:hideMark/>
          </w:tcPr>
          <w:p w14:paraId="634F3000" w14:textId="77777777" w:rsidR="00A5287F" w:rsidRPr="002B008A" w:rsidRDefault="00A5287F" w:rsidP="00A5287F">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Có kỳ hạn ≤ 12 tháng</w:t>
            </w:r>
          </w:p>
        </w:tc>
        <w:tc>
          <w:tcPr>
            <w:tcW w:w="331" w:type="pct"/>
            <w:tcBorders>
              <w:top w:val="nil"/>
              <w:left w:val="nil"/>
              <w:bottom w:val="single" w:sz="4" w:space="0" w:color="auto"/>
              <w:right w:val="single" w:sz="4" w:space="0" w:color="auto"/>
            </w:tcBorders>
            <w:noWrap/>
            <w:vAlign w:val="center"/>
            <w:hideMark/>
          </w:tcPr>
          <w:p w14:paraId="6FF1578C"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1.427</w:t>
            </w:r>
          </w:p>
        </w:tc>
        <w:tc>
          <w:tcPr>
            <w:tcW w:w="360" w:type="pct"/>
            <w:tcBorders>
              <w:top w:val="nil"/>
              <w:left w:val="nil"/>
              <w:bottom w:val="single" w:sz="4" w:space="0" w:color="auto"/>
              <w:right w:val="single" w:sz="4" w:space="0" w:color="auto"/>
            </w:tcBorders>
            <w:noWrap/>
            <w:vAlign w:val="center"/>
            <w:hideMark/>
          </w:tcPr>
          <w:p w14:paraId="18B8971D"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48,70</w:t>
            </w:r>
          </w:p>
        </w:tc>
        <w:tc>
          <w:tcPr>
            <w:tcW w:w="331" w:type="pct"/>
            <w:tcBorders>
              <w:top w:val="nil"/>
              <w:left w:val="nil"/>
              <w:bottom w:val="single" w:sz="4" w:space="0" w:color="auto"/>
              <w:right w:val="single" w:sz="4" w:space="0" w:color="auto"/>
            </w:tcBorders>
            <w:noWrap/>
            <w:vAlign w:val="center"/>
            <w:hideMark/>
          </w:tcPr>
          <w:p w14:paraId="7C89F3BF" w14:textId="493EDB4C" w:rsidR="00A5287F" w:rsidRPr="002B008A" w:rsidRDefault="00A5287F" w:rsidP="00A5287F">
            <w:pPr>
              <w:spacing w:after="0" w:line="240" w:lineRule="auto"/>
              <w:ind w:left="-208"/>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1.77</w:t>
            </w:r>
            <w:r w:rsidRPr="002B008A">
              <w:rPr>
                <w:rFonts w:ascii="Times New Roman" w:eastAsia="Times New Roman" w:hAnsi="Times New Roman" w:cs="Times New Roman"/>
                <w:color w:val="000000"/>
                <w:kern w:val="0"/>
                <w:sz w:val="26"/>
                <w:szCs w:val="26"/>
                <w:lang w:val="vi-VN" w:eastAsia="zh-CN"/>
                <w14:ligatures w14:val="none"/>
              </w:rPr>
              <w:t>3</w:t>
            </w:r>
          </w:p>
        </w:tc>
        <w:tc>
          <w:tcPr>
            <w:tcW w:w="360" w:type="pct"/>
            <w:tcBorders>
              <w:top w:val="nil"/>
              <w:left w:val="nil"/>
              <w:bottom w:val="single" w:sz="4" w:space="0" w:color="auto"/>
              <w:right w:val="single" w:sz="4" w:space="0" w:color="auto"/>
            </w:tcBorders>
            <w:noWrap/>
            <w:vAlign w:val="center"/>
            <w:hideMark/>
          </w:tcPr>
          <w:p w14:paraId="5358D9C7" w14:textId="77777777" w:rsidR="00A5287F" w:rsidRPr="002B008A" w:rsidRDefault="00A5287F" w:rsidP="00A5287F">
            <w:pPr>
              <w:spacing w:after="0" w:line="240" w:lineRule="auto"/>
              <w:ind w:left="-114"/>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52,79</w:t>
            </w:r>
          </w:p>
        </w:tc>
        <w:tc>
          <w:tcPr>
            <w:tcW w:w="331" w:type="pct"/>
            <w:tcBorders>
              <w:top w:val="nil"/>
              <w:left w:val="nil"/>
              <w:bottom w:val="single" w:sz="4" w:space="0" w:color="auto"/>
              <w:right w:val="single" w:sz="4" w:space="0" w:color="auto"/>
            </w:tcBorders>
            <w:noWrap/>
            <w:vAlign w:val="center"/>
            <w:hideMark/>
          </w:tcPr>
          <w:p w14:paraId="12A776A5"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2.060</w:t>
            </w:r>
          </w:p>
        </w:tc>
        <w:tc>
          <w:tcPr>
            <w:tcW w:w="360" w:type="pct"/>
            <w:tcBorders>
              <w:top w:val="nil"/>
              <w:left w:val="nil"/>
              <w:bottom w:val="single" w:sz="4" w:space="0" w:color="auto"/>
              <w:right w:val="single" w:sz="4" w:space="0" w:color="auto"/>
            </w:tcBorders>
            <w:noWrap/>
            <w:vAlign w:val="center"/>
            <w:hideMark/>
          </w:tcPr>
          <w:p w14:paraId="3D7F5921"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53,86</w:t>
            </w:r>
          </w:p>
        </w:tc>
        <w:tc>
          <w:tcPr>
            <w:tcW w:w="404" w:type="pct"/>
            <w:tcBorders>
              <w:top w:val="nil"/>
              <w:left w:val="nil"/>
              <w:bottom w:val="single" w:sz="4" w:space="0" w:color="auto"/>
              <w:right w:val="single" w:sz="4" w:space="0" w:color="auto"/>
            </w:tcBorders>
            <w:noWrap/>
            <w:vAlign w:val="center"/>
            <w:hideMark/>
          </w:tcPr>
          <w:p w14:paraId="598B21E0"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344</w:t>
            </w:r>
          </w:p>
        </w:tc>
        <w:tc>
          <w:tcPr>
            <w:tcW w:w="491" w:type="pct"/>
            <w:tcBorders>
              <w:top w:val="nil"/>
              <w:left w:val="nil"/>
              <w:bottom w:val="single" w:sz="4" w:space="0" w:color="auto"/>
              <w:right w:val="single" w:sz="4" w:space="0" w:color="auto"/>
            </w:tcBorders>
            <w:noWrap/>
            <w:vAlign w:val="center"/>
            <w:hideMark/>
          </w:tcPr>
          <w:p w14:paraId="499F74E0"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24,11</w:t>
            </w:r>
          </w:p>
        </w:tc>
        <w:tc>
          <w:tcPr>
            <w:tcW w:w="387" w:type="pct"/>
            <w:tcBorders>
              <w:top w:val="nil"/>
              <w:left w:val="nil"/>
              <w:bottom w:val="single" w:sz="4" w:space="0" w:color="auto"/>
              <w:right w:val="single" w:sz="4" w:space="0" w:color="auto"/>
            </w:tcBorders>
            <w:noWrap/>
            <w:vAlign w:val="center"/>
            <w:hideMark/>
          </w:tcPr>
          <w:p w14:paraId="0553A1CD"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289</w:t>
            </w:r>
          </w:p>
        </w:tc>
        <w:tc>
          <w:tcPr>
            <w:tcW w:w="507" w:type="pct"/>
            <w:tcBorders>
              <w:top w:val="nil"/>
              <w:left w:val="nil"/>
              <w:bottom w:val="single" w:sz="4" w:space="0" w:color="auto"/>
              <w:right w:val="single" w:sz="4" w:space="0" w:color="auto"/>
            </w:tcBorders>
            <w:noWrap/>
            <w:vAlign w:val="center"/>
            <w:hideMark/>
          </w:tcPr>
          <w:p w14:paraId="7472E294"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16,32</w:t>
            </w:r>
          </w:p>
        </w:tc>
      </w:tr>
      <w:tr w:rsidR="00A5287F" w:rsidRPr="002B008A" w14:paraId="2B6E19F1" w14:textId="77777777" w:rsidTr="00A5287F">
        <w:trPr>
          <w:trHeight w:val="227"/>
        </w:trPr>
        <w:tc>
          <w:tcPr>
            <w:tcW w:w="1139" w:type="pct"/>
            <w:tcBorders>
              <w:top w:val="nil"/>
              <w:left w:val="single" w:sz="4" w:space="0" w:color="auto"/>
              <w:bottom w:val="single" w:sz="4" w:space="0" w:color="auto"/>
              <w:right w:val="single" w:sz="4" w:space="0" w:color="auto"/>
            </w:tcBorders>
            <w:noWrap/>
            <w:vAlign w:val="center"/>
            <w:hideMark/>
          </w:tcPr>
          <w:p w14:paraId="08F4B20A" w14:textId="77777777" w:rsidR="00A5287F" w:rsidRPr="002B008A" w:rsidRDefault="00A5287F" w:rsidP="00A5287F">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Có kỳ hạn &gt; 12 tháng</w:t>
            </w:r>
          </w:p>
        </w:tc>
        <w:tc>
          <w:tcPr>
            <w:tcW w:w="331" w:type="pct"/>
            <w:tcBorders>
              <w:top w:val="nil"/>
              <w:left w:val="nil"/>
              <w:bottom w:val="single" w:sz="4" w:space="0" w:color="auto"/>
              <w:right w:val="single" w:sz="4" w:space="0" w:color="auto"/>
            </w:tcBorders>
            <w:noWrap/>
            <w:vAlign w:val="center"/>
            <w:hideMark/>
          </w:tcPr>
          <w:p w14:paraId="2E5EDF0F"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852</w:t>
            </w:r>
          </w:p>
        </w:tc>
        <w:tc>
          <w:tcPr>
            <w:tcW w:w="360" w:type="pct"/>
            <w:tcBorders>
              <w:top w:val="nil"/>
              <w:left w:val="nil"/>
              <w:bottom w:val="single" w:sz="4" w:space="0" w:color="auto"/>
              <w:right w:val="single" w:sz="4" w:space="0" w:color="auto"/>
            </w:tcBorders>
            <w:noWrap/>
            <w:vAlign w:val="center"/>
            <w:hideMark/>
          </w:tcPr>
          <w:p w14:paraId="08A0097C"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29,08</w:t>
            </w:r>
          </w:p>
        </w:tc>
        <w:tc>
          <w:tcPr>
            <w:tcW w:w="331" w:type="pct"/>
            <w:tcBorders>
              <w:top w:val="nil"/>
              <w:left w:val="nil"/>
              <w:bottom w:val="single" w:sz="4" w:space="0" w:color="auto"/>
              <w:right w:val="single" w:sz="4" w:space="0" w:color="auto"/>
            </w:tcBorders>
            <w:noWrap/>
            <w:vAlign w:val="center"/>
            <w:hideMark/>
          </w:tcPr>
          <w:p w14:paraId="7E989503"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907</w:t>
            </w:r>
          </w:p>
        </w:tc>
        <w:tc>
          <w:tcPr>
            <w:tcW w:w="360" w:type="pct"/>
            <w:tcBorders>
              <w:top w:val="nil"/>
              <w:left w:val="nil"/>
              <w:bottom w:val="single" w:sz="4" w:space="0" w:color="auto"/>
              <w:right w:val="single" w:sz="4" w:space="0" w:color="auto"/>
            </w:tcBorders>
            <w:noWrap/>
            <w:vAlign w:val="center"/>
            <w:hideMark/>
          </w:tcPr>
          <w:p w14:paraId="3E99926B" w14:textId="77777777" w:rsidR="00A5287F" w:rsidRPr="004A0BB7" w:rsidRDefault="00A5287F" w:rsidP="00A5287F">
            <w:pPr>
              <w:spacing w:after="0" w:line="240" w:lineRule="auto"/>
              <w:ind w:left="-114"/>
              <w:jc w:val="right"/>
              <w:rPr>
                <w:rFonts w:ascii="Times New Roman" w:eastAsia="Times New Roman" w:hAnsi="Times New Roman" w:cs="Times New Roman"/>
                <w:color w:val="000000"/>
                <w:kern w:val="0"/>
                <w:sz w:val="26"/>
                <w:szCs w:val="26"/>
                <w:lang w:eastAsia="zh-CN"/>
                <w14:ligatures w14:val="none"/>
              </w:rPr>
            </w:pPr>
            <w:r w:rsidRPr="004A0BB7">
              <w:rPr>
                <w:rFonts w:ascii="Times New Roman" w:eastAsia="Times New Roman" w:hAnsi="Times New Roman" w:cs="Times New Roman"/>
                <w:color w:val="000000"/>
                <w:kern w:val="0"/>
                <w:sz w:val="26"/>
                <w:szCs w:val="26"/>
                <w:lang w:eastAsia="zh-CN"/>
                <w14:ligatures w14:val="none"/>
              </w:rPr>
              <w:t>27,03</w:t>
            </w:r>
          </w:p>
        </w:tc>
        <w:tc>
          <w:tcPr>
            <w:tcW w:w="331" w:type="pct"/>
            <w:tcBorders>
              <w:top w:val="nil"/>
              <w:left w:val="nil"/>
              <w:bottom w:val="single" w:sz="4" w:space="0" w:color="auto"/>
              <w:right w:val="single" w:sz="4" w:space="0" w:color="auto"/>
            </w:tcBorders>
            <w:noWrap/>
            <w:vAlign w:val="center"/>
            <w:hideMark/>
          </w:tcPr>
          <w:p w14:paraId="2492F64E"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1.020</w:t>
            </w:r>
          </w:p>
        </w:tc>
        <w:tc>
          <w:tcPr>
            <w:tcW w:w="360" w:type="pct"/>
            <w:tcBorders>
              <w:top w:val="nil"/>
              <w:left w:val="nil"/>
              <w:bottom w:val="single" w:sz="4" w:space="0" w:color="auto"/>
              <w:right w:val="single" w:sz="4" w:space="0" w:color="auto"/>
            </w:tcBorders>
            <w:noWrap/>
            <w:vAlign w:val="center"/>
            <w:hideMark/>
          </w:tcPr>
          <w:p w14:paraId="34FFC33C"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26,67</w:t>
            </w:r>
          </w:p>
        </w:tc>
        <w:tc>
          <w:tcPr>
            <w:tcW w:w="404" w:type="pct"/>
            <w:tcBorders>
              <w:top w:val="nil"/>
              <w:left w:val="nil"/>
              <w:bottom w:val="single" w:sz="4" w:space="0" w:color="auto"/>
              <w:right w:val="single" w:sz="4" w:space="0" w:color="auto"/>
            </w:tcBorders>
            <w:noWrap/>
            <w:vAlign w:val="center"/>
            <w:hideMark/>
          </w:tcPr>
          <w:p w14:paraId="52F1B7C7"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55</w:t>
            </w:r>
          </w:p>
        </w:tc>
        <w:tc>
          <w:tcPr>
            <w:tcW w:w="491" w:type="pct"/>
            <w:tcBorders>
              <w:top w:val="nil"/>
              <w:left w:val="nil"/>
              <w:bottom w:val="single" w:sz="4" w:space="0" w:color="auto"/>
              <w:right w:val="single" w:sz="4" w:space="0" w:color="auto"/>
            </w:tcBorders>
            <w:noWrap/>
            <w:vAlign w:val="center"/>
            <w:hideMark/>
          </w:tcPr>
          <w:p w14:paraId="1E24251C"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6,46</w:t>
            </w:r>
          </w:p>
        </w:tc>
        <w:tc>
          <w:tcPr>
            <w:tcW w:w="387" w:type="pct"/>
            <w:tcBorders>
              <w:top w:val="nil"/>
              <w:left w:val="nil"/>
              <w:bottom w:val="single" w:sz="4" w:space="0" w:color="auto"/>
              <w:right w:val="single" w:sz="4" w:space="0" w:color="auto"/>
            </w:tcBorders>
            <w:noWrap/>
            <w:vAlign w:val="center"/>
            <w:hideMark/>
          </w:tcPr>
          <w:p w14:paraId="6BB07883"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113</w:t>
            </w:r>
          </w:p>
        </w:tc>
        <w:tc>
          <w:tcPr>
            <w:tcW w:w="507" w:type="pct"/>
            <w:tcBorders>
              <w:top w:val="nil"/>
              <w:left w:val="nil"/>
              <w:bottom w:val="single" w:sz="4" w:space="0" w:color="auto"/>
              <w:right w:val="single" w:sz="4" w:space="0" w:color="auto"/>
            </w:tcBorders>
            <w:noWrap/>
            <w:vAlign w:val="center"/>
            <w:hideMark/>
          </w:tcPr>
          <w:p w14:paraId="6C0C3585"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12,46</w:t>
            </w:r>
          </w:p>
        </w:tc>
      </w:tr>
      <w:tr w:rsidR="00A5287F" w:rsidRPr="002B008A" w14:paraId="54148025" w14:textId="77777777" w:rsidTr="00A5287F">
        <w:trPr>
          <w:trHeight w:val="227"/>
        </w:trPr>
        <w:tc>
          <w:tcPr>
            <w:tcW w:w="1139" w:type="pct"/>
            <w:tcBorders>
              <w:top w:val="nil"/>
              <w:left w:val="single" w:sz="4" w:space="0" w:color="auto"/>
              <w:bottom w:val="single" w:sz="4" w:space="0" w:color="auto"/>
              <w:right w:val="single" w:sz="4" w:space="0" w:color="auto"/>
            </w:tcBorders>
            <w:noWrap/>
            <w:vAlign w:val="center"/>
            <w:hideMark/>
          </w:tcPr>
          <w:p w14:paraId="39E5F84F" w14:textId="77777777" w:rsidR="00A5287F" w:rsidRPr="002B008A" w:rsidRDefault="00A5287F" w:rsidP="00A5287F">
            <w:pPr>
              <w:spacing w:after="0" w:line="240" w:lineRule="auto"/>
              <w:rPr>
                <w:rFonts w:ascii="Times New Roman" w:eastAsia="Times New Roman" w:hAnsi="Times New Roman" w:cs="Times New Roman"/>
                <w:i/>
                <w:iCs/>
                <w:color w:val="000000"/>
                <w:kern w:val="0"/>
                <w:sz w:val="26"/>
                <w:szCs w:val="26"/>
                <w:lang w:eastAsia="zh-CN"/>
                <w14:ligatures w14:val="none"/>
              </w:rPr>
            </w:pPr>
            <w:r w:rsidRPr="002B008A">
              <w:rPr>
                <w:rFonts w:ascii="Times New Roman" w:eastAsia="Times New Roman" w:hAnsi="Times New Roman" w:cs="Times New Roman"/>
                <w:i/>
                <w:iCs/>
                <w:color w:val="000000"/>
                <w:kern w:val="0"/>
                <w:sz w:val="26"/>
                <w:szCs w:val="26"/>
                <w:lang w:eastAsia="zh-CN"/>
                <w14:ligatures w14:val="none"/>
              </w:rPr>
              <w:t xml:space="preserve">Phân theo đối tượng huy động </w:t>
            </w:r>
          </w:p>
        </w:tc>
        <w:tc>
          <w:tcPr>
            <w:tcW w:w="331" w:type="pct"/>
            <w:tcBorders>
              <w:top w:val="nil"/>
              <w:left w:val="nil"/>
              <w:bottom w:val="single" w:sz="4" w:space="0" w:color="auto"/>
              <w:right w:val="single" w:sz="4" w:space="0" w:color="auto"/>
            </w:tcBorders>
            <w:noWrap/>
            <w:vAlign w:val="center"/>
            <w:hideMark/>
          </w:tcPr>
          <w:p w14:paraId="4673CCA9" w14:textId="77777777" w:rsidR="00A5287F" w:rsidRPr="002B008A" w:rsidRDefault="00A5287F" w:rsidP="00A5287F">
            <w:pPr>
              <w:spacing w:after="0" w:line="240" w:lineRule="auto"/>
              <w:ind w:left="-112"/>
              <w:jc w:val="right"/>
              <w:rPr>
                <w:rFonts w:ascii="Times New Roman" w:eastAsia="Times New Roman" w:hAnsi="Times New Roman" w:cs="Times New Roman"/>
                <w:b/>
                <w:bCs/>
                <w:color w:val="000000"/>
                <w:kern w:val="0"/>
                <w:sz w:val="26"/>
                <w:szCs w:val="26"/>
                <w:lang w:eastAsia="zh-CN"/>
                <w14:ligatures w14:val="none"/>
              </w:rPr>
            </w:pPr>
          </w:p>
        </w:tc>
        <w:tc>
          <w:tcPr>
            <w:tcW w:w="360" w:type="pct"/>
            <w:tcBorders>
              <w:top w:val="nil"/>
              <w:left w:val="nil"/>
              <w:bottom w:val="single" w:sz="4" w:space="0" w:color="auto"/>
              <w:right w:val="single" w:sz="4" w:space="0" w:color="auto"/>
            </w:tcBorders>
            <w:noWrap/>
            <w:vAlign w:val="center"/>
            <w:hideMark/>
          </w:tcPr>
          <w:p w14:paraId="637F40B1"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p>
        </w:tc>
        <w:tc>
          <w:tcPr>
            <w:tcW w:w="331" w:type="pct"/>
            <w:tcBorders>
              <w:top w:val="nil"/>
              <w:left w:val="nil"/>
              <w:bottom w:val="single" w:sz="4" w:space="0" w:color="auto"/>
              <w:right w:val="single" w:sz="4" w:space="0" w:color="auto"/>
            </w:tcBorders>
            <w:noWrap/>
            <w:vAlign w:val="center"/>
            <w:hideMark/>
          </w:tcPr>
          <w:p w14:paraId="23E1A337" w14:textId="77777777"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60" w:type="pct"/>
            <w:tcBorders>
              <w:top w:val="nil"/>
              <w:left w:val="nil"/>
              <w:bottom w:val="single" w:sz="4" w:space="0" w:color="auto"/>
              <w:right w:val="single" w:sz="4" w:space="0" w:color="auto"/>
            </w:tcBorders>
            <w:noWrap/>
            <w:vAlign w:val="center"/>
            <w:hideMark/>
          </w:tcPr>
          <w:p w14:paraId="223F3173" w14:textId="77777777" w:rsidR="00A5287F" w:rsidRPr="002B008A" w:rsidRDefault="00A5287F" w:rsidP="00A5287F">
            <w:pPr>
              <w:spacing w:after="0" w:line="240" w:lineRule="auto"/>
              <w:ind w:left="-114"/>
              <w:jc w:val="right"/>
              <w:rPr>
                <w:rFonts w:ascii="Times New Roman" w:eastAsia="Times New Roman" w:hAnsi="Times New Roman" w:cs="Times New Roman"/>
                <w:b/>
                <w:bCs/>
                <w:color w:val="000000"/>
                <w:kern w:val="0"/>
                <w:sz w:val="26"/>
                <w:szCs w:val="26"/>
                <w:lang w:eastAsia="zh-CN"/>
                <w14:ligatures w14:val="none"/>
              </w:rPr>
            </w:pPr>
          </w:p>
        </w:tc>
        <w:tc>
          <w:tcPr>
            <w:tcW w:w="331" w:type="pct"/>
            <w:tcBorders>
              <w:top w:val="nil"/>
              <w:left w:val="nil"/>
              <w:bottom w:val="single" w:sz="4" w:space="0" w:color="auto"/>
              <w:right w:val="single" w:sz="4" w:space="0" w:color="auto"/>
            </w:tcBorders>
            <w:noWrap/>
            <w:vAlign w:val="center"/>
            <w:hideMark/>
          </w:tcPr>
          <w:p w14:paraId="6D58D2A7"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p>
        </w:tc>
        <w:tc>
          <w:tcPr>
            <w:tcW w:w="360" w:type="pct"/>
            <w:tcBorders>
              <w:top w:val="nil"/>
              <w:left w:val="nil"/>
              <w:bottom w:val="single" w:sz="4" w:space="0" w:color="auto"/>
              <w:right w:val="single" w:sz="4" w:space="0" w:color="auto"/>
            </w:tcBorders>
            <w:noWrap/>
            <w:vAlign w:val="center"/>
            <w:hideMark/>
          </w:tcPr>
          <w:p w14:paraId="0396549F"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p>
        </w:tc>
        <w:tc>
          <w:tcPr>
            <w:tcW w:w="404" w:type="pct"/>
            <w:tcBorders>
              <w:top w:val="nil"/>
              <w:left w:val="nil"/>
              <w:bottom w:val="single" w:sz="4" w:space="0" w:color="auto"/>
              <w:right w:val="single" w:sz="4" w:space="0" w:color="auto"/>
            </w:tcBorders>
            <w:noWrap/>
            <w:vAlign w:val="center"/>
            <w:hideMark/>
          </w:tcPr>
          <w:p w14:paraId="3939064B"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p>
        </w:tc>
        <w:tc>
          <w:tcPr>
            <w:tcW w:w="491" w:type="pct"/>
            <w:tcBorders>
              <w:top w:val="nil"/>
              <w:left w:val="nil"/>
              <w:bottom w:val="single" w:sz="4" w:space="0" w:color="auto"/>
              <w:right w:val="single" w:sz="4" w:space="0" w:color="auto"/>
            </w:tcBorders>
            <w:noWrap/>
            <w:vAlign w:val="center"/>
            <w:hideMark/>
          </w:tcPr>
          <w:p w14:paraId="5BB33D5E" w14:textId="77777777" w:rsidR="00A5287F" w:rsidRPr="002B008A" w:rsidRDefault="00A5287F" w:rsidP="00A5287F">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87" w:type="pct"/>
            <w:tcBorders>
              <w:top w:val="nil"/>
              <w:left w:val="nil"/>
              <w:bottom w:val="single" w:sz="4" w:space="0" w:color="auto"/>
              <w:right w:val="single" w:sz="4" w:space="0" w:color="auto"/>
            </w:tcBorders>
            <w:noWrap/>
            <w:vAlign w:val="center"/>
            <w:hideMark/>
          </w:tcPr>
          <w:p w14:paraId="06461BFD"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p>
        </w:tc>
        <w:tc>
          <w:tcPr>
            <w:tcW w:w="507" w:type="pct"/>
            <w:tcBorders>
              <w:top w:val="nil"/>
              <w:left w:val="nil"/>
              <w:bottom w:val="single" w:sz="4" w:space="0" w:color="auto"/>
              <w:right w:val="single" w:sz="4" w:space="0" w:color="auto"/>
            </w:tcBorders>
            <w:noWrap/>
            <w:vAlign w:val="center"/>
            <w:hideMark/>
          </w:tcPr>
          <w:p w14:paraId="4AAC6E69"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p>
        </w:tc>
      </w:tr>
      <w:tr w:rsidR="00A5287F" w:rsidRPr="002B008A" w14:paraId="25625A09" w14:textId="77777777" w:rsidTr="00A5287F">
        <w:trPr>
          <w:trHeight w:val="227"/>
        </w:trPr>
        <w:tc>
          <w:tcPr>
            <w:tcW w:w="1139" w:type="pct"/>
            <w:tcBorders>
              <w:top w:val="nil"/>
              <w:left w:val="single" w:sz="4" w:space="0" w:color="auto"/>
              <w:bottom w:val="single" w:sz="4" w:space="0" w:color="auto"/>
              <w:right w:val="single" w:sz="4" w:space="0" w:color="auto"/>
            </w:tcBorders>
            <w:noWrap/>
            <w:vAlign w:val="center"/>
            <w:hideMark/>
          </w:tcPr>
          <w:p w14:paraId="3184E8A7" w14:textId="77777777" w:rsidR="00A5287F" w:rsidRPr="002B008A" w:rsidRDefault="00A5287F" w:rsidP="00A5287F">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Dân cư</w:t>
            </w:r>
          </w:p>
        </w:tc>
        <w:tc>
          <w:tcPr>
            <w:tcW w:w="331" w:type="pct"/>
            <w:tcBorders>
              <w:top w:val="nil"/>
              <w:left w:val="nil"/>
              <w:bottom w:val="single" w:sz="4" w:space="0" w:color="auto"/>
              <w:right w:val="single" w:sz="4" w:space="0" w:color="auto"/>
            </w:tcBorders>
            <w:noWrap/>
            <w:vAlign w:val="center"/>
            <w:hideMark/>
          </w:tcPr>
          <w:p w14:paraId="52DE2702"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2.101</w:t>
            </w:r>
          </w:p>
        </w:tc>
        <w:tc>
          <w:tcPr>
            <w:tcW w:w="360" w:type="pct"/>
            <w:tcBorders>
              <w:top w:val="nil"/>
              <w:left w:val="nil"/>
              <w:bottom w:val="single" w:sz="4" w:space="0" w:color="auto"/>
              <w:right w:val="single" w:sz="4" w:space="0" w:color="auto"/>
            </w:tcBorders>
            <w:noWrap/>
            <w:vAlign w:val="center"/>
            <w:hideMark/>
          </w:tcPr>
          <w:p w14:paraId="2F8B577C"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71,71</w:t>
            </w:r>
          </w:p>
        </w:tc>
        <w:tc>
          <w:tcPr>
            <w:tcW w:w="331" w:type="pct"/>
            <w:tcBorders>
              <w:top w:val="nil"/>
              <w:left w:val="nil"/>
              <w:bottom w:val="single" w:sz="4" w:space="0" w:color="auto"/>
              <w:right w:val="single" w:sz="4" w:space="0" w:color="auto"/>
            </w:tcBorders>
            <w:noWrap/>
            <w:vAlign w:val="center"/>
            <w:hideMark/>
          </w:tcPr>
          <w:p w14:paraId="0FA80F22"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2.425</w:t>
            </w:r>
          </w:p>
        </w:tc>
        <w:tc>
          <w:tcPr>
            <w:tcW w:w="360" w:type="pct"/>
            <w:tcBorders>
              <w:top w:val="nil"/>
              <w:left w:val="nil"/>
              <w:bottom w:val="single" w:sz="4" w:space="0" w:color="auto"/>
              <w:right w:val="single" w:sz="4" w:space="0" w:color="auto"/>
            </w:tcBorders>
            <w:noWrap/>
            <w:vAlign w:val="center"/>
            <w:hideMark/>
          </w:tcPr>
          <w:p w14:paraId="3D595216" w14:textId="77777777" w:rsidR="00A5287F" w:rsidRPr="002B008A" w:rsidRDefault="00A5287F" w:rsidP="00A5287F">
            <w:pPr>
              <w:spacing w:after="0" w:line="240" w:lineRule="auto"/>
              <w:ind w:left="-114"/>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72,28</w:t>
            </w:r>
          </w:p>
        </w:tc>
        <w:tc>
          <w:tcPr>
            <w:tcW w:w="331" w:type="pct"/>
            <w:tcBorders>
              <w:top w:val="nil"/>
              <w:left w:val="nil"/>
              <w:bottom w:val="single" w:sz="4" w:space="0" w:color="auto"/>
              <w:right w:val="single" w:sz="4" w:space="0" w:color="auto"/>
            </w:tcBorders>
            <w:noWrap/>
            <w:vAlign w:val="center"/>
            <w:hideMark/>
          </w:tcPr>
          <w:p w14:paraId="26AEDB74"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2.790</w:t>
            </w:r>
          </w:p>
        </w:tc>
        <w:tc>
          <w:tcPr>
            <w:tcW w:w="360" w:type="pct"/>
            <w:tcBorders>
              <w:top w:val="nil"/>
              <w:left w:val="nil"/>
              <w:bottom w:val="single" w:sz="4" w:space="0" w:color="auto"/>
              <w:right w:val="single" w:sz="4" w:space="0" w:color="auto"/>
            </w:tcBorders>
            <w:noWrap/>
            <w:vAlign w:val="center"/>
            <w:hideMark/>
          </w:tcPr>
          <w:p w14:paraId="1D25B33B"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72,94</w:t>
            </w:r>
          </w:p>
        </w:tc>
        <w:tc>
          <w:tcPr>
            <w:tcW w:w="404" w:type="pct"/>
            <w:tcBorders>
              <w:top w:val="nil"/>
              <w:left w:val="nil"/>
              <w:bottom w:val="single" w:sz="4" w:space="0" w:color="auto"/>
              <w:right w:val="single" w:sz="4" w:space="0" w:color="auto"/>
            </w:tcBorders>
            <w:noWrap/>
            <w:vAlign w:val="center"/>
            <w:hideMark/>
          </w:tcPr>
          <w:p w14:paraId="4A5999DA"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324</w:t>
            </w:r>
          </w:p>
        </w:tc>
        <w:tc>
          <w:tcPr>
            <w:tcW w:w="491" w:type="pct"/>
            <w:tcBorders>
              <w:top w:val="nil"/>
              <w:left w:val="nil"/>
              <w:bottom w:val="single" w:sz="4" w:space="0" w:color="auto"/>
              <w:right w:val="single" w:sz="4" w:space="0" w:color="auto"/>
            </w:tcBorders>
            <w:noWrap/>
            <w:vAlign w:val="center"/>
            <w:hideMark/>
          </w:tcPr>
          <w:p w14:paraId="6A701B9B"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15,42</w:t>
            </w:r>
          </w:p>
        </w:tc>
        <w:tc>
          <w:tcPr>
            <w:tcW w:w="387" w:type="pct"/>
            <w:tcBorders>
              <w:top w:val="nil"/>
              <w:left w:val="nil"/>
              <w:bottom w:val="single" w:sz="4" w:space="0" w:color="auto"/>
              <w:right w:val="single" w:sz="4" w:space="0" w:color="auto"/>
            </w:tcBorders>
            <w:noWrap/>
            <w:vAlign w:val="center"/>
            <w:hideMark/>
          </w:tcPr>
          <w:p w14:paraId="69DFFA39"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365</w:t>
            </w:r>
          </w:p>
        </w:tc>
        <w:tc>
          <w:tcPr>
            <w:tcW w:w="507" w:type="pct"/>
            <w:tcBorders>
              <w:top w:val="nil"/>
              <w:left w:val="nil"/>
              <w:bottom w:val="single" w:sz="4" w:space="0" w:color="auto"/>
              <w:right w:val="single" w:sz="4" w:space="0" w:color="auto"/>
            </w:tcBorders>
            <w:noWrap/>
            <w:vAlign w:val="center"/>
            <w:hideMark/>
          </w:tcPr>
          <w:p w14:paraId="508F52A5"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15,05</w:t>
            </w:r>
          </w:p>
        </w:tc>
      </w:tr>
      <w:tr w:rsidR="00A5287F" w:rsidRPr="002B008A" w14:paraId="00EEDAD3" w14:textId="77777777" w:rsidTr="00A5287F">
        <w:trPr>
          <w:trHeight w:val="227"/>
        </w:trPr>
        <w:tc>
          <w:tcPr>
            <w:tcW w:w="1139" w:type="pct"/>
            <w:tcBorders>
              <w:top w:val="nil"/>
              <w:left w:val="single" w:sz="4" w:space="0" w:color="auto"/>
              <w:bottom w:val="single" w:sz="4" w:space="0" w:color="auto"/>
              <w:right w:val="single" w:sz="4" w:space="0" w:color="auto"/>
            </w:tcBorders>
            <w:noWrap/>
            <w:vAlign w:val="center"/>
            <w:hideMark/>
          </w:tcPr>
          <w:p w14:paraId="4924D9CB" w14:textId="77777777" w:rsidR="00A5287F" w:rsidRPr="002B008A" w:rsidRDefault="00A5287F" w:rsidP="00A5287F">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Tổ chức</w:t>
            </w:r>
          </w:p>
        </w:tc>
        <w:tc>
          <w:tcPr>
            <w:tcW w:w="331" w:type="pct"/>
            <w:tcBorders>
              <w:top w:val="nil"/>
              <w:left w:val="nil"/>
              <w:bottom w:val="single" w:sz="4" w:space="0" w:color="auto"/>
              <w:right w:val="single" w:sz="4" w:space="0" w:color="auto"/>
            </w:tcBorders>
            <w:noWrap/>
            <w:vAlign w:val="center"/>
            <w:hideMark/>
          </w:tcPr>
          <w:p w14:paraId="25C42860"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829</w:t>
            </w:r>
          </w:p>
        </w:tc>
        <w:tc>
          <w:tcPr>
            <w:tcW w:w="360" w:type="pct"/>
            <w:tcBorders>
              <w:top w:val="nil"/>
              <w:left w:val="nil"/>
              <w:bottom w:val="single" w:sz="4" w:space="0" w:color="auto"/>
              <w:right w:val="single" w:sz="4" w:space="0" w:color="auto"/>
            </w:tcBorders>
            <w:noWrap/>
            <w:vAlign w:val="center"/>
            <w:hideMark/>
          </w:tcPr>
          <w:p w14:paraId="714DA65E"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28,29</w:t>
            </w:r>
          </w:p>
        </w:tc>
        <w:tc>
          <w:tcPr>
            <w:tcW w:w="331" w:type="pct"/>
            <w:tcBorders>
              <w:top w:val="nil"/>
              <w:left w:val="nil"/>
              <w:bottom w:val="single" w:sz="4" w:space="0" w:color="auto"/>
              <w:right w:val="single" w:sz="4" w:space="0" w:color="auto"/>
            </w:tcBorders>
            <w:noWrap/>
            <w:vAlign w:val="center"/>
            <w:hideMark/>
          </w:tcPr>
          <w:p w14:paraId="4AF44687"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930</w:t>
            </w:r>
          </w:p>
        </w:tc>
        <w:tc>
          <w:tcPr>
            <w:tcW w:w="360" w:type="pct"/>
            <w:tcBorders>
              <w:top w:val="nil"/>
              <w:left w:val="nil"/>
              <w:bottom w:val="single" w:sz="4" w:space="0" w:color="auto"/>
              <w:right w:val="single" w:sz="4" w:space="0" w:color="auto"/>
            </w:tcBorders>
            <w:noWrap/>
            <w:vAlign w:val="center"/>
            <w:hideMark/>
          </w:tcPr>
          <w:p w14:paraId="184295EB" w14:textId="77777777" w:rsidR="00A5287F" w:rsidRPr="002B008A" w:rsidRDefault="00A5287F" w:rsidP="00A5287F">
            <w:pPr>
              <w:spacing w:after="0" w:line="240" w:lineRule="auto"/>
              <w:ind w:left="-114"/>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27,72</w:t>
            </w:r>
          </w:p>
        </w:tc>
        <w:tc>
          <w:tcPr>
            <w:tcW w:w="331" w:type="pct"/>
            <w:tcBorders>
              <w:top w:val="nil"/>
              <w:left w:val="nil"/>
              <w:bottom w:val="single" w:sz="4" w:space="0" w:color="auto"/>
              <w:right w:val="single" w:sz="4" w:space="0" w:color="auto"/>
            </w:tcBorders>
            <w:noWrap/>
            <w:vAlign w:val="center"/>
            <w:hideMark/>
          </w:tcPr>
          <w:p w14:paraId="4D7E08ED"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1.035</w:t>
            </w:r>
          </w:p>
        </w:tc>
        <w:tc>
          <w:tcPr>
            <w:tcW w:w="360" w:type="pct"/>
            <w:tcBorders>
              <w:top w:val="nil"/>
              <w:left w:val="nil"/>
              <w:bottom w:val="single" w:sz="4" w:space="0" w:color="auto"/>
              <w:right w:val="single" w:sz="4" w:space="0" w:color="auto"/>
            </w:tcBorders>
            <w:noWrap/>
            <w:vAlign w:val="center"/>
            <w:hideMark/>
          </w:tcPr>
          <w:p w14:paraId="77293A8B" w14:textId="77777777" w:rsidR="00A5287F" w:rsidRPr="002B008A" w:rsidRDefault="00A5287F" w:rsidP="00A5287F">
            <w:pPr>
              <w:spacing w:after="0" w:line="240" w:lineRule="auto"/>
              <w:ind w:left="-112"/>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27,06</w:t>
            </w:r>
          </w:p>
        </w:tc>
        <w:tc>
          <w:tcPr>
            <w:tcW w:w="404" w:type="pct"/>
            <w:tcBorders>
              <w:top w:val="nil"/>
              <w:left w:val="nil"/>
              <w:bottom w:val="single" w:sz="4" w:space="0" w:color="auto"/>
              <w:right w:val="single" w:sz="4" w:space="0" w:color="auto"/>
            </w:tcBorders>
            <w:noWrap/>
            <w:vAlign w:val="center"/>
            <w:hideMark/>
          </w:tcPr>
          <w:p w14:paraId="03B7ED85"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101</w:t>
            </w:r>
          </w:p>
        </w:tc>
        <w:tc>
          <w:tcPr>
            <w:tcW w:w="491" w:type="pct"/>
            <w:tcBorders>
              <w:top w:val="nil"/>
              <w:left w:val="nil"/>
              <w:bottom w:val="single" w:sz="4" w:space="0" w:color="auto"/>
              <w:right w:val="single" w:sz="4" w:space="0" w:color="auto"/>
            </w:tcBorders>
            <w:noWrap/>
            <w:vAlign w:val="center"/>
            <w:hideMark/>
          </w:tcPr>
          <w:p w14:paraId="421FC715"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12,18</w:t>
            </w:r>
          </w:p>
        </w:tc>
        <w:tc>
          <w:tcPr>
            <w:tcW w:w="387" w:type="pct"/>
            <w:tcBorders>
              <w:top w:val="nil"/>
              <w:left w:val="nil"/>
              <w:bottom w:val="single" w:sz="4" w:space="0" w:color="auto"/>
              <w:right w:val="single" w:sz="4" w:space="0" w:color="auto"/>
            </w:tcBorders>
            <w:noWrap/>
            <w:vAlign w:val="center"/>
            <w:hideMark/>
          </w:tcPr>
          <w:p w14:paraId="58253A35"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105</w:t>
            </w:r>
          </w:p>
        </w:tc>
        <w:tc>
          <w:tcPr>
            <w:tcW w:w="507" w:type="pct"/>
            <w:tcBorders>
              <w:top w:val="nil"/>
              <w:left w:val="nil"/>
              <w:bottom w:val="single" w:sz="4" w:space="0" w:color="auto"/>
              <w:right w:val="single" w:sz="4" w:space="0" w:color="auto"/>
            </w:tcBorders>
            <w:noWrap/>
            <w:vAlign w:val="center"/>
            <w:hideMark/>
          </w:tcPr>
          <w:p w14:paraId="2736EB55" w14:textId="77777777" w:rsidR="00A5287F" w:rsidRPr="002B008A" w:rsidRDefault="00A5287F" w:rsidP="00A5287F">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11,29</w:t>
            </w:r>
          </w:p>
        </w:tc>
      </w:tr>
    </w:tbl>
    <w:p w14:paraId="4B900AB2" w14:textId="35E1C43F" w:rsidR="00C73AA2" w:rsidRPr="002B008A" w:rsidRDefault="00C73AA2" w:rsidP="00FB2636">
      <w:pPr>
        <w:spacing w:after="0" w:line="360" w:lineRule="auto"/>
        <w:ind w:firstLine="567"/>
        <w:jc w:val="right"/>
        <w:rPr>
          <w:rFonts w:ascii="Times New Roman" w:eastAsia="Times New Roman" w:hAnsi="Times New Roman" w:cs="Times New Roman"/>
          <w:i/>
          <w:iCs/>
          <w:color w:val="000000"/>
          <w:kern w:val="0"/>
          <w:sz w:val="26"/>
          <w:szCs w:val="26"/>
          <w:lang w:val="vi-VN"/>
          <w14:ligatures w14:val="none"/>
        </w:rPr>
      </w:pPr>
      <w:r w:rsidRPr="002B008A">
        <w:rPr>
          <w:rFonts w:ascii="Times New Roman" w:eastAsia="Times New Roman" w:hAnsi="Times New Roman" w:cs="Times New Roman"/>
          <w:i/>
          <w:iCs/>
          <w:color w:val="000000"/>
          <w:kern w:val="0"/>
          <w:sz w:val="26"/>
          <w:szCs w:val="26"/>
          <w:lang w:val="vi-VN"/>
          <w14:ligatures w14:val="none"/>
        </w:rPr>
        <w:t>(Nguồn: Báo cáo tài chính Ngân hàng TMCP Quân đội - Chi Nhánh Đà</w:t>
      </w:r>
      <w:r w:rsidR="00FB2636" w:rsidRPr="002B008A">
        <w:rPr>
          <w:rFonts w:ascii="Times New Roman" w:eastAsia="Times New Roman" w:hAnsi="Times New Roman" w:cs="Times New Roman"/>
          <w:i/>
          <w:iCs/>
          <w:color w:val="000000"/>
          <w:kern w:val="0"/>
          <w:sz w:val="26"/>
          <w:szCs w:val="26"/>
          <w14:ligatures w14:val="none"/>
        </w:rPr>
        <w:t xml:space="preserve"> </w:t>
      </w:r>
      <w:r w:rsidRPr="002B008A">
        <w:rPr>
          <w:rFonts w:ascii="Times New Roman" w:eastAsia="Times New Roman" w:hAnsi="Times New Roman" w:cs="Times New Roman"/>
          <w:i/>
          <w:iCs/>
          <w:color w:val="000000"/>
          <w:kern w:val="0"/>
          <w:sz w:val="26"/>
          <w:szCs w:val="26"/>
          <w:lang w:val="vi-VN"/>
          <w14:ligatures w14:val="none"/>
        </w:rPr>
        <w:t>Nẵng giai đoạn 2023 - 2025)</w:t>
      </w:r>
    </w:p>
    <w:p w14:paraId="7813EFB4" w14:textId="77777777" w:rsidR="00401A6F" w:rsidRPr="002B008A" w:rsidRDefault="00401A6F" w:rsidP="00401A6F">
      <w:pPr>
        <w:spacing w:after="0" w:line="360" w:lineRule="auto"/>
        <w:ind w:right="130" w:firstLine="567"/>
        <w:jc w:val="right"/>
        <w:rPr>
          <w:rFonts w:ascii="Times New Roman" w:hAnsi="Times New Roman" w:cs="Times New Roman"/>
          <w:color w:val="000000" w:themeColor="text1"/>
          <w:sz w:val="26"/>
          <w:szCs w:val="26"/>
          <w:lang w:val="vi-VN"/>
        </w:rPr>
        <w:sectPr w:rsidR="00401A6F" w:rsidRPr="002B008A" w:rsidSect="009E0361">
          <w:pgSz w:w="16838" w:h="11906" w:orient="landscape" w:code="9"/>
          <w:pgMar w:top="1134" w:right="1134" w:bottom="1134" w:left="1701" w:header="720" w:footer="720" w:gutter="0"/>
          <w:cols w:space="720"/>
          <w:docGrid w:linePitch="360"/>
        </w:sectPr>
      </w:pPr>
    </w:p>
    <w:p w14:paraId="4DA985C8" w14:textId="5C4FB7EA" w:rsidR="00C73AA2" w:rsidRPr="00A90E6A" w:rsidRDefault="00C73AA2" w:rsidP="00B96C88">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Giai đoạn 2023–2025, huy động vốn của Ngân hàng TMCP Quân đội – Chi nhánh Đà Nẵng tăng trưởng ổn định trên 14%/năm, từ 2.930 tỷ đồng năm 2023 lên 3.355 tỷ đồng năm 2024 và đạt 3.825 tỷ đồng năm 2025, cho thấy hiệu quả trong chính sách lãi suất linh hoạt, đa dạng sản phẩm và đẩy mạnh ngân hàng số.</w:t>
      </w:r>
    </w:p>
    <w:p w14:paraId="7B7E1D0C" w14:textId="77777777" w:rsidR="00C73AA2" w:rsidRPr="00A90E6A" w:rsidRDefault="00C73AA2" w:rsidP="00C73AA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Xét theo kỳ hạn, tiền gửi không kỳ hạn tăng từ 651 tỷ đồng lên 745 tỷ đồng nhưng giảm tỷ trọng (~20%), trong khi tiền gửi dưới 12 tháng chiếm chủ yếu và tăng mạnh từ 1.427 tỷ đồng lên 2.060 tỷ đồng. Ngược lại, tiền gửi trên 12 tháng tăng từ 852 tỷ đồng lên 1.020 tỷ đồng nhưng giảm tỷ trọng, phản ánh xu hướng khách hàng ưu tiên kỳ hạn ngắn để đảm bảo tính linh hoạt.</w:t>
      </w:r>
    </w:p>
    <w:p w14:paraId="302D5BEF" w14:textId="77777777" w:rsidR="00C73AA2" w:rsidRPr="00A90E6A" w:rsidRDefault="00C73AA2" w:rsidP="00C73AA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Xét theo đối tượng, tiền gửi dân cư chiếm trên 70% và tăng đều từ 2.101 tỷ đồng lên 2.790 tỷ đồng, nhờ đẩy mạnh gửi tiết kiệm online với lãi suất cao hơn khoảng 0,1–0,3%/năm, miễn phí giao dịch và nhiều chương trình ưu đãi. Trong khi đó, tiền gửi từ tổ chức kinh tế tăng chậm hơn, từ 829 tỷ đồng lên 1.035 tỷ đồng do doanh nghiệp ưu tiên sử dụng vốn cho hoạt động sản xuất kinh doanh.</w:t>
      </w:r>
    </w:p>
    <w:p w14:paraId="572C9BFE" w14:textId="77777777" w:rsidR="00C73AA2" w:rsidRPr="00A90E6A" w:rsidRDefault="00C73AA2" w:rsidP="00C73AA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Nhìn chung, trong giai đoạn 2023–2025, hoạt động huy động vốn của MB Đà Nẵng đạt kết quả tương đối tốt, đặc biệt là từ nhóm khách hàng cá nhân. Nguồn vốn này đóng vai trò quan trọng trong việc đảm bảo nguồn vốn ổn định cho ngân hàng và tạo điều kiện thuận lợi cho các hoạt động kinh doanh trong thời gian tới.</w:t>
      </w:r>
      <w:r w:rsidRPr="00A90E6A">
        <w:rPr>
          <w:rFonts w:ascii="Times New Roman" w:hAnsi="Times New Roman" w:cs="Times New Roman"/>
          <w:sz w:val="26"/>
          <w:szCs w:val="26"/>
          <w:lang w:val="vi-VN"/>
        </w:rPr>
        <w:t xml:space="preserve"> </w:t>
      </w:r>
      <w:r w:rsidRPr="00A90E6A">
        <w:rPr>
          <w:rFonts w:ascii="Times New Roman" w:hAnsi="Times New Roman" w:cs="Times New Roman"/>
          <w:color w:val="000000" w:themeColor="text1"/>
          <w:sz w:val="26"/>
          <w:szCs w:val="26"/>
          <w:lang w:val="vi-VN"/>
        </w:rPr>
        <w:t>Đây là cơ sở quan trọng giúp chi nhánh có nguồn vốn ổn định để mở rộng hoạt động cho vay, qua đó góp phần nâng cao hiệu quả sử dụng vốn và hiệu quả kinh doanh.</w:t>
      </w:r>
    </w:p>
    <w:p w14:paraId="656933A4" w14:textId="2EBF3682" w:rsidR="00C73AA2" w:rsidRPr="00A90E6A" w:rsidRDefault="00C73AA2" w:rsidP="00CF4964">
      <w:pPr>
        <w:tabs>
          <w:tab w:val="left" w:pos="6210"/>
        </w:tabs>
        <w:spacing w:after="0" w:line="360" w:lineRule="auto"/>
        <w:ind w:firstLine="426"/>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b)</w:t>
      </w:r>
      <w:r w:rsidR="00CF4964" w:rsidRPr="00A90E6A">
        <w:rPr>
          <w:rFonts w:ascii="Times New Roman" w:hAnsi="Times New Roman" w:cs="Times New Roman"/>
          <w:b/>
          <w:bCs/>
          <w:color w:val="000000" w:themeColor="text1"/>
          <w:sz w:val="26"/>
          <w:szCs w:val="26"/>
          <w:lang w:val="vi-VN"/>
        </w:rPr>
        <w:t xml:space="preserve"> </w:t>
      </w:r>
      <w:r w:rsidRPr="00A90E6A">
        <w:rPr>
          <w:rFonts w:ascii="Times New Roman" w:hAnsi="Times New Roman" w:cs="Times New Roman"/>
          <w:b/>
          <w:bCs/>
          <w:color w:val="000000" w:themeColor="text1"/>
          <w:sz w:val="26"/>
          <w:szCs w:val="26"/>
          <w:lang w:val="vi-VN"/>
        </w:rPr>
        <w:t xml:space="preserve">Tình hình cho vay của ngân hàng TMCP Quân đội – Chi nhánh Đà </w:t>
      </w:r>
      <w:r w:rsidR="00CF4964" w:rsidRPr="00A90E6A">
        <w:rPr>
          <w:rFonts w:ascii="Times New Roman" w:hAnsi="Times New Roman" w:cs="Times New Roman"/>
          <w:b/>
          <w:bCs/>
          <w:color w:val="000000" w:themeColor="text1"/>
          <w:sz w:val="26"/>
          <w:szCs w:val="26"/>
          <w:lang w:val="vi-VN"/>
        </w:rPr>
        <w:t>Nẵng.</w:t>
      </w:r>
    </w:p>
    <w:p w14:paraId="0FEF08A7" w14:textId="77777777" w:rsidR="00C73AA2" w:rsidRPr="00A90E6A" w:rsidRDefault="00C73AA2" w:rsidP="00C73AA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Giai đoạn 2023–2025, hoạt động cho vay của Ngân hàng TMCP Quân đội – Chi nhánh Đà Nẵng phát triển ổn định, đáp ứng tốt nhu cầu vốn của khách hàng cá nhân và doanh nghiệp thông qua các sản phẩm tín dụng linh hoạt. Chi nhánh đã cải tiến quy trình cấp tín dụng theo hướng đơn giản, nhanh chóng, đồng thời đẩy mạnh ứng dụng công nghệ số giúp rút ngắn thời gian xử lý hồ sơ, nâng cao mức độ hài lòng của khách hàng.</w:t>
      </w:r>
    </w:p>
    <w:p w14:paraId="77CB4F2E" w14:textId="602B9BA0" w:rsidR="00C73AA2" w:rsidRPr="00A90E6A" w:rsidRDefault="00C73AA2" w:rsidP="003D10F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Chi nhánh tập trung vào phân khúc doanh nghiệp vừa và nhỏ với các gói vay ưu đãi, đồng thời tăng cường công tác thẩm định và kiểm soát rủi ro, qua đó duy trì chất lượng tín dụng ổn định và kiểm soát tốt tỷ lệ nợ xấu. Kết quả cụ thể được thể hiện ở Bảng 2.2 dưới đây.</w:t>
      </w:r>
    </w:p>
    <w:p w14:paraId="0CC1C9AC" w14:textId="789A6DAE" w:rsidR="00C73AA2" w:rsidRPr="002B008A" w:rsidRDefault="00C73AA2" w:rsidP="00C73AA2">
      <w:pPr>
        <w:rPr>
          <w:rFonts w:ascii="Times New Roman" w:hAnsi="Times New Roman" w:cs="Times New Roman"/>
          <w:sz w:val="26"/>
          <w:szCs w:val="26"/>
          <w:lang w:val="vi-VN"/>
        </w:rPr>
        <w:sectPr w:rsidR="00C73AA2" w:rsidRPr="002B008A" w:rsidSect="009E0361">
          <w:pgSz w:w="11906" w:h="16838" w:code="9"/>
          <w:pgMar w:top="1134" w:right="1134" w:bottom="1134" w:left="1701" w:header="720" w:footer="720" w:gutter="0"/>
          <w:cols w:space="720"/>
          <w:docGrid w:linePitch="360"/>
        </w:sectPr>
      </w:pPr>
    </w:p>
    <w:p w14:paraId="70AEB26A" w14:textId="2CA02A03" w:rsidR="009F3524" w:rsidRPr="002B008A" w:rsidRDefault="003D10F1" w:rsidP="003D10F1">
      <w:pPr>
        <w:pStyle w:val="Caption"/>
        <w:jc w:val="center"/>
        <w:rPr>
          <w:rFonts w:ascii="Times New Roman" w:hAnsi="Times New Roman" w:cs="Times New Roman"/>
          <w:lang w:val="vi-VN"/>
        </w:rPr>
      </w:pPr>
      <w:bookmarkStart w:id="43" w:name="_Toc230367578"/>
      <w:r w:rsidRPr="002B008A">
        <w:rPr>
          <w:rFonts w:ascii="Times New Roman" w:hAnsi="Times New Roman" w:cs="Times New Roman"/>
          <w:b/>
          <w:bCs/>
          <w:i w:val="0"/>
          <w:iCs w:val="0"/>
          <w:color w:val="auto"/>
          <w:sz w:val="26"/>
          <w:szCs w:val="26"/>
          <w:lang w:val="vi-VN"/>
        </w:rPr>
        <w:lastRenderedPageBreak/>
        <w:t>Bảng 2.</w:t>
      </w:r>
      <w:r w:rsidRPr="002B008A">
        <w:rPr>
          <w:rFonts w:ascii="Times New Roman" w:hAnsi="Times New Roman" w:cs="Times New Roman"/>
          <w:b/>
          <w:bCs/>
          <w:i w:val="0"/>
          <w:iCs w:val="0"/>
          <w:color w:val="auto"/>
          <w:sz w:val="26"/>
          <w:szCs w:val="26"/>
        </w:rPr>
        <w:fldChar w:fldCharType="begin"/>
      </w:r>
      <w:r w:rsidRPr="002B008A">
        <w:rPr>
          <w:rFonts w:ascii="Times New Roman" w:hAnsi="Times New Roman" w:cs="Times New Roman"/>
          <w:b/>
          <w:bCs/>
          <w:i w:val="0"/>
          <w:iCs w:val="0"/>
          <w:color w:val="auto"/>
          <w:sz w:val="26"/>
          <w:szCs w:val="26"/>
          <w:lang w:val="vi-VN"/>
        </w:rPr>
        <w:instrText xml:space="preserve"> SEQ Bảng_2. \* ARABIC </w:instrText>
      </w:r>
      <w:r w:rsidRPr="002B008A">
        <w:rPr>
          <w:rFonts w:ascii="Times New Roman" w:hAnsi="Times New Roman" w:cs="Times New Roman"/>
          <w:b/>
          <w:bCs/>
          <w:i w:val="0"/>
          <w:iCs w:val="0"/>
          <w:color w:val="auto"/>
          <w:sz w:val="26"/>
          <w:szCs w:val="26"/>
        </w:rPr>
        <w:fldChar w:fldCharType="separate"/>
      </w:r>
      <w:r w:rsidR="002F2275">
        <w:rPr>
          <w:rFonts w:ascii="Times New Roman" w:hAnsi="Times New Roman" w:cs="Times New Roman"/>
          <w:b/>
          <w:bCs/>
          <w:i w:val="0"/>
          <w:iCs w:val="0"/>
          <w:noProof/>
          <w:color w:val="auto"/>
          <w:sz w:val="26"/>
          <w:szCs w:val="26"/>
          <w:lang w:val="vi-VN"/>
        </w:rPr>
        <w:t>2</w:t>
      </w:r>
      <w:r w:rsidRPr="002B008A">
        <w:rPr>
          <w:rFonts w:ascii="Times New Roman" w:hAnsi="Times New Roman" w:cs="Times New Roman"/>
          <w:b/>
          <w:bCs/>
          <w:i w:val="0"/>
          <w:iCs w:val="0"/>
          <w:color w:val="auto"/>
          <w:sz w:val="26"/>
          <w:szCs w:val="26"/>
        </w:rPr>
        <w:fldChar w:fldCharType="end"/>
      </w:r>
      <w:r w:rsidRPr="002B008A">
        <w:rPr>
          <w:rFonts w:ascii="Times New Roman" w:hAnsi="Times New Roman" w:cs="Times New Roman"/>
          <w:color w:val="auto"/>
          <w:lang w:val="vi-VN"/>
        </w:rPr>
        <w:t xml:space="preserve"> </w:t>
      </w:r>
      <w:r w:rsidR="009F3524" w:rsidRPr="002B008A">
        <w:rPr>
          <w:rFonts w:ascii="Times New Roman" w:hAnsi="Times New Roman" w:cs="Times New Roman"/>
          <w:b/>
          <w:bCs/>
          <w:i w:val="0"/>
          <w:iCs w:val="0"/>
          <w:color w:val="auto"/>
          <w:sz w:val="26"/>
          <w:szCs w:val="26"/>
          <w:lang w:val="vi"/>
        </w:rPr>
        <w:t>Kết quả cho vay của Ngân hàng TMCP Quân đội – Chi nhánh Đà Nẵng (giai đoạn 2023 - 2025)</w:t>
      </w:r>
      <w:r w:rsidR="00CF4964" w:rsidRPr="002B008A">
        <w:rPr>
          <w:rFonts w:ascii="Times New Roman" w:hAnsi="Times New Roman" w:cs="Times New Roman"/>
          <w:b/>
          <w:bCs/>
          <w:i w:val="0"/>
          <w:iCs w:val="0"/>
          <w:color w:val="auto"/>
          <w:sz w:val="26"/>
          <w:szCs w:val="26"/>
          <w:lang w:val="vi"/>
        </w:rPr>
        <w:t>.</w:t>
      </w:r>
      <w:bookmarkEnd w:id="43"/>
    </w:p>
    <w:p w14:paraId="5072CAF7" w14:textId="01847EE6" w:rsidR="009F3524" w:rsidRPr="002B008A" w:rsidRDefault="009F3524" w:rsidP="00A139CF">
      <w:pPr>
        <w:tabs>
          <w:tab w:val="left" w:pos="6210"/>
        </w:tabs>
        <w:spacing w:after="0" w:line="360" w:lineRule="auto"/>
        <w:ind w:firstLine="567"/>
        <w:jc w:val="right"/>
        <w:rPr>
          <w:rFonts w:ascii="Times New Roman" w:eastAsia="Times New Roman" w:hAnsi="Times New Roman" w:cs="Times New Roman"/>
          <w:color w:val="000000"/>
          <w:kern w:val="0"/>
          <w:sz w:val="26"/>
          <w:szCs w:val="26"/>
          <w:lang w:val="vi-VN"/>
          <w14:ligatures w14:val="none"/>
        </w:rPr>
      </w:pPr>
      <w:r w:rsidRPr="002B008A">
        <w:rPr>
          <w:rFonts w:ascii="Times New Roman" w:eastAsia="Times New Roman" w:hAnsi="Times New Roman" w:cs="Times New Roman"/>
          <w:color w:val="000000"/>
          <w:kern w:val="0"/>
          <w:sz w:val="26"/>
          <w:szCs w:val="26"/>
          <w:lang w:val="vi-VN"/>
          <w14:ligatures w14:val="none"/>
        </w:rPr>
        <w:t>Đơn vị tính: Tỷ đồng</w:t>
      </w:r>
    </w:p>
    <w:tbl>
      <w:tblPr>
        <w:tblW w:w="0" w:type="auto"/>
        <w:tblLayout w:type="fixed"/>
        <w:tblLook w:val="04A0" w:firstRow="1" w:lastRow="0" w:firstColumn="1" w:lastColumn="0" w:noHBand="0" w:noVBand="1"/>
      </w:tblPr>
      <w:tblGrid>
        <w:gridCol w:w="2547"/>
        <w:gridCol w:w="992"/>
        <w:gridCol w:w="1057"/>
        <w:gridCol w:w="1211"/>
        <w:gridCol w:w="1209"/>
        <w:gridCol w:w="1201"/>
        <w:gridCol w:w="1219"/>
        <w:gridCol w:w="1191"/>
        <w:gridCol w:w="1209"/>
        <w:gridCol w:w="1200"/>
        <w:gridCol w:w="1200"/>
      </w:tblGrid>
      <w:tr w:rsidR="009C590F" w:rsidRPr="002B008A" w14:paraId="461D19DA" w14:textId="77777777" w:rsidTr="0056151F">
        <w:trPr>
          <w:trHeight w:val="336"/>
        </w:trPr>
        <w:tc>
          <w:tcPr>
            <w:tcW w:w="2547" w:type="dxa"/>
            <w:vMerge w:val="restart"/>
            <w:tcBorders>
              <w:top w:val="single" w:sz="4" w:space="0" w:color="auto"/>
              <w:left w:val="single" w:sz="4" w:space="0" w:color="auto"/>
              <w:bottom w:val="single" w:sz="4" w:space="0" w:color="000000"/>
              <w:right w:val="single" w:sz="4" w:space="0" w:color="auto"/>
            </w:tcBorders>
            <w:shd w:val="clear" w:color="000000" w:fill="C0E6F5"/>
            <w:noWrap/>
            <w:vAlign w:val="center"/>
            <w:hideMark/>
          </w:tcPr>
          <w:p w14:paraId="210BD6F5"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Chỉ tiêu</w:t>
            </w:r>
          </w:p>
        </w:tc>
        <w:tc>
          <w:tcPr>
            <w:tcW w:w="2049" w:type="dxa"/>
            <w:gridSpan w:val="2"/>
            <w:tcBorders>
              <w:top w:val="single" w:sz="4" w:space="0" w:color="auto"/>
              <w:left w:val="nil"/>
              <w:bottom w:val="single" w:sz="4" w:space="0" w:color="auto"/>
              <w:right w:val="single" w:sz="4" w:space="0" w:color="000000"/>
            </w:tcBorders>
            <w:shd w:val="clear" w:color="000000" w:fill="C0E6F5"/>
            <w:noWrap/>
            <w:vAlign w:val="center"/>
            <w:hideMark/>
          </w:tcPr>
          <w:p w14:paraId="5E422D33"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2023</w:t>
            </w:r>
          </w:p>
        </w:tc>
        <w:tc>
          <w:tcPr>
            <w:tcW w:w="2420" w:type="dxa"/>
            <w:gridSpan w:val="2"/>
            <w:tcBorders>
              <w:top w:val="single" w:sz="4" w:space="0" w:color="auto"/>
              <w:left w:val="nil"/>
              <w:bottom w:val="single" w:sz="4" w:space="0" w:color="auto"/>
              <w:right w:val="single" w:sz="4" w:space="0" w:color="000000"/>
            </w:tcBorders>
            <w:shd w:val="clear" w:color="000000" w:fill="C0E6F5"/>
            <w:noWrap/>
            <w:vAlign w:val="center"/>
            <w:hideMark/>
          </w:tcPr>
          <w:p w14:paraId="2BCCE036"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2024</w:t>
            </w:r>
          </w:p>
        </w:tc>
        <w:tc>
          <w:tcPr>
            <w:tcW w:w="2420" w:type="dxa"/>
            <w:gridSpan w:val="2"/>
            <w:tcBorders>
              <w:top w:val="single" w:sz="4" w:space="0" w:color="auto"/>
              <w:left w:val="nil"/>
              <w:bottom w:val="single" w:sz="4" w:space="0" w:color="auto"/>
              <w:right w:val="single" w:sz="4" w:space="0" w:color="000000"/>
            </w:tcBorders>
            <w:shd w:val="clear" w:color="000000" w:fill="C0E6F5"/>
            <w:noWrap/>
            <w:vAlign w:val="center"/>
            <w:hideMark/>
          </w:tcPr>
          <w:p w14:paraId="6DC2338F"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2025</w:t>
            </w:r>
          </w:p>
        </w:tc>
        <w:tc>
          <w:tcPr>
            <w:tcW w:w="2400" w:type="dxa"/>
            <w:gridSpan w:val="2"/>
            <w:tcBorders>
              <w:top w:val="single" w:sz="4" w:space="0" w:color="auto"/>
              <w:left w:val="nil"/>
              <w:bottom w:val="single" w:sz="4" w:space="0" w:color="auto"/>
              <w:right w:val="single" w:sz="4" w:space="0" w:color="000000"/>
            </w:tcBorders>
            <w:shd w:val="clear" w:color="000000" w:fill="C0E6F5"/>
            <w:noWrap/>
            <w:vAlign w:val="center"/>
            <w:hideMark/>
          </w:tcPr>
          <w:p w14:paraId="4E40DAC7"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2024/2023</w:t>
            </w:r>
          </w:p>
        </w:tc>
        <w:tc>
          <w:tcPr>
            <w:tcW w:w="2400" w:type="dxa"/>
            <w:gridSpan w:val="2"/>
            <w:tcBorders>
              <w:top w:val="single" w:sz="4" w:space="0" w:color="auto"/>
              <w:left w:val="nil"/>
              <w:bottom w:val="single" w:sz="4" w:space="0" w:color="auto"/>
              <w:right w:val="single" w:sz="4" w:space="0" w:color="000000"/>
            </w:tcBorders>
            <w:shd w:val="clear" w:color="000000" w:fill="C0E6F5"/>
            <w:noWrap/>
            <w:vAlign w:val="center"/>
            <w:hideMark/>
          </w:tcPr>
          <w:p w14:paraId="2915D870"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2025/2024</w:t>
            </w:r>
          </w:p>
        </w:tc>
      </w:tr>
      <w:tr w:rsidR="009C590F" w:rsidRPr="002B008A" w14:paraId="1E695E33" w14:textId="77777777" w:rsidTr="0056151F">
        <w:trPr>
          <w:trHeight w:val="336"/>
        </w:trPr>
        <w:tc>
          <w:tcPr>
            <w:tcW w:w="2547" w:type="dxa"/>
            <w:vMerge/>
            <w:tcBorders>
              <w:top w:val="single" w:sz="4" w:space="0" w:color="auto"/>
              <w:left w:val="single" w:sz="4" w:space="0" w:color="auto"/>
              <w:bottom w:val="single" w:sz="4" w:space="0" w:color="000000"/>
              <w:right w:val="single" w:sz="4" w:space="0" w:color="auto"/>
            </w:tcBorders>
            <w:vAlign w:val="center"/>
            <w:hideMark/>
          </w:tcPr>
          <w:p w14:paraId="65759FE0"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p>
        </w:tc>
        <w:tc>
          <w:tcPr>
            <w:tcW w:w="992" w:type="dxa"/>
            <w:tcBorders>
              <w:top w:val="nil"/>
              <w:left w:val="nil"/>
              <w:bottom w:val="single" w:sz="4" w:space="0" w:color="auto"/>
              <w:right w:val="single" w:sz="4" w:space="0" w:color="auto"/>
            </w:tcBorders>
            <w:shd w:val="clear" w:color="000000" w:fill="C0E6F5"/>
            <w:noWrap/>
            <w:vAlign w:val="center"/>
            <w:hideMark/>
          </w:tcPr>
          <w:p w14:paraId="6C8352DA"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057" w:type="dxa"/>
            <w:tcBorders>
              <w:top w:val="nil"/>
              <w:left w:val="nil"/>
              <w:bottom w:val="single" w:sz="4" w:space="0" w:color="auto"/>
              <w:right w:val="single" w:sz="4" w:space="0" w:color="auto"/>
            </w:tcBorders>
            <w:shd w:val="clear" w:color="000000" w:fill="C0E6F5"/>
            <w:noWrap/>
            <w:vAlign w:val="center"/>
            <w:hideMark/>
          </w:tcPr>
          <w:p w14:paraId="050E666A"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1211" w:type="dxa"/>
            <w:tcBorders>
              <w:top w:val="nil"/>
              <w:left w:val="nil"/>
              <w:bottom w:val="single" w:sz="4" w:space="0" w:color="auto"/>
              <w:right w:val="single" w:sz="4" w:space="0" w:color="auto"/>
            </w:tcBorders>
            <w:shd w:val="clear" w:color="000000" w:fill="C0E6F5"/>
            <w:noWrap/>
            <w:vAlign w:val="center"/>
            <w:hideMark/>
          </w:tcPr>
          <w:p w14:paraId="147BB5AB" w14:textId="18210F78"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209" w:type="dxa"/>
            <w:tcBorders>
              <w:top w:val="nil"/>
              <w:left w:val="nil"/>
              <w:bottom w:val="single" w:sz="4" w:space="0" w:color="auto"/>
              <w:right w:val="single" w:sz="4" w:space="0" w:color="auto"/>
            </w:tcBorders>
            <w:shd w:val="clear" w:color="000000" w:fill="C0E6F5"/>
            <w:noWrap/>
            <w:vAlign w:val="center"/>
            <w:hideMark/>
          </w:tcPr>
          <w:p w14:paraId="68F52DB2"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1201" w:type="dxa"/>
            <w:tcBorders>
              <w:top w:val="nil"/>
              <w:left w:val="nil"/>
              <w:bottom w:val="single" w:sz="4" w:space="0" w:color="auto"/>
              <w:right w:val="single" w:sz="4" w:space="0" w:color="auto"/>
            </w:tcBorders>
            <w:shd w:val="clear" w:color="000000" w:fill="C0E6F5"/>
            <w:noWrap/>
            <w:vAlign w:val="center"/>
            <w:hideMark/>
          </w:tcPr>
          <w:p w14:paraId="20E6F7EF"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219" w:type="dxa"/>
            <w:tcBorders>
              <w:top w:val="nil"/>
              <w:left w:val="nil"/>
              <w:bottom w:val="single" w:sz="4" w:space="0" w:color="auto"/>
              <w:right w:val="single" w:sz="4" w:space="0" w:color="auto"/>
            </w:tcBorders>
            <w:shd w:val="clear" w:color="000000" w:fill="C0E6F5"/>
            <w:noWrap/>
            <w:vAlign w:val="center"/>
            <w:hideMark/>
          </w:tcPr>
          <w:p w14:paraId="57C23F60"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1191" w:type="dxa"/>
            <w:tcBorders>
              <w:top w:val="nil"/>
              <w:left w:val="nil"/>
              <w:bottom w:val="single" w:sz="4" w:space="0" w:color="auto"/>
              <w:right w:val="single" w:sz="4" w:space="0" w:color="auto"/>
            </w:tcBorders>
            <w:shd w:val="clear" w:color="000000" w:fill="C0E6F5"/>
            <w:noWrap/>
            <w:vAlign w:val="center"/>
            <w:hideMark/>
          </w:tcPr>
          <w:p w14:paraId="52061E84"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209" w:type="dxa"/>
            <w:tcBorders>
              <w:top w:val="nil"/>
              <w:left w:val="nil"/>
              <w:bottom w:val="single" w:sz="4" w:space="0" w:color="auto"/>
              <w:right w:val="single" w:sz="4" w:space="0" w:color="auto"/>
            </w:tcBorders>
            <w:shd w:val="clear" w:color="000000" w:fill="C0E6F5"/>
            <w:noWrap/>
            <w:vAlign w:val="center"/>
            <w:hideMark/>
          </w:tcPr>
          <w:p w14:paraId="4FCD8339"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c>
          <w:tcPr>
            <w:tcW w:w="1200" w:type="dxa"/>
            <w:tcBorders>
              <w:top w:val="nil"/>
              <w:left w:val="nil"/>
              <w:bottom w:val="single" w:sz="4" w:space="0" w:color="auto"/>
              <w:right w:val="single" w:sz="4" w:space="0" w:color="auto"/>
            </w:tcBorders>
            <w:shd w:val="clear" w:color="000000" w:fill="C0E6F5"/>
            <w:noWrap/>
            <w:vAlign w:val="center"/>
            <w:hideMark/>
          </w:tcPr>
          <w:p w14:paraId="1A2FF04F"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200" w:type="dxa"/>
            <w:tcBorders>
              <w:top w:val="nil"/>
              <w:left w:val="nil"/>
              <w:bottom w:val="single" w:sz="4" w:space="0" w:color="auto"/>
              <w:right w:val="single" w:sz="4" w:space="0" w:color="auto"/>
            </w:tcBorders>
            <w:shd w:val="clear" w:color="000000" w:fill="C0E6F5"/>
            <w:noWrap/>
            <w:vAlign w:val="center"/>
            <w:hideMark/>
          </w:tcPr>
          <w:p w14:paraId="3C22CEEE"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r>
      <w:tr w:rsidR="009C590F" w:rsidRPr="002B008A" w14:paraId="4932462C"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4B4F86EB" w14:textId="77777777" w:rsidR="009C590F" w:rsidRPr="002B008A" w:rsidRDefault="009C590F" w:rsidP="00B2439B">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 Doanh số cho vay</w:t>
            </w:r>
          </w:p>
        </w:tc>
        <w:tc>
          <w:tcPr>
            <w:tcW w:w="992" w:type="dxa"/>
            <w:tcBorders>
              <w:top w:val="nil"/>
              <w:left w:val="nil"/>
              <w:bottom w:val="single" w:sz="4" w:space="0" w:color="auto"/>
              <w:right w:val="single" w:sz="4" w:space="0" w:color="auto"/>
            </w:tcBorders>
            <w:noWrap/>
            <w:vAlign w:val="center"/>
            <w:hideMark/>
          </w:tcPr>
          <w:p w14:paraId="44F7CEA5"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1.773</w:t>
            </w:r>
          </w:p>
        </w:tc>
        <w:tc>
          <w:tcPr>
            <w:tcW w:w="1057" w:type="dxa"/>
            <w:tcBorders>
              <w:top w:val="nil"/>
              <w:left w:val="nil"/>
              <w:bottom w:val="single" w:sz="4" w:space="0" w:color="auto"/>
              <w:right w:val="single" w:sz="4" w:space="0" w:color="auto"/>
            </w:tcBorders>
            <w:noWrap/>
            <w:vAlign w:val="center"/>
            <w:hideMark/>
          </w:tcPr>
          <w:p w14:paraId="71BF71A5"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211" w:type="dxa"/>
            <w:tcBorders>
              <w:top w:val="nil"/>
              <w:left w:val="nil"/>
              <w:bottom w:val="single" w:sz="4" w:space="0" w:color="auto"/>
              <w:right w:val="single" w:sz="4" w:space="0" w:color="auto"/>
            </w:tcBorders>
            <w:noWrap/>
            <w:vAlign w:val="center"/>
            <w:hideMark/>
          </w:tcPr>
          <w:p w14:paraId="5877C1BF"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2.088</w:t>
            </w:r>
          </w:p>
        </w:tc>
        <w:tc>
          <w:tcPr>
            <w:tcW w:w="1209" w:type="dxa"/>
            <w:tcBorders>
              <w:top w:val="nil"/>
              <w:left w:val="nil"/>
              <w:bottom w:val="single" w:sz="4" w:space="0" w:color="auto"/>
              <w:right w:val="single" w:sz="4" w:space="0" w:color="auto"/>
            </w:tcBorders>
            <w:noWrap/>
            <w:vAlign w:val="center"/>
            <w:hideMark/>
          </w:tcPr>
          <w:p w14:paraId="0550B181"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201" w:type="dxa"/>
            <w:tcBorders>
              <w:top w:val="nil"/>
              <w:left w:val="nil"/>
              <w:bottom w:val="single" w:sz="4" w:space="0" w:color="auto"/>
              <w:right w:val="single" w:sz="4" w:space="0" w:color="auto"/>
            </w:tcBorders>
            <w:noWrap/>
            <w:vAlign w:val="center"/>
            <w:hideMark/>
          </w:tcPr>
          <w:p w14:paraId="03B651AC"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2.460</w:t>
            </w:r>
          </w:p>
        </w:tc>
        <w:tc>
          <w:tcPr>
            <w:tcW w:w="1219" w:type="dxa"/>
            <w:tcBorders>
              <w:top w:val="nil"/>
              <w:left w:val="nil"/>
              <w:bottom w:val="single" w:sz="4" w:space="0" w:color="auto"/>
              <w:right w:val="single" w:sz="4" w:space="0" w:color="auto"/>
            </w:tcBorders>
            <w:noWrap/>
            <w:vAlign w:val="center"/>
            <w:hideMark/>
          </w:tcPr>
          <w:p w14:paraId="0467E29E"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91" w:type="dxa"/>
            <w:tcBorders>
              <w:top w:val="nil"/>
              <w:left w:val="nil"/>
              <w:bottom w:val="single" w:sz="4" w:space="0" w:color="auto"/>
              <w:right w:val="single" w:sz="4" w:space="0" w:color="auto"/>
            </w:tcBorders>
            <w:noWrap/>
            <w:vAlign w:val="center"/>
            <w:hideMark/>
          </w:tcPr>
          <w:p w14:paraId="206D848B"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315</w:t>
            </w:r>
          </w:p>
        </w:tc>
        <w:tc>
          <w:tcPr>
            <w:tcW w:w="1209" w:type="dxa"/>
            <w:tcBorders>
              <w:top w:val="nil"/>
              <w:left w:val="nil"/>
              <w:bottom w:val="single" w:sz="4" w:space="0" w:color="auto"/>
              <w:right w:val="single" w:sz="4" w:space="0" w:color="auto"/>
            </w:tcBorders>
            <w:noWrap/>
            <w:vAlign w:val="center"/>
            <w:hideMark/>
          </w:tcPr>
          <w:p w14:paraId="2482845E"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17,77</w:t>
            </w:r>
          </w:p>
        </w:tc>
        <w:tc>
          <w:tcPr>
            <w:tcW w:w="1200" w:type="dxa"/>
            <w:tcBorders>
              <w:top w:val="nil"/>
              <w:left w:val="nil"/>
              <w:bottom w:val="single" w:sz="4" w:space="0" w:color="auto"/>
              <w:right w:val="single" w:sz="4" w:space="0" w:color="auto"/>
            </w:tcBorders>
            <w:noWrap/>
            <w:vAlign w:val="center"/>
            <w:hideMark/>
          </w:tcPr>
          <w:p w14:paraId="3E1CC2A5"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372</w:t>
            </w:r>
          </w:p>
        </w:tc>
        <w:tc>
          <w:tcPr>
            <w:tcW w:w="1200" w:type="dxa"/>
            <w:tcBorders>
              <w:top w:val="nil"/>
              <w:left w:val="nil"/>
              <w:bottom w:val="single" w:sz="4" w:space="0" w:color="auto"/>
              <w:right w:val="single" w:sz="4" w:space="0" w:color="auto"/>
            </w:tcBorders>
            <w:noWrap/>
            <w:vAlign w:val="center"/>
            <w:hideMark/>
          </w:tcPr>
          <w:p w14:paraId="70640C21"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17,82</w:t>
            </w:r>
          </w:p>
        </w:tc>
      </w:tr>
      <w:tr w:rsidR="009C590F" w:rsidRPr="002B008A" w14:paraId="1B89FA88"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28BAED50"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992" w:type="dxa"/>
            <w:tcBorders>
              <w:top w:val="nil"/>
              <w:left w:val="nil"/>
              <w:bottom w:val="single" w:sz="4" w:space="0" w:color="auto"/>
              <w:right w:val="single" w:sz="4" w:space="0" w:color="auto"/>
            </w:tcBorders>
            <w:noWrap/>
            <w:vAlign w:val="center"/>
            <w:hideMark/>
          </w:tcPr>
          <w:p w14:paraId="262EDC0C"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1.104</w:t>
            </w:r>
          </w:p>
        </w:tc>
        <w:tc>
          <w:tcPr>
            <w:tcW w:w="1057" w:type="dxa"/>
            <w:tcBorders>
              <w:top w:val="nil"/>
              <w:left w:val="nil"/>
              <w:bottom w:val="single" w:sz="4" w:space="0" w:color="auto"/>
              <w:right w:val="single" w:sz="4" w:space="0" w:color="auto"/>
            </w:tcBorders>
            <w:noWrap/>
            <w:vAlign w:val="center"/>
            <w:hideMark/>
          </w:tcPr>
          <w:p w14:paraId="6EBC84DC"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62,27</w:t>
            </w:r>
          </w:p>
        </w:tc>
        <w:tc>
          <w:tcPr>
            <w:tcW w:w="1211" w:type="dxa"/>
            <w:tcBorders>
              <w:top w:val="nil"/>
              <w:left w:val="nil"/>
              <w:bottom w:val="single" w:sz="4" w:space="0" w:color="auto"/>
              <w:right w:val="single" w:sz="4" w:space="0" w:color="auto"/>
            </w:tcBorders>
            <w:noWrap/>
            <w:vAlign w:val="center"/>
            <w:hideMark/>
          </w:tcPr>
          <w:p w14:paraId="5141D738"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1.371</w:t>
            </w:r>
          </w:p>
        </w:tc>
        <w:tc>
          <w:tcPr>
            <w:tcW w:w="1209" w:type="dxa"/>
            <w:tcBorders>
              <w:top w:val="nil"/>
              <w:left w:val="nil"/>
              <w:bottom w:val="single" w:sz="4" w:space="0" w:color="auto"/>
              <w:right w:val="single" w:sz="4" w:space="0" w:color="auto"/>
            </w:tcBorders>
            <w:noWrap/>
            <w:vAlign w:val="center"/>
            <w:hideMark/>
          </w:tcPr>
          <w:p w14:paraId="65EA5D60"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65,66</w:t>
            </w:r>
          </w:p>
        </w:tc>
        <w:tc>
          <w:tcPr>
            <w:tcW w:w="1201" w:type="dxa"/>
            <w:tcBorders>
              <w:top w:val="nil"/>
              <w:left w:val="nil"/>
              <w:bottom w:val="single" w:sz="4" w:space="0" w:color="auto"/>
              <w:right w:val="single" w:sz="4" w:space="0" w:color="auto"/>
            </w:tcBorders>
            <w:noWrap/>
            <w:vAlign w:val="center"/>
            <w:hideMark/>
          </w:tcPr>
          <w:p w14:paraId="6B0D2A80"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1.670</w:t>
            </w:r>
          </w:p>
        </w:tc>
        <w:tc>
          <w:tcPr>
            <w:tcW w:w="1219" w:type="dxa"/>
            <w:tcBorders>
              <w:top w:val="nil"/>
              <w:left w:val="nil"/>
              <w:bottom w:val="single" w:sz="4" w:space="0" w:color="auto"/>
              <w:right w:val="single" w:sz="4" w:space="0" w:color="auto"/>
            </w:tcBorders>
            <w:noWrap/>
            <w:vAlign w:val="center"/>
            <w:hideMark/>
          </w:tcPr>
          <w:p w14:paraId="73246FA7"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67,89</w:t>
            </w:r>
          </w:p>
        </w:tc>
        <w:tc>
          <w:tcPr>
            <w:tcW w:w="1191" w:type="dxa"/>
            <w:tcBorders>
              <w:top w:val="nil"/>
              <w:left w:val="nil"/>
              <w:bottom w:val="single" w:sz="4" w:space="0" w:color="auto"/>
              <w:right w:val="single" w:sz="4" w:space="0" w:color="auto"/>
            </w:tcBorders>
            <w:noWrap/>
            <w:vAlign w:val="center"/>
            <w:hideMark/>
          </w:tcPr>
          <w:p w14:paraId="57DC3CF2"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267</w:t>
            </w:r>
          </w:p>
        </w:tc>
        <w:tc>
          <w:tcPr>
            <w:tcW w:w="1209" w:type="dxa"/>
            <w:tcBorders>
              <w:top w:val="nil"/>
              <w:left w:val="nil"/>
              <w:bottom w:val="single" w:sz="4" w:space="0" w:color="auto"/>
              <w:right w:val="single" w:sz="4" w:space="0" w:color="auto"/>
            </w:tcBorders>
            <w:noWrap/>
            <w:vAlign w:val="center"/>
            <w:hideMark/>
          </w:tcPr>
          <w:p w14:paraId="371B03A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24,18</w:t>
            </w:r>
          </w:p>
        </w:tc>
        <w:tc>
          <w:tcPr>
            <w:tcW w:w="1200" w:type="dxa"/>
            <w:tcBorders>
              <w:top w:val="nil"/>
              <w:left w:val="nil"/>
              <w:bottom w:val="single" w:sz="4" w:space="0" w:color="auto"/>
              <w:right w:val="single" w:sz="4" w:space="0" w:color="auto"/>
            </w:tcBorders>
            <w:noWrap/>
            <w:vAlign w:val="center"/>
            <w:hideMark/>
          </w:tcPr>
          <w:p w14:paraId="2268F60A"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299</w:t>
            </w:r>
          </w:p>
        </w:tc>
        <w:tc>
          <w:tcPr>
            <w:tcW w:w="1200" w:type="dxa"/>
            <w:tcBorders>
              <w:top w:val="nil"/>
              <w:left w:val="nil"/>
              <w:bottom w:val="single" w:sz="4" w:space="0" w:color="auto"/>
              <w:right w:val="single" w:sz="4" w:space="0" w:color="auto"/>
            </w:tcBorders>
            <w:noWrap/>
            <w:vAlign w:val="center"/>
            <w:hideMark/>
          </w:tcPr>
          <w:p w14:paraId="2FB3B094"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21,81</w:t>
            </w:r>
          </w:p>
        </w:tc>
      </w:tr>
      <w:tr w:rsidR="009C590F" w:rsidRPr="002B008A" w14:paraId="3483D07F"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175CE1F1"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992" w:type="dxa"/>
            <w:tcBorders>
              <w:top w:val="nil"/>
              <w:left w:val="nil"/>
              <w:bottom w:val="single" w:sz="4" w:space="0" w:color="auto"/>
              <w:right w:val="single" w:sz="4" w:space="0" w:color="auto"/>
            </w:tcBorders>
            <w:noWrap/>
            <w:vAlign w:val="center"/>
            <w:hideMark/>
          </w:tcPr>
          <w:p w14:paraId="6154864F"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669</w:t>
            </w:r>
          </w:p>
        </w:tc>
        <w:tc>
          <w:tcPr>
            <w:tcW w:w="1057" w:type="dxa"/>
            <w:tcBorders>
              <w:top w:val="nil"/>
              <w:left w:val="nil"/>
              <w:bottom w:val="single" w:sz="4" w:space="0" w:color="auto"/>
              <w:right w:val="single" w:sz="4" w:space="0" w:color="auto"/>
            </w:tcBorders>
            <w:noWrap/>
            <w:vAlign w:val="center"/>
            <w:hideMark/>
          </w:tcPr>
          <w:p w14:paraId="02B1618A"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37,73</w:t>
            </w:r>
          </w:p>
        </w:tc>
        <w:tc>
          <w:tcPr>
            <w:tcW w:w="1211" w:type="dxa"/>
            <w:tcBorders>
              <w:top w:val="nil"/>
              <w:left w:val="nil"/>
              <w:bottom w:val="single" w:sz="4" w:space="0" w:color="auto"/>
              <w:right w:val="single" w:sz="4" w:space="0" w:color="auto"/>
            </w:tcBorders>
            <w:noWrap/>
            <w:vAlign w:val="center"/>
            <w:hideMark/>
          </w:tcPr>
          <w:p w14:paraId="69F7A0A1"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717</w:t>
            </w:r>
          </w:p>
        </w:tc>
        <w:tc>
          <w:tcPr>
            <w:tcW w:w="1209" w:type="dxa"/>
            <w:tcBorders>
              <w:top w:val="nil"/>
              <w:left w:val="nil"/>
              <w:bottom w:val="single" w:sz="4" w:space="0" w:color="auto"/>
              <w:right w:val="single" w:sz="4" w:space="0" w:color="auto"/>
            </w:tcBorders>
            <w:noWrap/>
            <w:vAlign w:val="center"/>
            <w:hideMark/>
          </w:tcPr>
          <w:p w14:paraId="5BDA34DA"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34,34</w:t>
            </w:r>
          </w:p>
        </w:tc>
        <w:tc>
          <w:tcPr>
            <w:tcW w:w="1201" w:type="dxa"/>
            <w:tcBorders>
              <w:top w:val="nil"/>
              <w:left w:val="nil"/>
              <w:bottom w:val="single" w:sz="4" w:space="0" w:color="auto"/>
              <w:right w:val="single" w:sz="4" w:space="0" w:color="auto"/>
            </w:tcBorders>
            <w:noWrap/>
            <w:vAlign w:val="center"/>
            <w:hideMark/>
          </w:tcPr>
          <w:p w14:paraId="5D2A8368"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790</w:t>
            </w:r>
          </w:p>
        </w:tc>
        <w:tc>
          <w:tcPr>
            <w:tcW w:w="1219" w:type="dxa"/>
            <w:tcBorders>
              <w:top w:val="nil"/>
              <w:left w:val="nil"/>
              <w:bottom w:val="single" w:sz="4" w:space="0" w:color="auto"/>
              <w:right w:val="single" w:sz="4" w:space="0" w:color="auto"/>
            </w:tcBorders>
            <w:noWrap/>
            <w:vAlign w:val="center"/>
            <w:hideMark/>
          </w:tcPr>
          <w:p w14:paraId="4300226B"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32,11</w:t>
            </w:r>
          </w:p>
        </w:tc>
        <w:tc>
          <w:tcPr>
            <w:tcW w:w="1191" w:type="dxa"/>
            <w:tcBorders>
              <w:top w:val="nil"/>
              <w:left w:val="nil"/>
              <w:bottom w:val="single" w:sz="4" w:space="0" w:color="auto"/>
              <w:right w:val="single" w:sz="4" w:space="0" w:color="auto"/>
            </w:tcBorders>
            <w:noWrap/>
            <w:vAlign w:val="center"/>
            <w:hideMark/>
          </w:tcPr>
          <w:p w14:paraId="77354373"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48</w:t>
            </w:r>
          </w:p>
        </w:tc>
        <w:tc>
          <w:tcPr>
            <w:tcW w:w="1209" w:type="dxa"/>
            <w:tcBorders>
              <w:top w:val="nil"/>
              <w:left w:val="nil"/>
              <w:bottom w:val="single" w:sz="4" w:space="0" w:color="auto"/>
              <w:right w:val="single" w:sz="4" w:space="0" w:color="auto"/>
            </w:tcBorders>
            <w:noWrap/>
            <w:vAlign w:val="center"/>
            <w:hideMark/>
          </w:tcPr>
          <w:p w14:paraId="51699826"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7,17</w:t>
            </w:r>
          </w:p>
        </w:tc>
        <w:tc>
          <w:tcPr>
            <w:tcW w:w="1200" w:type="dxa"/>
            <w:tcBorders>
              <w:top w:val="nil"/>
              <w:left w:val="nil"/>
              <w:bottom w:val="single" w:sz="4" w:space="0" w:color="auto"/>
              <w:right w:val="single" w:sz="4" w:space="0" w:color="auto"/>
            </w:tcBorders>
            <w:noWrap/>
            <w:vAlign w:val="center"/>
            <w:hideMark/>
          </w:tcPr>
          <w:p w14:paraId="5AFECFE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73</w:t>
            </w:r>
          </w:p>
        </w:tc>
        <w:tc>
          <w:tcPr>
            <w:tcW w:w="1200" w:type="dxa"/>
            <w:tcBorders>
              <w:top w:val="nil"/>
              <w:left w:val="nil"/>
              <w:bottom w:val="single" w:sz="4" w:space="0" w:color="auto"/>
              <w:right w:val="single" w:sz="4" w:space="0" w:color="auto"/>
            </w:tcBorders>
            <w:noWrap/>
            <w:vAlign w:val="center"/>
            <w:hideMark/>
          </w:tcPr>
          <w:p w14:paraId="7C7BCD67"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10,18</w:t>
            </w:r>
          </w:p>
        </w:tc>
      </w:tr>
      <w:tr w:rsidR="009C590F" w:rsidRPr="002B008A" w14:paraId="5924D1CB"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3FE25727" w14:textId="77777777" w:rsidR="009C590F" w:rsidRPr="002B008A" w:rsidRDefault="009C590F" w:rsidP="00B2439B">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2.Doanh số thu nợ</w:t>
            </w:r>
          </w:p>
        </w:tc>
        <w:tc>
          <w:tcPr>
            <w:tcW w:w="992" w:type="dxa"/>
            <w:tcBorders>
              <w:top w:val="nil"/>
              <w:left w:val="nil"/>
              <w:bottom w:val="single" w:sz="4" w:space="0" w:color="auto"/>
              <w:right w:val="single" w:sz="4" w:space="0" w:color="auto"/>
            </w:tcBorders>
            <w:noWrap/>
            <w:vAlign w:val="center"/>
            <w:hideMark/>
          </w:tcPr>
          <w:p w14:paraId="693643CA"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1.225</w:t>
            </w:r>
          </w:p>
        </w:tc>
        <w:tc>
          <w:tcPr>
            <w:tcW w:w="1057" w:type="dxa"/>
            <w:tcBorders>
              <w:top w:val="nil"/>
              <w:left w:val="nil"/>
              <w:bottom w:val="single" w:sz="4" w:space="0" w:color="auto"/>
              <w:right w:val="single" w:sz="4" w:space="0" w:color="auto"/>
            </w:tcBorders>
            <w:noWrap/>
            <w:vAlign w:val="center"/>
            <w:hideMark/>
          </w:tcPr>
          <w:p w14:paraId="61D3874E"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211" w:type="dxa"/>
            <w:tcBorders>
              <w:top w:val="nil"/>
              <w:left w:val="nil"/>
              <w:bottom w:val="single" w:sz="4" w:space="0" w:color="auto"/>
              <w:right w:val="single" w:sz="4" w:space="0" w:color="auto"/>
            </w:tcBorders>
            <w:noWrap/>
            <w:vAlign w:val="center"/>
            <w:hideMark/>
          </w:tcPr>
          <w:p w14:paraId="0AFA9CE5"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1.417</w:t>
            </w:r>
          </w:p>
        </w:tc>
        <w:tc>
          <w:tcPr>
            <w:tcW w:w="1209" w:type="dxa"/>
            <w:tcBorders>
              <w:top w:val="nil"/>
              <w:left w:val="nil"/>
              <w:bottom w:val="single" w:sz="4" w:space="0" w:color="auto"/>
              <w:right w:val="single" w:sz="4" w:space="0" w:color="auto"/>
            </w:tcBorders>
            <w:noWrap/>
            <w:vAlign w:val="center"/>
            <w:hideMark/>
          </w:tcPr>
          <w:p w14:paraId="4B61C3B3"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201" w:type="dxa"/>
            <w:tcBorders>
              <w:top w:val="nil"/>
              <w:left w:val="nil"/>
              <w:bottom w:val="single" w:sz="4" w:space="0" w:color="auto"/>
              <w:right w:val="single" w:sz="4" w:space="0" w:color="auto"/>
            </w:tcBorders>
            <w:noWrap/>
            <w:vAlign w:val="center"/>
            <w:hideMark/>
          </w:tcPr>
          <w:p w14:paraId="009D80F3"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1.650</w:t>
            </w:r>
          </w:p>
        </w:tc>
        <w:tc>
          <w:tcPr>
            <w:tcW w:w="1219" w:type="dxa"/>
            <w:tcBorders>
              <w:top w:val="nil"/>
              <w:left w:val="nil"/>
              <w:bottom w:val="single" w:sz="4" w:space="0" w:color="auto"/>
              <w:right w:val="single" w:sz="4" w:space="0" w:color="auto"/>
            </w:tcBorders>
            <w:noWrap/>
            <w:vAlign w:val="center"/>
            <w:hideMark/>
          </w:tcPr>
          <w:p w14:paraId="3568925D"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91" w:type="dxa"/>
            <w:tcBorders>
              <w:top w:val="nil"/>
              <w:left w:val="nil"/>
              <w:bottom w:val="single" w:sz="4" w:space="0" w:color="auto"/>
              <w:right w:val="single" w:sz="4" w:space="0" w:color="auto"/>
            </w:tcBorders>
            <w:noWrap/>
            <w:vAlign w:val="center"/>
            <w:hideMark/>
          </w:tcPr>
          <w:p w14:paraId="07C3DA73"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192</w:t>
            </w:r>
          </w:p>
        </w:tc>
        <w:tc>
          <w:tcPr>
            <w:tcW w:w="1209" w:type="dxa"/>
            <w:tcBorders>
              <w:top w:val="nil"/>
              <w:left w:val="nil"/>
              <w:bottom w:val="single" w:sz="4" w:space="0" w:color="auto"/>
              <w:right w:val="single" w:sz="4" w:space="0" w:color="auto"/>
            </w:tcBorders>
            <w:noWrap/>
            <w:vAlign w:val="center"/>
            <w:hideMark/>
          </w:tcPr>
          <w:p w14:paraId="7FA0127D"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15,67</w:t>
            </w:r>
          </w:p>
        </w:tc>
        <w:tc>
          <w:tcPr>
            <w:tcW w:w="1200" w:type="dxa"/>
            <w:tcBorders>
              <w:top w:val="nil"/>
              <w:left w:val="nil"/>
              <w:bottom w:val="single" w:sz="4" w:space="0" w:color="auto"/>
              <w:right w:val="single" w:sz="4" w:space="0" w:color="auto"/>
            </w:tcBorders>
            <w:noWrap/>
            <w:vAlign w:val="center"/>
            <w:hideMark/>
          </w:tcPr>
          <w:p w14:paraId="3AF245C3"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233</w:t>
            </w:r>
          </w:p>
        </w:tc>
        <w:tc>
          <w:tcPr>
            <w:tcW w:w="1200" w:type="dxa"/>
            <w:tcBorders>
              <w:top w:val="nil"/>
              <w:left w:val="nil"/>
              <w:bottom w:val="single" w:sz="4" w:space="0" w:color="auto"/>
              <w:right w:val="single" w:sz="4" w:space="0" w:color="auto"/>
            </w:tcBorders>
            <w:noWrap/>
            <w:vAlign w:val="center"/>
            <w:hideMark/>
          </w:tcPr>
          <w:p w14:paraId="7B6B2985"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16,44</w:t>
            </w:r>
          </w:p>
        </w:tc>
      </w:tr>
      <w:tr w:rsidR="009C590F" w:rsidRPr="002B008A" w14:paraId="721B98F7"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749149F6"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992" w:type="dxa"/>
            <w:tcBorders>
              <w:top w:val="nil"/>
              <w:left w:val="nil"/>
              <w:bottom w:val="single" w:sz="4" w:space="0" w:color="auto"/>
              <w:right w:val="single" w:sz="4" w:space="0" w:color="auto"/>
            </w:tcBorders>
            <w:noWrap/>
            <w:vAlign w:val="center"/>
            <w:hideMark/>
          </w:tcPr>
          <w:p w14:paraId="04CF4DD1"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812</w:t>
            </w:r>
          </w:p>
        </w:tc>
        <w:tc>
          <w:tcPr>
            <w:tcW w:w="1057" w:type="dxa"/>
            <w:tcBorders>
              <w:top w:val="nil"/>
              <w:left w:val="nil"/>
              <w:bottom w:val="single" w:sz="4" w:space="0" w:color="auto"/>
              <w:right w:val="single" w:sz="4" w:space="0" w:color="auto"/>
            </w:tcBorders>
            <w:noWrap/>
            <w:vAlign w:val="center"/>
            <w:hideMark/>
          </w:tcPr>
          <w:p w14:paraId="1FE910B0"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66,29</w:t>
            </w:r>
          </w:p>
        </w:tc>
        <w:tc>
          <w:tcPr>
            <w:tcW w:w="1211" w:type="dxa"/>
            <w:tcBorders>
              <w:top w:val="nil"/>
              <w:left w:val="nil"/>
              <w:bottom w:val="single" w:sz="4" w:space="0" w:color="auto"/>
              <w:right w:val="single" w:sz="4" w:space="0" w:color="auto"/>
            </w:tcBorders>
            <w:noWrap/>
            <w:vAlign w:val="center"/>
            <w:hideMark/>
          </w:tcPr>
          <w:p w14:paraId="4B31E789"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995</w:t>
            </w:r>
          </w:p>
        </w:tc>
        <w:tc>
          <w:tcPr>
            <w:tcW w:w="1209" w:type="dxa"/>
            <w:tcBorders>
              <w:top w:val="nil"/>
              <w:left w:val="nil"/>
              <w:bottom w:val="single" w:sz="4" w:space="0" w:color="auto"/>
              <w:right w:val="single" w:sz="4" w:space="0" w:color="auto"/>
            </w:tcBorders>
            <w:noWrap/>
            <w:vAlign w:val="center"/>
            <w:hideMark/>
          </w:tcPr>
          <w:p w14:paraId="548C4411"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70,22</w:t>
            </w:r>
          </w:p>
        </w:tc>
        <w:tc>
          <w:tcPr>
            <w:tcW w:w="1201" w:type="dxa"/>
            <w:tcBorders>
              <w:top w:val="nil"/>
              <w:left w:val="nil"/>
              <w:bottom w:val="single" w:sz="4" w:space="0" w:color="auto"/>
              <w:right w:val="single" w:sz="4" w:space="0" w:color="auto"/>
            </w:tcBorders>
            <w:noWrap/>
            <w:vAlign w:val="center"/>
            <w:hideMark/>
          </w:tcPr>
          <w:p w14:paraId="241C1D17"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1.200</w:t>
            </w:r>
          </w:p>
        </w:tc>
        <w:tc>
          <w:tcPr>
            <w:tcW w:w="1219" w:type="dxa"/>
            <w:tcBorders>
              <w:top w:val="nil"/>
              <w:left w:val="nil"/>
              <w:bottom w:val="single" w:sz="4" w:space="0" w:color="auto"/>
              <w:right w:val="single" w:sz="4" w:space="0" w:color="auto"/>
            </w:tcBorders>
            <w:noWrap/>
            <w:vAlign w:val="center"/>
            <w:hideMark/>
          </w:tcPr>
          <w:p w14:paraId="6594B7D2"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72,73</w:t>
            </w:r>
          </w:p>
        </w:tc>
        <w:tc>
          <w:tcPr>
            <w:tcW w:w="1191" w:type="dxa"/>
            <w:tcBorders>
              <w:top w:val="nil"/>
              <w:left w:val="nil"/>
              <w:bottom w:val="single" w:sz="4" w:space="0" w:color="auto"/>
              <w:right w:val="single" w:sz="4" w:space="0" w:color="auto"/>
            </w:tcBorders>
            <w:noWrap/>
            <w:vAlign w:val="center"/>
            <w:hideMark/>
          </w:tcPr>
          <w:p w14:paraId="155CE389"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183</w:t>
            </w:r>
          </w:p>
        </w:tc>
        <w:tc>
          <w:tcPr>
            <w:tcW w:w="1209" w:type="dxa"/>
            <w:tcBorders>
              <w:top w:val="nil"/>
              <w:left w:val="nil"/>
              <w:bottom w:val="single" w:sz="4" w:space="0" w:color="auto"/>
              <w:right w:val="single" w:sz="4" w:space="0" w:color="auto"/>
            </w:tcBorders>
            <w:noWrap/>
            <w:vAlign w:val="center"/>
            <w:hideMark/>
          </w:tcPr>
          <w:p w14:paraId="2791B5F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22,54</w:t>
            </w:r>
          </w:p>
        </w:tc>
        <w:tc>
          <w:tcPr>
            <w:tcW w:w="1200" w:type="dxa"/>
            <w:tcBorders>
              <w:top w:val="nil"/>
              <w:left w:val="nil"/>
              <w:bottom w:val="single" w:sz="4" w:space="0" w:color="auto"/>
              <w:right w:val="single" w:sz="4" w:space="0" w:color="auto"/>
            </w:tcBorders>
            <w:noWrap/>
            <w:vAlign w:val="center"/>
            <w:hideMark/>
          </w:tcPr>
          <w:p w14:paraId="1BFFA618"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205</w:t>
            </w:r>
          </w:p>
        </w:tc>
        <w:tc>
          <w:tcPr>
            <w:tcW w:w="1200" w:type="dxa"/>
            <w:tcBorders>
              <w:top w:val="nil"/>
              <w:left w:val="nil"/>
              <w:bottom w:val="single" w:sz="4" w:space="0" w:color="auto"/>
              <w:right w:val="single" w:sz="4" w:space="0" w:color="auto"/>
            </w:tcBorders>
            <w:noWrap/>
            <w:vAlign w:val="center"/>
            <w:hideMark/>
          </w:tcPr>
          <w:p w14:paraId="3993B1DF"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20,60</w:t>
            </w:r>
          </w:p>
        </w:tc>
      </w:tr>
      <w:tr w:rsidR="009C590F" w:rsidRPr="002B008A" w14:paraId="208B1FE2"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27C83D95"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992" w:type="dxa"/>
            <w:tcBorders>
              <w:top w:val="nil"/>
              <w:left w:val="nil"/>
              <w:bottom w:val="single" w:sz="4" w:space="0" w:color="auto"/>
              <w:right w:val="single" w:sz="4" w:space="0" w:color="auto"/>
            </w:tcBorders>
            <w:noWrap/>
            <w:vAlign w:val="center"/>
            <w:hideMark/>
          </w:tcPr>
          <w:p w14:paraId="47EF4EBA"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413</w:t>
            </w:r>
          </w:p>
        </w:tc>
        <w:tc>
          <w:tcPr>
            <w:tcW w:w="1057" w:type="dxa"/>
            <w:tcBorders>
              <w:top w:val="nil"/>
              <w:left w:val="nil"/>
              <w:bottom w:val="single" w:sz="4" w:space="0" w:color="auto"/>
              <w:right w:val="single" w:sz="4" w:space="0" w:color="auto"/>
            </w:tcBorders>
            <w:noWrap/>
            <w:vAlign w:val="center"/>
            <w:hideMark/>
          </w:tcPr>
          <w:p w14:paraId="42AC07F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33,71</w:t>
            </w:r>
          </w:p>
        </w:tc>
        <w:tc>
          <w:tcPr>
            <w:tcW w:w="1211" w:type="dxa"/>
            <w:tcBorders>
              <w:top w:val="nil"/>
              <w:left w:val="nil"/>
              <w:bottom w:val="single" w:sz="4" w:space="0" w:color="auto"/>
              <w:right w:val="single" w:sz="4" w:space="0" w:color="auto"/>
            </w:tcBorders>
            <w:noWrap/>
            <w:vAlign w:val="center"/>
            <w:hideMark/>
          </w:tcPr>
          <w:p w14:paraId="5CBB6D9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422</w:t>
            </w:r>
          </w:p>
        </w:tc>
        <w:tc>
          <w:tcPr>
            <w:tcW w:w="1209" w:type="dxa"/>
            <w:tcBorders>
              <w:top w:val="nil"/>
              <w:left w:val="nil"/>
              <w:bottom w:val="single" w:sz="4" w:space="0" w:color="auto"/>
              <w:right w:val="single" w:sz="4" w:space="0" w:color="auto"/>
            </w:tcBorders>
            <w:noWrap/>
            <w:vAlign w:val="center"/>
            <w:hideMark/>
          </w:tcPr>
          <w:p w14:paraId="1D693824"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29,78</w:t>
            </w:r>
          </w:p>
        </w:tc>
        <w:tc>
          <w:tcPr>
            <w:tcW w:w="1201" w:type="dxa"/>
            <w:tcBorders>
              <w:top w:val="nil"/>
              <w:left w:val="nil"/>
              <w:bottom w:val="single" w:sz="4" w:space="0" w:color="auto"/>
              <w:right w:val="single" w:sz="4" w:space="0" w:color="auto"/>
            </w:tcBorders>
            <w:noWrap/>
            <w:vAlign w:val="center"/>
            <w:hideMark/>
          </w:tcPr>
          <w:p w14:paraId="689B8C93"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450</w:t>
            </w:r>
          </w:p>
        </w:tc>
        <w:tc>
          <w:tcPr>
            <w:tcW w:w="1219" w:type="dxa"/>
            <w:tcBorders>
              <w:top w:val="nil"/>
              <w:left w:val="nil"/>
              <w:bottom w:val="single" w:sz="4" w:space="0" w:color="auto"/>
              <w:right w:val="single" w:sz="4" w:space="0" w:color="auto"/>
            </w:tcBorders>
            <w:noWrap/>
            <w:vAlign w:val="center"/>
            <w:hideMark/>
          </w:tcPr>
          <w:p w14:paraId="326CD8E4"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27,27</w:t>
            </w:r>
          </w:p>
        </w:tc>
        <w:tc>
          <w:tcPr>
            <w:tcW w:w="1191" w:type="dxa"/>
            <w:tcBorders>
              <w:top w:val="nil"/>
              <w:left w:val="nil"/>
              <w:bottom w:val="single" w:sz="4" w:space="0" w:color="auto"/>
              <w:right w:val="single" w:sz="4" w:space="0" w:color="auto"/>
            </w:tcBorders>
            <w:noWrap/>
            <w:vAlign w:val="center"/>
            <w:hideMark/>
          </w:tcPr>
          <w:p w14:paraId="14C9757A"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9</w:t>
            </w:r>
          </w:p>
        </w:tc>
        <w:tc>
          <w:tcPr>
            <w:tcW w:w="1209" w:type="dxa"/>
            <w:tcBorders>
              <w:top w:val="nil"/>
              <w:left w:val="nil"/>
              <w:bottom w:val="single" w:sz="4" w:space="0" w:color="auto"/>
              <w:right w:val="single" w:sz="4" w:space="0" w:color="auto"/>
            </w:tcBorders>
            <w:noWrap/>
            <w:vAlign w:val="center"/>
            <w:hideMark/>
          </w:tcPr>
          <w:p w14:paraId="0FAC8A36"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2,18</w:t>
            </w:r>
          </w:p>
        </w:tc>
        <w:tc>
          <w:tcPr>
            <w:tcW w:w="1200" w:type="dxa"/>
            <w:tcBorders>
              <w:top w:val="nil"/>
              <w:left w:val="nil"/>
              <w:bottom w:val="single" w:sz="4" w:space="0" w:color="auto"/>
              <w:right w:val="single" w:sz="4" w:space="0" w:color="auto"/>
            </w:tcBorders>
            <w:noWrap/>
            <w:vAlign w:val="center"/>
            <w:hideMark/>
          </w:tcPr>
          <w:p w14:paraId="693EF8A1"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28</w:t>
            </w:r>
          </w:p>
        </w:tc>
        <w:tc>
          <w:tcPr>
            <w:tcW w:w="1200" w:type="dxa"/>
            <w:tcBorders>
              <w:top w:val="nil"/>
              <w:left w:val="nil"/>
              <w:bottom w:val="single" w:sz="4" w:space="0" w:color="auto"/>
              <w:right w:val="single" w:sz="4" w:space="0" w:color="auto"/>
            </w:tcBorders>
            <w:noWrap/>
            <w:vAlign w:val="center"/>
            <w:hideMark/>
          </w:tcPr>
          <w:p w14:paraId="2FD52F7A"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6,64</w:t>
            </w:r>
          </w:p>
        </w:tc>
      </w:tr>
      <w:tr w:rsidR="009C590F" w:rsidRPr="002B008A" w14:paraId="4A8E83A3"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1452DC4C" w14:textId="77777777" w:rsidR="009C590F" w:rsidRPr="002B008A" w:rsidRDefault="009C590F" w:rsidP="00B2439B">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3.Dư nợ cuối kỳ</w:t>
            </w:r>
          </w:p>
        </w:tc>
        <w:tc>
          <w:tcPr>
            <w:tcW w:w="992" w:type="dxa"/>
            <w:tcBorders>
              <w:top w:val="nil"/>
              <w:left w:val="nil"/>
              <w:bottom w:val="single" w:sz="4" w:space="0" w:color="auto"/>
              <w:right w:val="single" w:sz="4" w:space="0" w:color="auto"/>
            </w:tcBorders>
            <w:noWrap/>
            <w:vAlign w:val="center"/>
            <w:hideMark/>
          </w:tcPr>
          <w:p w14:paraId="49DA161E"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4.529</w:t>
            </w:r>
          </w:p>
        </w:tc>
        <w:tc>
          <w:tcPr>
            <w:tcW w:w="1057" w:type="dxa"/>
            <w:tcBorders>
              <w:top w:val="nil"/>
              <w:left w:val="nil"/>
              <w:bottom w:val="single" w:sz="4" w:space="0" w:color="auto"/>
              <w:right w:val="single" w:sz="4" w:space="0" w:color="auto"/>
            </w:tcBorders>
            <w:noWrap/>
            <w:vAlign w:val="center"/>
            <w:hideMark/>
          </w:tcPr>
          <w:p w14:paraId="4E8F53D1"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211" w:type="dxa"/>
            <w:tcBorders>
              <w:top w:val="nil"/>
              <w:left w:val="nil"/>
              <w:bottom w:val="single" w:sz="4" w:space="0" w:color="auto"/>
              <w:right w:val="single" w:sz="4" w:space="0" w:color="auto"/>
            </w:tcBorders>
            <w:noWrap/>
            <w:vAlign w:val="center"/>
            <w:hideMark/>
          </w:tcPr>
          <w:p w14:paraId="6B8F4760"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5.200</w:t>
            </w:r>
          </w:p>
        </w:tc>
        <w:tc>
          <w:tcPr>
            <w:tcW w:w="1209" w:type="dxa"/>
            <w:tcBorders>
              <w:top w:val="nil"/>
              <w:left w:val="nil"/>
              <w:bottom w:val="single" w:sz="4" w:space="0" w:color="auto"/>
              <w:right w:val="single" w:sz="4" w:space="0" w:color="auto"/>
            </w:tcBorders>
            <w:noWrap/>
            <w:vAlign w:val="center"/>
            <w:hideMark/>
          </w:tcPr>
          <w:p w14:paraId="72B20E88"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201" w:type="dxa"/>
            <w:tcBorders>
              <w:top w:val="nil"/>
              <w:left w:val="nil"/>
              <w:bottom w:val="single" w:sz="4" w:space="0" w:color="auto"/>
              <w:right w:val="single" w:sz="4" w:space="0" w:color="auto"/>
            </w:tcBorders>
            <w:noWrap/>
            <w:vAlign w:val="center"/>
            <w:hideMark/>
          </w:tcPr>
          <w:p w14:paraId="33E45D89"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6.010</w:t>
            </w:r>
          </w:p>
        </w:tc>
        <w:tc>
          <w:tcPr>
            <w:tcW w:w="1219" w:type="dxa"/>
            <w:tcBorders>
              <w:top w:val="nil"/>
              <w:left w:val="nil"/>
              <w:bottom w:val="single" w:sz="4" w:space="0" w:color="auto"/>
              <w:right w:val="single" w:sz="4" w:space="0" w:color="auto"/>
            </w:tcBorders>
            <w:noWrap/>
            <w:vAlign w:val="center"/>
            <w:hideMark/>
          </w:tcPr>
          <w:p w14:paraId="5AE51A6C"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91" w:type="dxa"/>
            <w:tcBorders>
              <w:top w:val="nil"/>
              <w:left w:val="nil"/>
              <w:bottom w:val="single" w:sz="4" w:space="0" w:color="auto"/>
              <w:right w:val="single" w:sz="4" w:space="0" w:color="auto"/>
            </w:tcBorders>
            <w:noWrap/>
            <w:vAlign w:val="center"/>
            <w:hideMark/>
          </w:tcPr>
          <w:p w14:paraId="22339048"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671</w:t>
            </w:r>
          </w:p>
        </w:tc>
        <w:tc>
          <w:tcPr>
            <w:tcW w:w="1209" w:type="dxa"/>
            <w:tcBorders>
              <w:top w:val="nil"/>
              <w:left w:val="nil"/>
              <w:bottom w:val="single" w:sz="4" w:space="0" w:color="auto"/>
              <w:right w:val="single" w:sz="4" w:space="0" w:color="auto"/>
            </w:tcBorders>
            <w:noWrap/>
            <w:vAlign w:val="center"/>
            <w:hideMark/>
          </w:tcPr>
          <w:p w14:paraId="2F32D4FA"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14,82</w:t>
            </w:r>
          </w:p>
        </w:tc>
        <w:tc>
          <w:tcPr>
            <w:tcW w:w="1200" w:type="dxa"/>
            <w:tcBorders>
              <w:top w:val="nil"/>
              <w:left w:val="nil"/>
              <w:bottom w:val="single" w:sz="4" w:space="0" w:color="auto"/>
              <w:right w:val="single" w:sz="4" w:space="0" w:color="auto"/>
            </w:tcBorders>
            <w:noWrap/>
            <w:vAlign w:val="center"/>
            <w:hideMark/>
          </w:tcPr>
          <w:p w14:paraId="4C2144D9"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810</w:t>
            </w:r>
          </w:p>
        </w:tc>
        <w:tc>
          <w:tcPr>
            <w:tcW w:w="1200" w:type="dxa"/>
            <w:tcBorders>
              <w:top w:val="nil"/>
              <w:left w:val="nil"/>
              <w:bottom w:val="single" w:sz="4" w:space="0" w:color="auto"/>
              <w:right w:val="single" w:sz="4" w:space="0" w:color="auto"/>
            </w:tcBorders>
            <w:noWrap/>
            <w:vAlign w:val="center"/>
            <w:hideMark/>
          </w:tcPr>
          <w:p w14:paraId="335B245B"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15,58</w:t>
            </w:r>
          </w:p>
        </w:tc>
      </w:tr>
      <w:tr w:rsidR="009C590F" w:rsidRPr="002B008A" w14:paraId="749E6628"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585CD01E"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992" w:type="dxa"/>
            <w:tcBorders>
              <w:top w:val="nil"/>
              <w:left w:val="nil"/>
              <w:bottom w:val="single" w:sz="4" w:space="0" w:color="auto"/>
              <w:right w:val="single" w:sz="4" w:space="0" w:color="auto"/>
            </w:tcBorders>
            <w:noWrap/>
            <w:vAlign w:val="center"/>
            <w:hideMark/>
          </w:tcPr>
          <w:p w14:paraId="7BA8E8CF"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2.682</w:t>
            </w:r>
          </w:p>
        </w:tc>
        <w:tc>
          <w:tcPr>
            <w:tcW w:w="1057" w:type="dxa"/>
            <w:tcBorders>
              <w:top w:val="nil"/>
              <w:left w:val="nil"/>
              <w:bottom w:val="single" w:sz="4" w:space="0" w:color="auto"/>
              <w:right w:val="single" w:sz="4" w:space="0" w:color="auto"/>
            </w:tcBorders>
            <w:noWrap/>
            <w:vAlign w:val="center"/>
            <w:hideMark/>
          </w:tcPr>
          <w:p w14:paraId="19F84C35"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59,22</w:t>
            </w:r>
          </w:p>
        </w:tc>
        <w:tc>
          <w:tcPr>
            <w:tcW w:w="1211" w:type="dxa"/>
            <w:tcBorders>
              <w:top w:val="nil"/>
              <w:left w:val="nil"/>
              <w:bottom w:val="single" w:sz="4" w:space="0" w:color="auto"/>
              <w:right w:val="single" w:sz="4" w:space="0" w:color="auto"/>
            </w:tcBorders>
            <w:noWrap/>
            <w:vAlign w:val="center"/>
            <w:hideMark/>
          </w:tcPr>
          <w:p w14:paraId="65903C3B"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3.058</w:t>
            </w:r>
          </w:p>
        </w:tc>
        <w:tc>
          <w:tcPr>
            <w:tcW w:w="1209" w:type="dxa"/>
            <w:tcBorders>
              <w:top w:val="nil"/>
              <w:left w:val="nil"/>
              <w:bottom w:val="single" w:sz="4" w:space="0" w:color="auto"/>
              <w:right w:val="single" w:sz="4" w:space="0" w:color="auto"/>
            </w:tcBorders>
            <w:noWrap/>
            <w:vAlign w:val="center"/>
            <w:hideMark/>
          </w:tcPr>
          <w:p w14:paraId="69639F5D"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58,81</w:t>
            </w:r>
          </w:p>
        </w:tc>
        <w:tc>
          <w:tcPr>
            <w:tcW w:w="1201" w:type="dxa"/>
            <w:tcBorders>
              <w:top w:val="nil"/>
              <w:left w:val="nil"/>
              <w:bottom w:val="single" w:sz="4" w:space="0" w:color="auto"/>
              <w:right w:val="single" w:sz="4" w:space="0" w:color="auto"/>
            </w:tcBorders>
            <w:noWrap/>
            <w:vAlign w:val="center"/>
            <w:hideMark/>
          </w:tcPr>
          <w:p w14:paraId="2DE59D42"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3.528</w:t>
            </w:r>
          </w:p>
        </w:tc>
        <w:tc>
          <w:tcPr>
            <w:tcW w:w="1219" w:type="dxa"/>
            <w:tcBorders>
              <w:top w:val="nil"/>
              <w:left w:val="nil"/>
              <w:bottom w:val="single" w:sz="4" w:space="0" w:color="auto"/>
              <w:right w:val="single" w:sz="4" w:space="0" w:color="auto"/>
            </w:tcBorders>
            <w:noWrap/>
            <w:vAlign w:val="center"/>
            <w:hideMark/>
          </w:tcPr>
          <w:p w14:paraId="5CCECB16"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58,70</w:t>
            </w:r>
          </w:p>
        </w:tc>
        <w:tc>
          <w:tcPr>
            <w:tcW w:w="1191" w:type="dxa"/>
            <w:tcBorders>
              <w:top w:val="nil"/>
              <w:left w:val="nil"/>
              <w:bottom w:val="single" w:sz="4" w:space="0" w:color="auto"/>
              <w:right w:val="single" w:sz="4" w:space="0" w:color="auto"/>
            </w:tcBorders>
            <w:noWrap/>
            <w:vAlign w:val="center"/>
            <w:hideMark/>
          </w:tcPr>
          <w:p w14:paraId="0451EA3B"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376</w:t>
            </w:r>
          </w:p>
        </w:tc>
        <w:tc>
          <w:tcPr>
            <w:tcW w:w="1209" w:type="dxa"/>
            <w:tcBorders>
              <w:top w:val="nil"/>
              <w:left w:val="nil"/>
              <w:bottom w:val="single" w:sz="4" w:space="0" w:color="auto"/>
              <w:right w:val="single" w:sz="4" w:space="0" w:color="auto"/>
            </w:tcBorders>
            <w:noWrap/>
            <w:vAlign w:val="center"/>
            <w:hideMark/>
          </w:tcPr>
          <w:p w14:paraId="559387BD"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14,02</w:t>
            </w:r>
          </w:p>
        </w:tc>
        <w:tc>
          <w:tcPr>
            <w:tcW w:w="1200" w:type="dxa"/>
            <w:tcBorders>
              <w:top w:val="nil"/>
              <w:left w:val="nil"/>
              <w:bottom w:val="single" w:sz="4" w:space="0" w:color="auto"/>
              <w:right w:val="single" w:sz="4" w:space="0" w:color="auto"/>
            </w:tcBorders>
            <w:noWrap/>
            <w:vAlign w:val="center"/>
            <w:hideMark/>
          </w:tcPr>
          <w:p w14:paraId="17CB413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470</w:t>
            </w:r>
          </w:p>
        </w:tc>
        <w:tc>
          <w:tcPr>
            <w:tcW w:w="1200" w:type="dxa"/>
            <w:tcBorders>
              <w:top w:val="nil"/>
              <w:left w:val="nil"/>
              <w:bottom w:val="single" w:sz="4" w:space="0" w:color="auto"/>
              <w:right w:val="single" w:sz="4" w:space="0" w:color="auto"/>
            </w:tcBorders>
            <w:noWrap/>
            <w:vAlign w:val="center"/>
            <w:hideMark/>
          </w:tcPr>
          <w:p w14:paraId="6B92AA5B"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15,37</w:t>
            </w:r>
          </w:p>
        </w:tc>
      </w:tr>
      <w:tr w:rsidR="009C590F" w:rsidRPr="002B008A" w14:paraId="5D7CD92B"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7BC20B88"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992" w:type="dxa"/>
            <w:tcBorders>
              <w:top w:val="nil"/>
              <w:left w:val="nil"/>
              <w:bottom w:val="single" w:sz="4" w:space="0" w:color="auto"/>
              <w:right w:val="single" w:sz="4" w:space="0" w:color="auto"/>
            </w:tcBorders>
            <w:noWrap/>
            <w:vAlign w:val="center"/>
            <w:hideMark/>
          </w:tcPr>
          <w:p w14:paraId="5E415C1D"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1.847</w:t>
            </w:r>
          </w:p>
        </w:tc>
        <w:tc>
          <w:tcPr>
            <w:tcW w:w="1057" w:type="dxa"/>
            <w:tcBorders>
              <w:top w:val="nil"/>
              <w:left w:val="nil"/>
              <w:bottom w:val="single" w:sz="4" w:space="0" w:color="auto"/>
              <w:right w:val="single" w:sz="4" w:space="0" w:color="auto"/>
            </w:tcBorders>
            <w:noWrap/>
            <w:vAlign w:val="center"/>
            <w:hideMark/>
          </w:tcPr>
          <w:p w14:paraId="0C779A2F"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40,78</w:t>
            </w:r>
          </w:p>
        </w:tc>
        <w:tc>
          <w:tcPr>
            <w:tcW w:w="1211" w:type="dxa"/>
            <w:tcBorders>
              <w:top w:val="nil"/>
              <w:left w:val="nil"/>
              <w:bottom w:val="single" w:sz="4" w:space="0" w:color="auto"/>
              <w:right w:val="single" w:sz="4" w:space="0" w:color="auto"/>
            </w:tcBorders>
            <w:noWrap/>
            <w:vAlign w:val="center"/>
            <w:hideMark/>
          </w:tcPr>
          <w:p w14:paraId="6362A1CA"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2.142</w:t>
            </w:r>
          </w:p>
        </w:tc>
        <w:tc>
          <w:tcPr>
            <w:tcW w:w="1209" w:type="dxa"/>
            <w:tcBorders>
              <w:top w:val="nil"/>
              <w:left w:val="nil"/>
              <w:bottom w:val="single" w:sz="4" w:space="0" w:color="auto"/>
              <w:right w:val="single" w:sz="4" w:space="0" w:color="auto"/>
            </w:tcBorders>
            <w:noWrap/>
            <w:vAlign w:val="center"/>
            <w:hideMark/>
          </w:tcPr>
          <w:p w14:paraId="59E59C5F"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41,19</w:t>
            </w:r>
          </w:p>
        </w:tc>
        <w:tc>
          <w:tcPr>
            <w:tcW w:w="1201" w:type="dxa"/>
            <w:tcBorders>
              <w:top w:val="nil"/>
              <w:left w:val="nil"/>
              <w:bottom w:val="single" w:sz="4" w:space="0" w:color="auto"/>
              <w:right w:val="single" w:sz="4" w:space="0" w:color="auto"/>
            </w:tcBorders>
            <w:noWrap/>
            <w:vAlign w:val="center"/>
            <w:hideMark/>
          </w:tcPr>
          <w:p w14:paraId="58ACC81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2.482</w:t>
            </w:r>
          </w:p>
        </w:tc>
        <w:tc>
          <w:tcPr>
            <w:tcW w:w="1219" w:type="dxa"/>
            <w:tcBorders>
              <w:top w:val="nil"/>
              <w:left w:val="nil"/>
              <w:bottom w:val="single" w:sz="4" w:space="0" w:color="auto"/>
              <w:right w:val="single" w:sz="4" w:space="0" w:color="auto"/>
            </w:tcBorders>
            <w:noWrap/>
            <w:vAlign w:val="center"/>
            <w:hideMark/>
          </w:tcPr>
          <w:p w14:paraId="77861E68"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41,30</w:t>
            </w:r>
          </w:p>
        </w:tc>
        <w:tc>
          <w:tcPr>
            <w:tcW w:w="1191" w:type="dxa"/>
            <w:tcBorders>
              <w:top w:val="nil"/>
              <w:left w:val="nil"/>
              <w:bottom w:val="single" w:sz="4" w:space="0" w:color="auto"/>
              <w:right w:val="single" w:sz="4" w:space="0" w:color="auto"/>
            </w:tcBorders>
            <w:noWrap/>
            <w:vAlign w:val="center"/>
            <w:hideMark/>
          </w:tcPr>
          <w:p w14:paraId="6F49711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295</w:t>
            </w:r>
          </w:p>
        </w:tc>
        <w:tc>
          <w:tcPr>
            <w:tcW w:w="1209" w:type="dxa"/>
            <w:tcBorders>
              <w:top w:val="nil"/>
              <w:left w:val="nil"/>
              <w:bottom w:val="single" w:sz="4" w:space="0" w:color="auto"/>
              <w:right w:val="single" w:sz="4" w:space="0" w:color="auto"/>
            </w:tcBorders>
            <w:noWrap/>
            <w:vAlign w:val="center"/>
            <w:hideMark/>
          </w:tcPr>
          <w:p w14:paraId="6F85771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15,97</w:t>
            </w:r>
          </w:p>
        </w:tc>
        <w:tc>
          <w:tcPr>
            <w:tcW w:w="1200" w:type="dxa"/>
            <w:tcBorders>
              <w:top w:val="nil"/>
              <w:left w:val="nil"/>
              <w:bottom w:val="single" w:sz="4" w:space="0" w:color="auto"/>
              <w:right w:val="single" w:sz="4" w:space="0" w:color="auto"/>
            </w:tcBorders>
            <w:noWrap/>
            <w:vAlign w:val="center"/>
            <w:hideMark/>
          </w:tcPr>
          <w:p w14:paraId="6E37B767"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340</w:t>
            </w:r>
          </w:p>
        </w:tc>
        <w:tc>
          <w:tcPr>
            <w:tcW w:w="1200" w:type="dxa"/>
            <w:tcBorders>
              <w:top w:val="nil"/>
              <w:left w:val="nil"/>
              <w:bottom w:val="single" w:sz="4" w:space="0" w:color="auto"/>
              <w:right w:val="single" w:sz="4" w:space="0" w:color="auto"/>
            </w:tcBorders>
            <w:noWrap/>
            <w:vAlign w:val="center"/>
            <w:hideMark/>
          </w:tcPr>
          <w:p w14:paraId="6A83CDD8"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15,87</w:t>
            </w:r>
          </w:p>
        </w:tc>
      </w:tr>
      <w:tr w:rsidR="009C590F" w:rsidRPr="002B008A" w14:paraId="2E390F45"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19A43093" w14:textId="77777777" w:rsidR="009C590F" w:rsidRPr="002B008A" w:rsidRDefault="009C590F" w:rsidP="00B2439B">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4.Nợ xấu</w:t>
            </w:r>
          </w:p>
        </w:tc>
        <w:tc>
          <w:tcPr>
            <w:tcW w:w="992" w:type="dxa"/>
            <w:tcBorders>
              <w:top w:val="nil"/>
              <w:left w:val="nil"/>
              <w:bottom w:val="single" w:sz="4" w:space="0" w:color="auto"/>
              <w:right w:val="single" w:sz="4" w:space="0" w:color="auto"/>
            </w:tcBorders>
            <w:noWrap/>
            <w:vAlign w:val="center"/>
            <w:hideMark/>
          </w:tcPr>
          <w:p w14:paraId="4AE824BC"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37,33</w:t>
            </w:r>
          </w:p>
        </w:tc>
        <w:tc>
          <w:tcPr>
            <w:tcW w:w="1057" w:type="dxa"/>
            <w:tcBorders>
              <w:top w:val="nil"/>
              <w:left w:val="nil"/>
              <w:bottom w:val="single" w:sz="4" w:space="0" w:color="auto"/>
              <w:right w:val="single" w:sz="4" w:space="0" w:color="auto"/>
            </w:tcBorders>
            <w:noWrap/>
            <w:vAlign w:val="center"/>
            <w:hideMark/>
          </w:tcPr>
          <w:p w14:paraId="46D61604"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211" w:type="dxa"/>
            <w:tcBorders>
              <w:top w:val="nil"/>
              <w:left w:val="nil"/>
              <w:bottom w:val="single" w:sz="4" w:space="0" w:color="auto"/>
              <w:right w:val="single" w:sz="4" w:space="0" w:color="auto"/>
            </w:tcBorders>
            <w:noWrap/>
            <w:vAlign w:val="center"/>
            <w:hideMark/>
          </w:tcPr>
          <w:p w14:paraId="1E176981"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37,08</w:t>
            </w:r>
          </w:p>
        </w:tc>
        <w:tc>
          <w:tcPr>
            <w:tcW w:w="1209" w:type="dxa"/>
            <w:tcBorders>
              <w:top w:val="nil"/>
              <w:left w:val="nil"/>
              <w:bottom w:val="single" w:sz="4" w:space="0" w:color="auto"/>
              <w:right w:val="single" w:sz="4" w:space="0" w:color="auto"/>
            </w:tcBorders>
            <w:noWrap/>
            <w:vAlign w:val="center"/>
            <w:hideMark/>
          </w:tcPr>
          <w:p w14:paraId="0337295F"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201" w:type="dxa"/>
            <w:tcBorders>
              <w:top w:val="nil"/>
              <w:left w:val="nil"/>
              <w:bottom w:val="single" w:sz="4" w:space="0" w:color="auto"/>
              <w:right w:val="single" w:sz="4" w:space="0" w:color="auto"/>
            </w:tcBorders>
            <w:noWrap/>
            <w:vAlign w:val="center"/>
            <w:hideMark/>
          </w:tcPr>
          <w:p w14:paraId="763ADB21"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36,5</w:t>
            </w:r>
          </w:p>
        </w:tc>
        <w:tc>
          <w:tcPr>
            <w:tcW w:w="1219" w:type="dxa"/>
            <w:tcBorders>
              <w:top w:val="nil"/>
              <w:left w:val="nil"/>
              <w:bottom w:val="single" w:sz="4" w:space="0" w:color="auto"/>
              <w:right w:val="single" w:sz="4" w:space="0" w:color="auto"/>
            </w:tcBorders>
            <w:noWrap/>
            <w:vAlign w:val="center"/>
            <w:hideMark/>
          </w:tcPr>
          <w:p w14:paraId="4AF574FB"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91" w:type="dxa"/>
            <w:tcBorders>
              <w:top w:val="nil"/>
              <w:left w:val="nil"/>
              <w:bottom w:val="single" w:sz="4" w:space="0" w:color="auto"/>
              <w:right w:val="single" w:sz="4" w:space="0" w:color="auto"/>
            </w:tcBorders>
            <w:noWrap/>
            <w:vAlign w:val="center"/>
            <w:hideMark/>
          </w:tcPr>
          <w:p w14:paraId="459592A1"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-0,25</w:t>
            </w:r>
          </w:p>
        </w:tc>
        <w:tc>
          <w:tcPr>
            <w:tcW w:w="1209" w:type="dxa"/>
            <w:tcBorders>
              <w:top w:val="nil"/>
              <w:left w:val="nil"/>
              <w:bottom w:val="single" w:sz="4" w:space="0" w:color="auto"/>
              <w:right w:val="single" w:sz="4" w:space="0" w:color="auto"/>
            </w:tcBorders>
            <w:noWrap/>
            <w:vAlign w:val="center"/>
            <w:hideMark/>
          </w:tcPr>
          <w:p w14:paraId="16271557"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-0,67</w:t>
            </w:r>
          </w:p>
        </w:tc>
        <w:tc>
          <w:tcPr>
            <w:tcW w:w="1200" w:type="dxa"/>
            <w:tcBorders>
              <w:top w:val="nil"/>
              <w:left w:val="nil"/>
              <w:bottom w:val="single" w:sz="4" w:space="0" w:color="auto"/>
              <w:right w:val="single" w:sz="4" w:space="0" w:color="auto"/>
            </w:tcBorders>
            <w:noWrap/>
            <w:vAlign w:val="center"/>
            <w:hideMark/>
          </w:tcPr>
          <w:p w14:paraId="746A5ED4"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-0,58</w:t>
            </w:r>
          </w:p>
        </w:tc>
        <w:tc>
          <w:tcPr>
            <w:tcW w:w="1200" w:type="dxa"/>
            <w:tcBorders>
              <w:top w:val="nil"/>
              <w:left w:val="nil"/>
              <w:bottom w:val="single" w:sz="4" w:space="0" w:color="auto"/>
              <w:right w:val="single" w:sz="4" w:space="0" w:color="auto"/>
            </w:tcBorders>
            <w:noWrap/>
            <w:vAlign w:val="center"/>
            <w:hideMark/>
          </w:tcPr>
          <w:p w14:paraId="2FC4DC02" w14:textId="77777777" w:rsidR="009C590F" w:rsidRPr="002B008A" w:rsidRDefault="009C590F"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-1,56</w:t>
            </w:r>
          </w:p>
        </w:tc>
      </w:tr>
      <w:tr w:rsidR="009C590F" w:rsidRPr="002B008A" w14:paraId="6714554B"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5E0B9C09"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992" w:type="dxa"/>
            <w:tcBorders>
              <w:top w:val="nil"/>
              <w:left w:val="nil"/>
              <w:bottom w:val="single" w:sz="4" w:space="0" w:color="auto"/>
              <w:right w:val="single" w:sz="4" w:space="0" w:color="auto"/>
            </w:tcBorders>
            <w:noWrap/>
            <w:vAlign w:val="center"/>
            <w:hideMark/>
          </w:tcPr>
          <w:p w14:paraId="7E6DFA87"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14,36</w:t>
            </w:r>
          </w:p>
        </w:tc>
        <w:tc>
          <w:tcPr>
            <w:tcW w:w="1057" w:type="dxa"/>
            <w:tcBorders>
              <w:top w:val="nil"/>
              <w:left w:val="nil"/>
              <w:bottom w:val="single" w:sz="4" w:space="0" w:color="auto"/>
              <w:right w:val="single" w:sz="4" w:space="0" w:color="auto"/>
            </w:tcBorders>
            <w:noWrap/>
            <w:vAlign w:val="center"/>
            <w:hideMark/>
          </w:tcPr>
          <w:p w14:paraId="5C311782"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38,47</w:t>
            </w:r>
          </w:p>
        </w:tc>
        <w:tc>
          <w:tcPr>
            <w:tcW w:w="1211" w:type="dxa"/>
            <w:tcBorders>
              <w:top w:val="nil"/>
              <w:left w:val="nil"/>
              <w:bottom w:val="single" w:sz="4" w:space="0" w:color="auto"/>
              <w:right w:val="single" w:sz="4" w:space="0" w:color="auto"/>
            </w:tcBorders>
            <w:noWrap/>
            <w:vAlign w:val="center"/>
            <w:hideMark/>
          </w:tcPr>
          <w:p w14:paraId="625FC9D7"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15,96</w:t>
            </w:r>
          </w:p>
        </w:tc>
        <w:tc>
          <w:tcPr>
            <w:tcW w:w="1209" w:type="dxa"/>
            <w:tcBorders>
              <w:top w:val="nil"/>
              <w:left w:val="nil"/>
              <w:bottom w:val="single" w:sz="4" w:space="0" w:color="auto"/>
              <w:right w:val="single" w:sz="4" w:space="0" w:color="auto"/>
            </w:tcBorders>
            <w:noWrap/>
            <w:vAlign w:val="center"/>
            <w:hideMark/>
          </w:tcPr>
          <w:p w14:paraId="0FCF215D"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43,04</w:t>
            </w:r>
          </w:p>
        </w:tc>
        <w:tc>
          <w:tcPr>
            <w:tcW w:w="1201" w:type="dxa"/>
            <w:tcBorders>
              <w:top w:val="nil"/>
              <w:left w:val="nil"/>
              <w:bottom w:val="single" w:sz="4" w:space="0" w:color="auto"/>
              <w:right w:val="single" w:sz="4" w:space="0" w:color="auto"/>
            </w:tcBorders>
            <w:noWrap/>
            <w:vAlign w:val="center"/>
            <w:hideMark/>
          </w:tcPr>
          <w:p w14:paraId="183FA19D"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16,8</w:t>
            </w:r>
          </w:p>
        </w:tc>
        <w:tc>
          <w:tcPr>
            <w:tcW w:w="1219" w:type="dxa"/>
            <w:tcBorders>
              <w:top w:val="nil"/>
              <w:left w:val="nil"/>
              <w:bottom w:val="single" w:sz="4" w:space="0" w:color="auto"/>
              <w:right w:val="single" w:sz="4" w:space="0" w:color="auto"/>
            </w:tcBorders>
            <w:noWrap/>
            <w:vAlign w:val="center"/>
            <w:hideMark/>
          </w:tcPr>
          <w:p w14:paraId="5C27B9AF"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46,03</w:t>
            </w:r>
          </w:p>
        </w:tc>
        <w:tc>
          <w:tcPr>
            <w:tcW w:w="1191" w:type="dxa"/>
            <w:tcBorders>
              <w:top w:val="nil"/>
              <w:left w:val="nil"/>
              <w:bottom w:val="single" w:sz="4" w:space="0" w:color="auto"/>
              <w:right w:val="single" w:sz="4" w:space="0" w:color="auto"/>
            </w:tcBorders>
            <w:noWrap/>
            <w:vAlign w:val="center"/>
            <w:hideMark/>
          </w:tcPr>
          <w:p w14:paraId="7B0B4A82"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1,60</w:t>
            </w:r>
          </w:p>
        </w:tc>
        <w:tc>
          <w:tcPr>
            <w:tcW w:w="1209" w:type="dxa"/>
            <w:tcBorders>
              <w:top w:val="nil"/>
              <w:left w:val="nil"/>
              <w:bottom w:val="single" w:sz="4" w:space="0" w:color="auto"/>
              <w:right w:val="single" w:sz="4" w:space="0" w:color="auto"/>
            </w:tcBorders>
            <w:noWrap/>
            <w:vAlign w:val="center"/>
            <w:hideMark/>
          </w:tcPr>
          <w:p w14:paraId="7B36588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11,14</w:t>
            </w:r>
          </w:p>
        </w:tc>
        <w:tc>
          <w:tcPr>
            <w:tcW w:w="1200" w:type="dxa"/>
            <w:tcBorders>
              <w:top w:val="nil"/>
              <w:left w:val="nil"/>
              <w:bottom w:val="single" w:sz="4" w:space="0" w:color="auto"/>
              <w:right w:val="single" w:sz="4" w:space="0" w:color="auto"/>
            </w:tcBorders>
            <w:noWrap/>
            <w:vAlign w:val="center"/>
            <w:hideMark/>
          </w:tcPr>
          <w:p w14:paraId="6EF03F30"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0,84</w:t>
            </w:r>
          </w:p>
        </w:tc>
        <w:tc>
          <w:tcPr>
            <w:tcW w:w="1200" w:type="dxa"/>
            <w:tcBorders>
              <w:top w:val="nil"/>
              <w:left w:val="nil"/>
              <w:bottom w:val="single" w:sz="4" w:space="0" w:color="auto"/>
              <w:right w:val="single" w:sz="4" w:space="0" w:color="auto"/>
            </w:tcBorders>
            <w:noWrap/>
            <w:vAlign w:val="center"/>
            <w:hideMark/>
          </w:tcPr>
          <w:p w14:paraId="11B4FB2B"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5,26</w:t>
            </w:r>
          </w:p>
        </w:tc>
      </w:tr>
      <w:tr w:rsidR="009C590F" w:rsidRPr="002B008A" w14:paraId="3D9B2129" w14:textId="77777777" w:rsidTr="0056151F">
        <w:trPr>
          <w:trHeight w:val="336"/>
        </w:trPr>
        <w:tc>
          <w:tcPr>
            <w:tcW w:w="2547" w:type="dxa"/>
            <w:tcBorders>
              <w:top w:val="nil"/>
              <w:left w:val="single" w:sz="4" w:space="0" w:color="auto"/>
              <w:bottom w:val="single" w:sz="4" w:space="0" w:color="auto"/>
              <w:right w:val="single" w:sz="4" w:space="0" w:color="auto"/>
            </w:tcBorders>
            <w:noWrap/>
            <w:vAlign w:val="center"/>
            <w:hideMark/>
          </w:tcPr>
          <w:p w14:paraId="121912B0"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992" w:type="dxa"/>
            <w:tcBorders>
              <w:top w:val="nil"/>
              <w:left w:val="nil"/>
              <w:bottom w:val="single" w:sz="4" w:space="0" w:color="auto"/>
              <w:right w:val="single" w:sz="4" w:space="0" w:color="auto"/>
            </w:tcBorders>
            <w:noWrap/>
            <w:vAlign w:val="center"/>
            <w:hideMark/>
          </w:tcPr>
          <w:p w14:paraId="66EEA7C0"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22,97</w:t>
            </w:r>
          </w:p>
        </w:tc>
        <w:tc>
          <w:tcPr>
            <w:tcW w:w="1057" w:type="dxa"/>
            <w:tcBorders>
              <w:top w:val="nil"/>
              <w:left w:val="nil"/>
              <w:bottom w:val="single" w:sz="4" w:space="0" w:color="auto"/>
              <w:right w:val="single" w:sz="4" w:space="0" w:color="auto"/>
            </w:tcBorders>
            <w:noWrap/>
            <w:vAlign w:val="center"/>
            <w:hideMark/>
          </w:tcPr>
          <w:p w14:paraId="6CA66B55"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61,53</w:t>
            </w:r>
          </w:p>
        </w:tc>
        <w:tc>
          <w:tcPr>
            <w:tcW w:w="1211" w:type="dxa"/>
            <w:tcBorders>
              <w:top w:val="nil"/>
              <w:left w:val="nil"/>
              <w:bottom w:val="single" w:sz="4" w:space="0" w:color="auto"/>
              <w:right w:val="single" w:sz="4" w:space="0" w:color="auto"/>
            </w:tcBorders>
            <w:noWrap/>
            <w:vAlign w:val="center"/>
            <w:hideMark/>
          </w:tcPr>
          <w:p w14:paraId="47707C03"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21,12</w:t>
            </w:r>
          </w:p>
        </w:tc>
        <w:tc>
          <w:tcPr>
            <w:tcW w:w="1209" w:type="dxa"/>
            <w:tcBorders>
              <w:top w:val="nil"/>
              <w:left w:val="nil"/>
              <w:bottom w:val="single" w:sz="4" w:space="0" w:color="auto"/>
              <w:right w:val="single" w:sz="4" w:space="0" w:color="auto"/>
            </w:tcBorders>
            <w:noWrap/>
            <w:vAlign w:val="center"/>
            <w:hideMark/>
          </w:tcPr>
          <w:p w14:paraId="41525ABA"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56,96</w:t>
            </w:r>
          </w:p>
        </w:tc>
        <w:tc>
          <w:tcPr>
            <w:tcW w:w="1201" w:type="dxa"/>
            <w:tcBorders>
              <w:top w:val="nil"/>
              <w:left w:val="nil"/>
              <w:bottom w:val="single" w:sz="4" w:space="0" w:color="auto"/>
              <w:right w:val="single" w:sz="4" w:space="0" w:color="auto"/>
            </w:tcBorders>
            <w:noWrap/>
            <w:vAlign w:val="center"/>
            <w:hideMark/>
          </w:tcPr>
          <w:p w14:paraId="0F6F7108"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19,7</w:t>
            </w:r>
          </w:p>
        </w:tc>
        <w:tc>
          <w:tcPr>
            <w:tcW w:w="1219" w:type="dxa"/>
            <w:tcBorders>
              <w:top w:val="nil"/>
              <w:left w:val="nil"/>
              <w:bottom w:val="single" w:sz="4" w:space="0" w:color="auto"/>
              <w:right w:val="single" w:sz="4" w:space="0" w:color="auto"/>
            </w:tcBorders>
            <w:noWrap/>
            <w:vAlign w:val="center"/>
            <w:hideMark/>
          </w:tcPr>
          <w:p w14:paraId="4150031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53,97</w:t>
            </w:r>
          </w:p>
        </w:tc>
        <w:tc>
          <w:tcPr>
            <w:tcW w:w="1191" w:type="dxa"/>
            <w:tcBorders>
              <w:top w:val="nil"/>
              <w:left w:val="nil"/>
              <w:bottom w:val="single" w:sz="4" w:space="0" w:color="auto"/>
              <w:right w:val="single" w:sz="4" w:space="0" w:color="auto"/>
            </w:tcBorders>
            <w:noWrap/>
            <w:vAlign w:val="center"/>
            <w:hideMark/>
          </w:tcPr>
          <w:p w14:paraId="35946D1E"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-1,85</w:t>
            </w:r>
          </w:p>
        </w:tc>
        <w:tc>
          <w:tcPr>
            <w:tcW w:w="1209" w:type="dxa"/>
            <w:tcBorders>
              <w:top w:val="nil"/>
              <w:left w:val="nil"/>
              <w:bottom w:val="single" w:sz="4" w:space="0" w:color="auto"/>
              <w:right w:val="single" w:sz="4" w:space="0" w:color="auto"/>
            </w:tcBorders>
            <w:noWrap/>
            <w:vAlign w:val="center"/>
            <w:hideMark/>
          </w:tcPr>
          <w:p w14:paraId="1A2ADBDC"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-8,05</w:t>
            </w:r>
          </w:p>
        </w:tc>
        <w:tc>
          <w:tcPr>
            <w:tcW w:w="1200" w:type="dxa"/>
            <w:tcBorders>
              <w:top w:val="nil"/>
              <w:left w:val="nil"/>
              <w:bottom w:val="single" w:sz="4" w:space="0" w:color="auto"/>
              <w:right w:val="single" w:sz="4" w:space="0" w:color="auto"/>
            </w:tcBorders>
            <w:noWrap/>
            <w:vAlign w:val="center"/>
            <w:hideMark/>
          </w:tcPr>
          <w:p w14:paraId="79415718"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-1,42</w:t>
            </w:r>
          </w:p>
        </w:tc>
        <w:tc>
          <w:tcPr>
            <w:tcW w:w="1200" w:type="dxa"/>
            <w:tcBorders>
              <w:top w:val="nil"/>
              <w:left w:val="nil"/>
              <w:bottom w:val="single" w:sz="4" w:space="0" w:color="auto"/>
              <w:right w:val="single" w:sz="4" w:space="0" w:color="auto"/>
            </w:tcBorders>
            <w:noWrap/>
            <w:vAlign w:val="center"/>
            <w:hideMark/>
          </w:tcPr>
          <w:p w14:paraId="5AB71B32" w14:textId="77777777" w:rsidR="009C590F" w:rsidRPr="002B008A" w:rsidRDefault="009C590F"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-6,72</w:t>
            </w:r>
          </w:p>
        </w:tc>
      </w:tr>
      <w:tr w:rsidR="0056151F" w:rsidRPr="002B008A" w14:paraId="07F12DBD" w14:textId="77777777" w:rsidTr="00A5287F">
        <w:trPr>
          <w:trHeight w:val="336"/>
        </w:trPr>
        <w:tc>
          <w:tcPr>
            <w:tcW w:w="2547" w:type="dxa"/>
            <w:tcBorders>
              <w:top w:val="nil"/>
              <w:left w:val="single" w:sz="4" w:space="0" w:color="auto"/>
              <w:bottom w:val="single" w:sz="4" w:space="0" w:color="auto"/>
              <w:right w:val="single" w:sz="4" w:space="0" w:color="auto"/>
            </w:tcBorders>
            <w:noWrap/>
            <w:vAlign w:val="center"/>
            <w:hideMark/>
          </w:tcPr>
          <w:p w14:paraId="0353ED20" w14:textId="77777777" w:rsidR="009C590F" w:rsidRPr="002B008A" w:rsidRDefault="009C590F" w:rsidP="00B2439B">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5. Tỷ lệ nợ xấu (%)</w:t>
            </w:r>
          </w:p>
        </w:tc>
        <w:tc>
          <w:tcPr>
            <w:tcW w:w="2049" w:type="dxa"/>
            <w:gridSpan w:val="2"/>
            <w:tcBorders>
              <w:top w:val="single" w:sz="4" w:space="0" w:color="auto"/>
              <w:left w:val="nil"/>
              <w:bottom w:val="single" w:sz="4" w:space="0" w:color="auto"/>
              <w:right w:val="single" w:sz="4" w:space="0" w:color="000000"/>
            </w:tcBorders>
            <w:noWrap/>
            <w:vAlign w:val="center"/>
            <w:hideMark/>
          </w:tcPr>
          <w:p w14:paraId="45BCA630"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0,82</w:t>
            </w:r>
          </w:p>
        </w:tc>
        <w:tc>
          <w:tcPr>
            <w:tcW w:w="2420" w:type="dxa"/>
            <w:gridSpan w:val="2"/>
            <w:tcBorders>
              <w:top w:val="single" w:sz="4" w:space="0" w:color="auto"/>
              <w:left w:val="nil"/>
              <w:bottom w:val="single" w:sz="4" w:space="0" w:color="auto"/>
              <w:right w:val="single" w:sz="4" w:space="0" w:color="000000"/>
            </w:tcBorders>
            <w:noWrap/>
            <w:vAlign w:val="center"/>
            <w:hideMark/>
          </w:tcPr>
          <w:p w14:paraId="714056CE"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0,71</w:t>
            </w:r>
          </w:p>
        </w:tc>
        <w:tc>
          <w:tcPr>
            <w:tcW w:w="2420" w:type="dxa"/>
            <w:gridSpan w:val="2"/>
            <w:tcBorders>
              <w:top w:val="single" w:sz="4" w:space="0" w:color="auto"/>
              <w:left w:val="nil"/>
              <w:bottom w:val="single" w:sz="4" w:space="0" w:color="auto"/>
              <w:right w:val="single" w:sz="4" w:space="0" w:color="000000"/>
            </w:tcBorders>
            <w:noWrap/>
            <w:vAlign w:val="center"/>
            <w:hideMark/>
          </w:tcPr>
          <w:p w14:paraId="4C4F05BC" w14:textId="77777777"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0,61</w:t>
            </w:r>
          </w:p>
        </w:tc>
        <w:tc>
          <w:tcPr>
            <w:tcW w:w="2400" w:type="dxa"/>
            <w:gridSpan w:val="2"/>
            <w:tcBorders>
              <w:top w:val="single" w:sz="4" w:space="0" w:color="auto"/>
              <w:left w:val="nil"/>
              <w:bottom w:val="single" w:sz="4" w:space="0" w:color="auto"/>
              <w:right w:val="single" w:sz="4" w:space="0" w:color="000000"/>
            </w:tcBorders>
            <w:noWrap/>
            <w:vAlign w:val="center"/>
          </w:tcPr>
          <w:p w14:paraId="0E9BE287" w14:textId="56FC64C4"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p>
        </w:tc>
        <w:tc>
          <w:tcPr>
            <w:tcW w:w="2400" w:type="dxa"/>
            <w:gridSpan w:val="2"/>
            <w:tcBorders>
              <w:top w:val="single" w:sz="4" w:space="0" w:color="auto"/>
              <w:left w:val="nil"/>
              <w:bottom w:val="single" w:sz="4" w:space="0" w:color="auto"/>
              <w:right w:val="single" w:sz="4" w:space="0" w:color="000000"/>
            </w:tcBorders>
            <w:noWrap/>
            <w:vAlign w:val="center"/>
          </w:tcPr>
          <w:p w14:paraId="0D4E17BC" w14:textId="62E06E82" w:rsidR="009C590F" w:rsidRPr="002B008A" w:rsidRDefault="009C590F"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p>
        </w:tc>
      </w:tr>
      <w:tr w:rsidR="0056151F" w:rsidRPr="002B008A" w14:paraId="7B177B31" w14:textId="77777777" w:rsidTr="00A5287F">
        <w:trPr>
          <w:trHeight w:val="336"/>
        </w:trPr>
        <w:tc>
          <w:tcPr>
            <w:tcW w:w="2547" w:type="dxa"/>
            <w:tcBorders>
              <w:top w:val="nil"/>
              <w:left w:val="single" w:sz="4" w:space="0" w:color="auto"/>
              <w:bottom w:val="single" w:sz="4" w:space="0" w:color="auto"/>
              <w:right w:val="single" w:sz="4" w:space="0" w:color="auto"/>
            </w:tcBorders>
            <w:noWrap/>
            <w:vAlign w:val="center"/>
            <w:hideMark/>
          </w:tcPr>
          <w:p w14:paraId="4A74661B"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2049" w:type="dxa"/>
            <w:gridSpan w:val="2"/>
            <w:tcBorders>
              <w:top w:val="single" w:sz="4" w:space="0" w:color="auto"/>
              <w:left w:val="nil"/>
              <w:bottom w:val="single" w:sz="4" w:space="0" w:color="auto"/>
              <w:right w:val="single" w:sz="4" w:space="0" w:color="000000"/>
            </w:tcBorders>
            <w:noWrap/>
            <w:vAlign w:val="center"/>
            <w:hideMark/>
          </w:tcPr>
          <w:p w14:paraId="6E7DE75B" w14:textId="77777777"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0,54</w:t>
            </w:r>
          </w:p>
        </w:tc>
        <w:tc>
          <w:tcPr>
            <w:tcW w:w="2420" w:type="dxa"/>
            <w:gridSpan w:val="2"/>
            <w:tcBorders>
              <w:top w:val="single" w:sz="4" w:space="0" w:color="auto"/>
              <w:left w:val="nil"/>
              <w:bottom w:val="single" w:sz="4" w:space="0" w:color="auto"/>
              <w:right w:val="single" w:sz="4" w:space="0" w:color="000000"/>
            </w:tcBorders>
            <w:noWrap/>
            <w:vAlign w:val="center"/>
            <w:hideMark/>
          </w:tcPr>
          <w:p w14:paraId="6F218E2F" w14:textId="77777777"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0,52</w:t>
            </w:r>
          </w:p>
        </w:tc>
        <w:tc>
          <w:tcPr>
            <w:tcW w:w="2420" w:type="dxa"/>
            <w:gridSpan w:val="2"/>
            <w:tcBorders>
              <w:top w:val="single" w:sz="4" w:space="0" w:color="auto"/>
              <w:left w:val="nil"/>
              <w:bottom w:val="single" w:sz="4" w:space="0" w:color="auto"/>
              <w:right w:val="single" w:sz="4" w:space="0" w:color="000000"/>
            </w:tcBorders>
            <w:noWrap/>
            <w:vAlign w:val="center"/>
            <w:hideMark/>
          </w:tcPr>
          <w:p w14:paraId="7558924A" w14:textId="77777777"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0,48</w:t>
            </w:r>
          </w:p>
        </w:tc>
        <w:tc>
          <w:tcPr>
            <w:tcW w:w="2400" w:type="dxa"/>
            <w:gridSpan w:val="2"/>
            <w:tcBorders>
              <w:top w:val="single" w:sz="4" w:space="0" w:color="auto"/>
              <w:left w:val="nil"/>
              <w:bottom w:val="single" w:sz="4" w:space="0" w:color="auto"/>
              <w:right w:val="single" w:sz="4" w:space="0" w:color="000000"/>
            </w:tcBorders>
            <w:noWrap/>
            <w:vAlign w:val="center"/>
          </w:tcPr>
          <w:p w14:paraId="61F10C67" w14:textId="7C5DEAB7"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p>
        </w:tc>
        <w:tc>
          <w:tcPr>
            <w:tcW w:w="2400" w:type="dxa"/>
            <w:gridSpan w:val="2"/>
            <w:tcBorders>
              <w:top w:val="single" w:sz="4" w:space="0" w:color="auto"/>
              <w:left w:val="nil"/>
              <w:bottom w:val="single" w:sz="4" w:space="0" w:color="auto"/>
              <w:right w:val="single" w:sz="4" w:space="0" w:color="000000"/>
            </w:tcBorders>
            <w:noWrap/>
            <w:vAlign w:val="center"/>
          </w:tcPr>
          <w:p w14:paraId="7775BE6E" w14:textId="2BB2907E"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p>
        </w:tc>
      </w:tr>
      <w:tr w:rsidR="0056151F" w:rsidRPr="002B008A" w14:paraId="7CE6C24A" w14:textId="77777777" w:rsidTr="00A5287F">
        <w:trPr>
          <w:trHeight w:val="336"/>
        </w:trPr>
        <w:tc>
          <w:tcPr>
            <w:tcW w:w="2547" w:type="dxa"/>
            <w:tcBorders>
              <w:top w:val="nil"/>
              <w:left w:val="single" w:sz="4" w:space="0" w:color="auto"/>
              <w:bottom w:val="single" w:sz="4" w:space="0" w:color="auto"/>
              <w:right w:val="single" w:sz="4" w:space="0" w:color="auto"/>
            </w:tcBorders>
            <w:noWrap/>
            <w:vAlign w:val="center"/>
            <w:hideMark/>
          </w:tcPr>
          <w:p w14:paraId="4EDE031B" w14:textId="77777777" w:rsidR="009C590F" w:rsidRPr="002B008A" w:rsidRDefault="009C590F"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2049" w:type="dxa"/>
            <w:gridSpan w:val="2"/>
            <w:tcBorders>
              <w:top w:val="single" w:sz="4" w:space="0" w:color="auto"/>
              <w:left w:val="nil"/>
              <w:bottom w:val="single" w:sz="4" w:space="0" w:color="auto"/>
              <w:right w:val="single" w:sz="4" w:space="0" w:color="000000"/>
            </w:tcBorders>
            <w:noWrap/>
            <w:vAlign w:val="center"/>
            <w:hideMark/>
          </w:tcPr>
          <w:p w14:paraId="362A09D6" w14:textId="77777777"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1,24</w:t>
            </w:r>
          </w:p>
        </w:tc>
        <w:tc>
          <w:tcPr>
            <w:tcW w:w="2420" w:type="dxa"/>
            <w:gridSpan w:val="2"/>
            <w:tcBorders>
              <w:top w:val="single" w:sz="4" w:space="0" w:color="auto"/>
              <w:left w:val="nil"/>
              <w:bottom w:val="single" w:sz="4" w:space="0" w:color="auto"/>
              <w:right w:val="single" w:sz="4" w:space="0" w:color="000000"/>
            </w:tcBorders>
            <w:noWrap/>
            <w:vAlign w:val="center"/>
            <w:hideMark/>
          </w:tcPr>
          <w:p w14:paraId="05C82738" w14:textId="77777777"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0,99</w:t>
            </w:r>
          </w:p>
        </w:tc>
        <w:tc>
          <w:tcPr>
            <w:tcW w:w="2420" w:type="dxa"/>
            <w:gridSpan w:val="2"/>
            <w:tcBorders>
              <w:top w:val="single" w:sz="4" w:space="0" w:color="auto"/>
              <w:left w:val="nil"/>
              <w:bottom w:val="single" w:sz="4" w:space="0" w:color="auto"/>
              <w:right w:val="single" w:sz="4" w:space="0" w:color="000000"/>
            </w:tcBorders>
            <w:noWrap/>
            <w:vAlign w:val="center"/>
            <w:hideMark/>
          </w:tcPr>
          <w:p w14:paraId="6A9545F7" w14:textId="77777777"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0,79</w:t>
            </w:r>
          </w:p>
        </w:tc>
        <w:tc>
          <w:tcPr>
            <w:tcW w:w="2400" w:type="dxa"/>
            <w:gridSpan w:val="2"/>
            <w:tcBorders>
              <w:top w:val="single" w:sz="4" w:space="0" w:color="auto"/>
              <w:left w:val="nil"/>
              <w:bottom w:val="single" w:sz="4" w:space="0" w:color="auto"/>
              <w:right w:val="single" w:sz="4" w:space="0" w:color="000000"/>
            </w:tcBorders>
            <w:noWrap/>
            <w:vAlign w:val="center"/>
          </w:tcPr>
          <w:p w14:paraId="7BA9FE87" w14:textId="0AA1FE39"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p>
        </w:tc>
        <w:tc>
          <w:tcPr>
            <w:tcW w:w="2400" w:type="dxa"/>
            <w:gridSpan w:val="2"/>
            <w:tcBorders>
              <w:top w:val="single" w:sz="4" w:space="0" w:color="auto"/>
              <w:left w:val="nil"/>
              <w:bottom w:val="single" w:sz="4" w:space="0" w:color="auto"/>
              <w:right w:val="single" w:sz="4" w:space="0" w:color="000000"/>
            </w:tcBorders>
            <w:noWrap/>
            <w:vAlign w:val="center"/>
          </w:tcPr>
          <w:p w14:paraId="43966D2A" w14:textId="3A02707B" w:rsidR="009C590F" w:rsidRPr="002B008A" w:rsidRDefault="009C590F" w:rsidP="00B2439B">
            <w:pPr>
              <w:spacing w:after="0" w:line="240" w:lineRule="auto"/>
              <w:jc w:val="center"/>
              <w:rPr>
                <w:rFonts w:ascii="Times New Roman" w:eastAsia="Times New Roman" w:hAnsi="Times New Roman" w:cs="Times New Roman"/>
                <w:color w:val="000000"/>
                <w:kern w:val="0"/>
                <w:sz w:val="26"/>
                <w:szCs w:val="26"/>
                <w:lang w:eastAsia="zh-CN"/>
                <w14:ligatures w14:val="none"/>
              </w:rPr>
            </w:pPr>
          </w:p>
        </w:tc>
      </w:tr>
    </w:tbl>
    <w:p w14:paraId="6ADCF71F" w14:textId="70DDBBAC" w:rsidR="009F3524" w:rsidRPr="002B008A" w:rsidRDefault="00435073" w:rsidP="00435073">
      <w:pPr>
        <w:tabs>
          <w:tab w:val="left" w:pos="6210"/>
        </w:tabs>
        <w:spacing w:after="0" w:line="360" w:lineRule="auto"/>
        <w:ind w:firstLine="567"/>
        <w:jc w:val="right"/>
        <w:rPr>
          <w:rFonts w:ascii="Times New Roman" w:hAnsi="Times New Roman" w:cs="Times New Roman"/>
          <w:i/>
          <w:iCs/>
          <w:color w:val="000000" w:themeColor="text1"/>
          <w:sz w:val="26"/>
          <w:szCs w:val="26"/>
          <w:lang w:val="vi"/>
        </w:rPr>
        <w:sectPr w:rsidR="009F3524" w:rsidRPr="002B008A" w:rsidSect="009E0361">
          <w:pgSz w:w="16838" w:h="11906" w:orient="landscape" w:code="9"/>
          <w:pgMar w:top="1134" w:right="1134" w:bottom="1134" w:left="1701" w:header="720" w:footer="720" w:gutter="0"/>
          <w:cols w:space="720"/>
          <w:docGrid w:linePitch="360"/>
        </w:sectPr>
      </w:pPr>
      <w:r w:rsidRPr="002B008A">
        <w:rPr>
          <w:rFonts w:ascii="Times New Roman" w:eastAsia="Times New Roman" w:hAnsi="Times New Roman" w:cs="Times New Roman"/>
          <w:i/>
          <w:iCs/>
          <w:color w:val="000000"/>
          <w:kern w:val="0"/>
          <w:sz w:val="26"/>
          <w:szCs w:val="26"/>
          <w:lang w:val="vi-VN"/>
          <w14:ligatures w14:val="none"/>
        </w:rPr>
        <w:t>(Nguồn: Báo cáo tài chính Ngân hàng TMCP Quân đội - Chi Nhánh Đà Nẵng giai đoạn 2023 - 2025)</w:t>
      </w:r>
    </w:p>
    <w:p w14:paraId="668149EE" w14:textId="77777777" w:rsidR="009A4492" w:rsidRPr="002B008A" w:rsidRDefault="009A4492" w:rsidP="009A449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lastRenderedPageBreak/>
        <w:t>Giai đoạn 2023–2025, hoạt động cho vay của Ngân hàng TMCP Quân đội – Chi nhánh Đà Nẵng tăng trưởng ổn định, đồng thời chất lượng tín dụng được cải thiện rõ rệt. Doanh số cho vay tăng đều từ 1.773 tỷ đồng năm 2023 lên 2.088 tỷ đồng năm 2024 và đạt 2.460 tỷ đồng năm 2025, với tốc độ tăng trưởng khoảng 17–18%/năm, cho thấy chi nhánh đã mở rộng tín dụng hiệu quả, đáp ứng nhu cầu vốn của khách hàng.</w:t>
      </w:r>
    </w:p>
    <w:p w14:paraId="08FE2F38" w14:textId="77777777" w:rsidR="009A4492" w:rsidRPr="002B008A" w:rsidRDefault="009A4492" w:rsidP="009A449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Doanh số thu nợ cũng tăng từ 1.225 tỷ đồng lên 1.417 tỷ đồng và 1.650 tỷ đồng, tuy nhiên tốc độ tăng thấp hơn so với cho vay, phản ánh áp lực thu hồi vốn khi quy mô tín dụng mở rộng. Dư nợ cuối kỳ tăng mạnh từ 4.529 tỷ đồng lên 5.200 tỷ đồng và đạt 6.010 tỷ đồng, cho thấy quy mô hoạt động tín dụng ngày càng lớn nhưng đồng thời đòi hỏi kiểm soát rủi ro chặt chẽ hơn.</w:t>
      </w:r>
    </w:p>
    <w:p w14:paraId="1A661F35" w14:textId="77777777" w:rsidR="009A4492" w:rsidRPr="002B008A" w:rsidRDefault="009A4492" w:rsidP="009A449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Về chất lượng tín dụng, nợ xấu giảm nhẹ từ 37,33 tỷ đồng xuống 36,5 tỷ đồng, đồng thời tỷ lệ nợ xấu giảm từ 0,82% xuống 0,61%. Việc duy trì tỷ lệ nợ xấu dưới 1% và có xu hướng giảm cho thấy công tác quản lý rủi ro tại chi nhánh được thực hiện hiệu quả, góp phần nâng cao chất lượng danh mục cho vay.</w:t>
      </w:r>
    </w:p>
    <w:p w14:paraId="03D02E35" w14:textId="77777777" w:rsidR="009A4492" w:rsidRPr="002B008A" w:rsidRDefault="00EB2EE6"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Nhìn chung</w:t>
      </w:r>
      <w:r w:rsidR="00E426B5" w:rsidRPr="002B008A">
        <w:rPr>
          <w:rFonts w:ascii="Times New Roman" w:hAnsi="Times New Roman" w:cs="Times New Roman"/>
          <w:color w:val="000000" w:themeColor="text1"/>
          <w:sz w:val="26"/>
          <w:szCs w:val="26"/>
          <w:lang w:val="vi-VN"/>
        </w:rPr>
        <w:t>, bảng số liệu cho thấy hoạt động cho vay của chi nhánh trong giai đoạn nghiên cứu đạt được những kết quả tích cực, thể hiện qua việc mở rộng quy mô tín dụng đi đôi với kiểm soát tốt chất lượng tín dụng. Tuy nhiên, sự chênh lệch giữa tốc độ tăng trưởng cho vay và thu nợ cũng là một yếu tố cần lưu ý, đòi hỏi ngân hàng cần tiếp tục nâng cao hiệu quả công tác thu hồi nợ và quản lý tín dụng nhằm đảm bảo sự phát triển bền vững trong thời gian tới.</w:t>
      </w:r>
    </w:p>
    <w:p w14:paraId="07F59FA9" w14:textId="3865E562" w:rsidR="009A4492" w:rsidRPr="002B008A" w:rsidRDefault="009A4492" w:rsidP="009A4492">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2B008A">
        <w:rPr>
          <w:rFonts w:ascii="Times New Roman" w:hAnsi="Times New Roman" w:cs="Times New Roman"/>
          <w:b/>
          <w:bCs/>
          <w:color w:val="000000" w:themeColor="text1"/>
          <w:sz w:val="26"/>
          <w:szCs w:val="26"/>
          <w:lang w:val="vi-VN"/>
        </w:rPr>
        <w:t xml:space="preserve">c) Kết quả hoạt động kinh doanh của ngân hàng TMCP Quân đội – Chi nhánh Đà </w:t>
      </w:r>
      <w:r w:rsidR="005A0B2D" w:rsidRPr="002B008A">
        <w:rPr>
          <w:rFonts w:ascii="Times New Roman" w:hAnsi="Times New Roman" w:cs="Times New Roman"/>
          <w:b/>
          <w:bCs/>
          <w:color w:val="000000" w:themeColor="text1"/>
          <w:sz w:val="26"/>
          <w:szCs w:val="26"/>
          <w:lang w:val="vi-VN"/>
        </w:rPr>
        <w:t>Nẵng.</w:t>
      </w:r>
    </w:p>
    <w:p w14:paraId="0598ADAE" w14:textId="797EECD6" w:rsidR="009A4492" w:rsidRPr="002B008A" w:rsidRDefault="009A4492"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sectPr w:rsidR="009A4492" w:rsidRPr="002B008A" w:rsidSect="009E0361">
          <w:pgSz w:w="11906" w:h="16838" w:code="9"/>
          <w:pgMar w:top="1134" w:right="1134" w:bottom="1134" w:left="1701" w:header="720" w:footer="720" w:gutter="0"/>
          <w:cols w:space="720"/>
          <w:docGrid w:linePitch="360"/>
        </w:sectPr>
      </w:pPr>
      <w:r w:rsidRPr="002B008A">
        <w:rPr>
          <w:rFonts w:ascii="Times New Roman" w:hAnsi="Times New Roman" w:cs="Times New Roman"/>
          <w:lang w:val="vi-VN"/>
        </w:rPr>
        <w:t xml:space="preserve"> </w:t>
      </w:r>
      <w:r w:rsidRPr="002B008A">
        <w:rPr>
          <w:rFonts w:ascii="Times New Roman" w:hAnsi="Times New Roman" w:cs="Times New Roman"/>
          <w:color w:val="000000" w:themeColor="text1"/>
          <w:sz w:val="26"/>
          <w:szCs w:val="26"/>
          <w:lang w:val="vi-VN"/>
        </w:rPr>
        <w:t>Giai đoạn 2023–2025, Ngân hàng TMCP Quân đội – Chi nhánh Đà Nẵng duy trì hoạt động kinh doanh ổn định và từng bước nâng cao hiệu quả trong bối cảnh kinh tế còn nhiều biến động. Thu nhập có xu hướng tăng, cơ cấu nguồn thu được cải thiện, đồng thời chi phí và rủi ro được kiểm soát tốt, góp phần nâng cao lợi nhuận của chi nhánh. Để làm rõ hơn tình hình hoạt động kinh doanh trong giai đoạn này, nội dung được thể hiện cụ thể qua Bảng 2.3 dưới đây</w:t>
      </w:r>
    </w:p>
    <w:p w14:paraId="5DCA83D1" w14:textId="13783187" w:rsidR="003D10F1" w:rsidRPr="002B008A" w:rsidRDefault="003D10F1" w:rsidP="005A0B2D">
      <w:pPr>
        <w:pStyle w:val="Caption"/>
        <w:spacing w:after="0"/>
        <w:ind w:firstLine="0"/>
        <w:jc w:val="center"/>
        <w:rPr>
          <w:rFonts w:ascii="Times New Roman" w:hAnsi="Times New Roman" w:cs="Times New Roman"/>
          <w:lang w:val="vi-VN"/>
        </w:rPr>
      </w:pPr>
      <w:bookmarkStart w:id="44" w:name="_Toc230367579"/>
      <w:r w:rsidRPr="002B008A">
        <w:rPr>
          <w:rFonts w:ascii="Times New Roman" w:hAnsi="Times New Roman" w:cs="Times New Roman"/>
          <w:b/>
          <w:bCs/>
          <w:i w:val="0"/>
          <w:iCs w:val="0"/>
          <w:color w:val="auto"/>
          <w:sz w:val="26"/>
          <w:szCs w:val="26"/>
          <w:lang w:val="vi-VN"/>
        </w:rPr>
        <w:lastRenderedPageBreak/>
        <w:t>Bảng 2.</w:t>
      </w:r>
      <w:r w:rsidRPr="002B008A">
        <w:rPr>
          <w:rFonts w:ascii="Times New Roman" w:hAnsi="Times New Roman" w:cs="Times New Roman"/>
          <w:b/>
          <w:bCs/>
          <w:i w:val="0"/>
          <w:iCs w:val="0"/>
          <w:color w:val="auto"/>
          <w:sz w:val="26"/>
          <w:szCs w:val="26"/>
        </w:rPr>
        <w:fldChar w:fldCharType="begin"/>
      </w:r>
      <w:r w:rsidRPr="002B008A">
        <w:rPr>
          <w:rFonts w:ascii="Times New Roman" w:hAnsi="Times New Roman" w:cs="Times New Roman"/>
          <w:b/>
          <w:bCs/>
          <w:i w:val="0"/>
          <w:iCs w:val="0"/>
          <w:color w:val="auto"/>
          <w:sz w:val="26"/>
          <w:szCs w:val="26"/>
          <w:lang w:val="vi-VN"/>
        </w:rPr>
        <w:instrText xml:space="preserve"> SEQ Bảng_2. \* ARABIC </w:instrText>
      </w:r>
      <w:r w:rsidRPr="002B008A">
        <w:rPr>
          <w:rFonts w:ascii="Times New Roman" w:hAnsi="Times New Roman" w:cs="Times New Roman"/>
          <w:b/>
          <w:bCs/>
          <w:i w:val="0"/>
          <w:iCs w:val="0"/>
          <w:color w:val="auto"/>
          <w:sz w:val="26"/>
          <w:szCs w:val="26"/>
        </w:rPr>
        <w:fldChar w:fldCharType="separate"/>
      </w:r>
      <w:r w:rsidR="002F2275">
        <w:rPr>
          <w:rFonts w:ascii="Times New Roman" w:hAnsi="Times New Roman" w:cs="Times New Roman"/>
          <w:b/>
          <w:bCs/>
          <w:i w:val="0"/>
          <w:iCs w:val="0"/>
          <w:noProof/>
          <w:color w:val="auto"/>
          <w:sz w:val="26"/>
          <w:szCs w:val="26"/>
          <w:lang w:val="vi-VN"/>
        </w:rPr>
        <w:t>3</w:t>
      </w:r>
      <w:r w:rsidRPr="002B008A">
        <w:rPr>
          <w:rFonts w:ascii="Times New Roman" w:hAnsi="Times New Roman" w:cs="Times New Roman"/>
          <w:b/>
          <w:bCs/>
          <w:i w:val="0"/>
          <w:iCs w:val="0"/>
          <w:color w:val="auto"/>
          <w:sz w:val="26"/>
          <w:szCs w:val="26"/>
        </w:rPr>
        <w:fldChar w:fldCharType="end"/>
      </w:r>
      <w:r w:rsidRPr="002B008A">
        <w:rPr>
          <w:rFonts w:ascii="Times New Roman" w:hAnsi="Times New Roman" w:cs="Times New Roman"/>
          <w:color w:val="auto"/>
          <w:lang w:val="vi-VN"/>
        </w:rPr>
        <w:t xml:space="preserve"> </w:t>
      </w:r>
      <w:r w:rsidR="00B3173C" w:rsidRPr="002B008A">
        <w:rPr>
          <w:rFonts w:ascii="Times New Roman" w:hAnsi="Times New Roman" w:cs="Times New Roman"/>
          <w:color w:val="auto"/>
          <w:lang w:val="vi-VN"/>
        </w:rPr>
        <w:t xml:space="preserve"> </w:t>
      </w:r>
      <w:r w:rsidR="0056151F" w:rsidRPr="002B008A">
        <w:rPr>
          <w:rFonts w:ascii="Times New Roman" w:hAnsi="Times New Roman" w:cs="Times New Roman"/>
          <w:b/>
          <w:bCs/>
          <w:i w:val="0"/>
          <w:iCs w:val="0"/>
          <w:color w:val="auto"/>
          <w:sz w:val="26"/>
          <w:szCs w:val="26"/>
          <w:lang w:val="vi"/>
        </w:rPr>
        <w:t xml:space="preserve">Kết quả hoạt động kinh doanh của Ngân hàng TMCP Quân đội – Chi nhánh Đà Nẵng (giai đoạn 2023 </w:t>
      </w:r>
      <w:r w:rsidRPr="002B008A">
        <w:rPr>
          <w:rFonts w:ascii="Times New Roman" w:hAnsi="Times New Roman" w:cs="Times New Roman"/>
          <w:b/>
          <w:bCs/>
          <w:i w:val="0"/>
          <w:iCs w:val="0"/>
          <w:color w:val="auto"/>
          <w:sz w:val="26"/>
          <w:szCs w:val="26"/>
          <w:lang w:val="vi"/>
        </w:rPr>
        <w:t>–</w:t>
      </w:r>
      <w:r w:rsidR="0056151F" w:rsidRPr="002B008A">
        <w:rPr>
          <w:rFonts w:ascii="Times New Roman" w:hAnsi="Times New Roman" w:cs="Times New Roman"/>
          <w:b/>
          <w:bCs/>
          <w:i w:val="0"/>
          <w:iCs w:val="0"/>
          <w:color w:val="auto"/>
          <w:sz w:val="26"/>
          <w:szCs w:val="26"/>
          <w:lang w:val="vi"/>
        </w:rPr>
        <w:t xml:space="preserve"> 2025</w:t>
      </w:r>
      <w:r w:rsidRPr="002B008A">
        <w:rPr>
          <w:rFonts w:ascii="Times New Roman" w:hAnsi="Times New Roman" w:cs="Times New Roman"/>
          <w:b/>
          <w:bCs/>
          <w:i w:val="0"/>
          <w:iCs w:val="0"/>
          <w:color w:val="auto"/>
          <w:sz w:val="26"/>
          <w:szCs w:val="26"/>
          <w:lang w:val="vi-VN"/>
        </w:rPr>
        <w:t>)</w:t>
      </w:r>
      <w:r w:rsidR="005A0B2D" w:rsidRPr="002B008A">
        <w:rPr>
          <w:rFonts w:ascii="Times New Roman" w:hAnsi="Times New Roman" w:cs="Times New Roman"/>
          <w:b/>
          <w:bCs/>
          <w:i w:val="0"/>
          <w:iCs w:val="0"/>
          <w:color w:val="auto"/>
          <w:sz w:val="26"/>
          <w:szCs w:val="26"/>
          <w:lang w:val="vi-VN"/>
        </w:rPr>
        <w:t>.</w:t>
      </w:r>
      <w:bookmarkEnd w:id="44"/>
    </w:p>
    <w:p w14:paraId="6C32D8A6" w14:textId="23F08928" w:rsidR="009023EF" w:rsidRPr="002B008A" w:rsidRDefault="00A73077" w:rsidP="003D10F1">
      <w:pPr>
        <w:pStyle w:val="Caption"/>
        <w:spacing w:after="40" w:line="312" w:lineRule="auto"/>
        <w:ind w:firstLine="0"/>
        <w:jc w:val="right"/>
        <w:rPr>
          <w:rFonts w:ascii="Times New Roman" w:eastAsia="Times New Roman" w:hAnsi="Times New Roman" w:cs="Times New Roman"/>
          <w:color w:val="000000"/>
          <w:kern w:val="0"/>
          <w:sz w:val="26"/>
          <w:szCs w:val="26"/>
          <w:lang w:val="vi-VN"/>
          <w14:ligatures w14:val="none"/>
        </w:rPr>
      </w:pPr>
      <w:r w:rsidRPr="002B008A">
        <w:rPr>
          <w:rFonts w:ascii="Times New Roman" w:eastAsia="Times New Roman" w:hAnsi="Times New Roman" w:cs="Times New Roman"/>
          <w:color w:val="000000"/>
          <w:kern w:val="0"/>
          <w:sz w:val="26"/>
          <w:szCs w:val="26"/>
          <w:lang w:val="vi-VN"/>
          <w14:ligatures w14:val="none"/>
        </w:rPr>
        <w:t>Đơn vị tính: Tỷ đồng</w:t>
      </w:r>
    </w:p>
    <w:tbl>
      <w:tblPr>
        <w:tblW w:w="5000" w:type="pct"/>
        <w:tblLayout w:type="fixed"/>
        <w:tblLook w:val="04A0" w:firstRow="1" w:lastRow="0" w:firstColumn="1" w:lastColumn="0" w:noHBand="0" w:noVBand="1"/>
      </w:tblPr>
      <w:tblGrid>
        <w:gridCol w:w="2641"/>
        <w:gridCol w:w="977"/>
        <w:gridCol w:w="1254"/>
        <w:gridCol w:w="1114"/>
        <w:gridCol w:w="1254"/>
        <w:gridCol w:w="977"/>
        <w:gridCol w:w="1251"/>
        <w:gridCol w:w="982"/>
        <w:gridCol w:w="1257"/>
        <w:gridCol w:w="971"/>
        <w:gridCol w:w="1315"/>
      </w:tblGrid>
      <w:tr w:rsidR="001B1B15" w:rsidRPr="002B008A" w14:paraId="23B66AE9" w14:textId="77777777" w:rsidTr="00A5287F">
        <w:trPr>
          <w:trHeight w:val="336"/>
        </w:trPr>
        <w:tc>
          <w:tcPr>
            <w:tcW w:w="944" w:type="pct"/>
            <w:vMerge w:val="restart"/>
            <w:tcBorders>
              <w:top w:val="single" w:sz="4" w:space="0" w:color="auto"/>
              <w:left w:val="single" w:sz="4" w:space="0" w:color="auto"/>
              <w:bottom w:val="single" w:sz="4" w:space="0" w:color="000000"/>
              <w:right w:val="single" w:sz="4" w:space="0" w:color="auto"/>
            </w:tcBorders>
            <w:shd w:val="clear" w:color="000000" w:fill="C0E6F5"/>
            <w:noWrap/>
            <w:vAlign w:val="center"/>
            <w:hideMark/>
          </w:tcPr>
          <w:p w14:paraId="37904590"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Chỉ tiêu</w:t>
            </w:r>
          </w:p>
        </w:tc>
        <w:tc>
          <w:tcPr>
            <w:tcW w:w="797"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34C96DB2"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2023</w:t>
            </w:r>
          </w:p>
        </w:tc>
        <w:tc>
          <w:tcPr>
            <w:tcW w:w="846"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2E820AF9"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2024</w:t>
            </w:r>
          </w:p>
        </w:tc>
        <w:tc>
          <w:tcPr>
            <w:tcW w:w="796"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4DEBCCF8"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2025</w:t>
            </w:r>
          </w:p>
        </w:tc>
        <w:tc>
          <w:tcPr>
            <w:tcW w:w="800"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6A23301D" w14:textId="487C6332"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w:t>
            </w:r>
            <w:r w:rsidR="0056151F" w:rsidRPr="002B008A">
              <w:rPr>
                <w:rFonts w:ascii="Times New Roman" w:eastAsia="Times New Roman" w:hAnsi="Times New Roman" w:cs="Times New Roman"/>
                <w:b/>
                <w:bCs/>
                <w:color w:val="000000"/>
                <w:kern w:val="0"/>
                <w:sz w:val="26"/>
                <w:szCs w:val="26"/>
                <w:lang w:val="vi-VN" w:eastAsia="zh-CN"/>
                <w14:ligatures w14:val="none"/>
              </w:rPr>
              <w:t xml:space="preserve"> </w:t>
            </w:r>
            <w:r w:rsidRPr="002B008A">
              <w:rPr>
                <w:rFonts w:ascii="Times New Roman" w:eastAsia="Times New Roman" w:hAnsi="Times New Roman" w:cs="Times New Roman"/>
                <w:b/>
                <w:bCs/>
                <w:color w:val="000000"/>
                <w:kern w:val="0"/>
                <w:sz w:val="26"/>
                <w:szCs w:val="26"/>
                <w:lang w:eastAsia="zh-CN"/>
                <w14:ligatures w14:val="none"/>
              </w:rPr>
              <w:t>2024/2023</w:t>
            </w:r>
          </w:p>
        </w:tc>
        <w:tc>
          <w:tcPr>
            <w:tcW w:w="817" w:type="pct"/>
            <w:gridSpan w:val="2"/>
            <w:tcBorders>
              <w:top w:val="single" w:sz="4" w:space="0" w:color="auto"/>
              <w:left w:val="nil"/>
              <w:bottom w:val="single" w:sz="4" w:space="0" w:color="auto"/>
              <w:right w:val="single" w:sz="4" w:space="0" w:color="000000"/>
            </w:tcBorders>
            <w:shd w:val="clear" w:color="000000" w:fill="C0E6F5"/>
            <w:noWrap/>
            <w:vAlign w:val="center"/>
            <w:hideMark/>
          </w:tcPr>
          <w:p w14:paraId="62F9C98F"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2025/2024</w:t>
            </w:r>
          </w:p>
        </w:tc>
      </w:tr>
      <w:tr w:rsidR="001B1B15" w:rsidRPr="002B008A" w14:paraId="283787C5" w14:textId="77777777" w:rsidTr="00A5287F">
        <w:trPr>
          <w:trHeight w:val="336"/>
        </w:trPr>
        <w:tc>
          <w:tcPr>
            <w:tcW w:w="944" w:type="pct"/>
            <w:vMerge/>
            <w:tcBorders>
              <w:top w:val="single" w:sz="4" w:space="0" w:color="auto"/>
              <w:left w:val="single" w:sz="4" w:space="0" w:color="auto"/>
              <w:bottom w:val="single" w:sz="4" w:space="0" w:color="000000"/>
              <w:right w:val="single" w:sz="4" w:space="0" w:color="auto"/>
            </w:tcBorders>
            <w:vAlign w:val="center"/>
            <w:hideMark/>
          </w:tcPr>
          <w:p w14:paraId="28303F11"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49" w:type="pct"/>
            <w:tcBorders>
              <w:top w:val="nil"/>
              <w:left w:val="nil"/>
              <w:bottom w:val="single" w:sz="4" w:space="0" w:color="auto"/>
              <w:right w:val="single" w:sz="4" w:space="0" w:color="auto"/>
            </w:tcBorders>
            <w:shd w:val="clear" w:color="000000" w:fill="C0E6F5"/>
            <w:noWrap/>
            <w:vAlign w:val="center"/>
            <w:hideMark/>
          </w:tcPr>
          <w:p w14:paraId="5DF04185"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448" w:type="pct"/>
            <w:tcBorders>
              <w:top w:val="nil"/>
              <w:left w:val="nil"/>
              <w:bottom w:val="single" w:sz="4" w:space="0" w:color="auto"/>
              <w:right w:val="single" w:sz="4" w:space="0" w:color="auto"/>
            </w:tcBorders>
            <w:shd w:val="clear" w:color="000000" w:fill="C0E6F5"/>
            <w:noWrap/>
            <w:vAlign w:val="center"/>
            <w:hideMark/>
          </w:tcPr>
          <w:p w14:paraId="650E7D0E"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398" w:type="pct"/>
            <w:tcBorders>
              <w:top w:val="nil"/>
              <w:left w:val="nil"/>
              <w:bottom w:val="single" w:sz="4" w:space="0" w:color="auto"/>
              <w:right w:val="single" w:sz="4" w:space="0" w:color="auto"/>
            </w:tcBorders>
            <w:shd w:val="clear" w:color="000000" w:fill="C0E6F5"/>
            <w:noWrap/>
            <w:vAlign w:val="center"/>
            <w:hideMark/>
          </w:tcPr>
          <w:p w14:paraId="77E077F2" w14:textId="5C44D222"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448" w:type="pct"/>
            <w:tcBorders>
              <w:top w:val="nil"/>
              <w:left w:val="nil"/>
              <w:bottom w:val="single" w:sz="4" w:space="0" w:color="auto"/>
              <w:right w:val="single" w:sz="4" w:space="0" w:color="auto"/>
            </w:tcBorders>
            <w:shd w:val="clear" w:color="000000" w:fill="C0E6F5"/>
            <w:noWrap/>
            <w:vAlign w:val="center"/>
            <w:hideMark/>
          </w:tcPr>
          <w:p w14:paraId="79667466"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349" w:type="pct"/>
            <w:tcBorders>
              <w:top w:val="nil"/>
              <w:left w:val="nil"/>
              <w:bottom w:val="single" w:sz="4" w:space="0" w:color="auto"/>
              <w:right w:val="single" w:sz="4" w:space="0" w:color="auto"/>
            </w:tcBorders>
            <w:shd w:val="clear" w:color="000000" w:fill="C0E6F5"/>
            <w:noWrap/>
            <w:vAlign w:val="center"/>
            <w:hideMark/>
          </w:tcPr>
          <w:p w14:paraId="6A8C6610"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447" w:type="pct"/>
            <w:tcBorders>
              <w:top w:val="nil"/>
              <w:left w:val="nil"/>
              <w:bottom w:val="single" w:sz="4" w:space="0" w:color="auto"/>
              <w:right w:val="single" w:sz="4" w:space="0" w:color="auto"/>
            </w:tcBorders>
            <w:shd w:val="clear" w:color="000000" w:fill="C0E6F5"/>
            <w:noWrap/>
            <w:vAlign w:val="center"/>
            <w:hideMark/>
          </w:tcPr>
          <w:p w14:paraId="27345B24"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351" w:type="pct"/>
            <w:tcBorders>
              <w:top w:val="nil"/>
              <w:left w:val="nil"/>
              <w:bottom w:val="single" w:sz="4" w:space="0" w:color="auto"/>
              <w:right w:val="single" w:sz="4" w:space="0" w:color="auto"/>
            </w:tcBorders>
            <w:shd w:val="clear" w:color="000000" w:fill="C0E6F5"/>
            <w:noWrap/>
            <w:vAlign w:val="center"/>
            <w:hideMark/>
          </w:tcPr>
          <w:p w14:paraId="1E993A10"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449" w:type="pct"/>
            <w:tcBorders>
              <w:top w:val="nil"/>
              <w:left w:val="nil"/>
              <w:bottom w:val="single" w:sz="4" w:space="0" w:color="auto"/>
              <w:right w:val="single" w:sz="4" w:space="0" w:color="auto"/>
            </w:tcBorders>
            <w:shd w:val="clear" w:color="000000" w:fill="C0E6F5"/>
            <w:noWrap/>
            <w:vAlign w:val="center"/>
            <w:hideMark/>
          </w:tcPr>
          <w:p w14:paraId="77554450"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c>
          <w:tcPr>
            <w:tcW w:w="347" w:type="pct"/>
            <w:tcBorders>
              <w:top w:val="nil"/>
              <w:left w:val="nil"/>
              <w:bottom w:val="single" w:sz="4" w:space="0" w:color="auto"/>
              <w:right w:val="single" w:sz="4" w:space="0" w:color="auto"/>
            </w:tcBorders>
            <w:shd w:val="clear" w:color="000000" w:fill="C0E6F5"/>
            <w:noWrap/>
            <w:vAlign w:val="center"/>
            <w:hideMark/>
          </w:tcPr>
          <w:p w14:paraId="1D2A9C5D"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470" w:type="pct"/>
            <w:tcBorders>
              <w:top w:val="nil"/>
              <w:left w:val="nil"/>
              <w:bottom w:val="single" w:sz="4" w:space="0" w:color="auto"/>
              <w:right w:val="single" w:sz="4" w:space="0" w:color="auto"/>
            </w:tcBorders>
            <w:shd w:val="clear" w:color="000000" w:fill="C0E6F5"/>
            <w:noWrap/>
            <w:vAlign w:val="center"/>
            <w:hideMark/>
          </w:tcPr>
          <w:p w14:paraId="06BD5376" w14:textId="77777777" w:rsidR="001B1B15" w:rsidRPr="002B008A" w:rsidRDefault="001B1B15" w:rsidP="00B2439B">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r>
      <w:tr w:rsidR="001B1B15" w:rsidRPr="002B008A" w14:paraId="5E21E3D4" w14:textId="77777777" w:rsidTr="00A5287F">
        <w:trPr>
          <w:trHeight w:val="336"/>
        </w:trPr>
        <w:tc>
          <w:tcPr>
            <w:tcW w:w="944" w:type="pct"/>
            <w:tcBorders>
              <w:top w:val="nil"/>
              <w:left w:val="single" w:sz="4" w:space="0" w:color="auto"/>
              <w:bottom w:val="single" w:sz="4" w:space="0" w:color="auto"/>
              <w:right w:val="single" w:sz="4" w:space="0" w:color="auto"/>
            </w:tcBorders>
            <w:noWrap/>
            <w:vAlign w:val="center"/>
            <w:hideMark/>
          </w:tcPr>
          <w:p w14:paraId="7560695A" w14:textId="77777777" w:rsidR="001B1B15" w:rsidRPr="002B008A" w:rsidRDefault="001B1B15" w:rsidP="00B2439B">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 Tổng thu nhập</w:t>
            </w:r>
          </w:p>
        </w:tc>
        <w:tc>
          <w:tcPr>
            <w:tcW w:w="349" w:type="pct"/>
            <w:tcBorders>
              <w:top w:val="nil"/>
              <w:left w:val="nil"/>
              <w:bottom w:val="single" w:sz="4" w:space="0" w:color="auto"/>
              <w:right w:val="single" w:sz="4" w:space="0" w:color="auto"/>
            </w:tcBorders>
            <w:noWrap/>
            <w:vAlign w:val="center"/>
            <w:hideMark/>
          </w:tcPr>
          <w:p w14:paraId="0EB6AB44"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424,92</w:t>
            </w:r>
          </w:p>
        </w:tc>
        <w:tc>
          <w:tcPr>
            <w:tcW w:w="448" w:type="pct"/>
            <w:tcBorders>
              <w:top w:val="nil"/>
              <w:left w:val="nil"/>
              <w:bottom w:val="single" w:sz="4" w:space="0" w:color="auto"/>
              <w:right w:val="single" w:sz="4" w:space="0" w:color="auto"/>
            </w:tcBorders>
            <w:noWrap/>
            <w:vAlign w:val="center"/>
            <w:hideMark/>
          </w:tcPr>
          <w:p w14:paraId="10D51610" w14:textId="4A59A07A" w:rsidR="001B1B15" w:rsidRPr="002B008A" w:rsidRDefault="00A82BDF"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398" w:type="pct"/>
            <w:tcBorders>
              <w:top w:val="nil"/>
              <w:left w:val="nil"/>
              <w:bottom w:val="single" w:sz="4" w:space="0" w:color="auto"/>
              <w:right w:val="single" w:sz="4" w:space="0" w:color="auto"/>
            </w:tcBorders>
            <w:noWrap/>
            <w:vAlign w:val="center"/>
            <w:hideMark/>
          </w:tcPr>
          <w:p w14:paraId="59BC2CCB"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458,29</w:t>
            </w:r>
          </w:p>
        </w:tc>
        <w:tc>
          <w:tcPr>
            <w:tcW w:w="448" w:type="pct"/>
            <w:tcBorders>
              <w:top w:val="nil"/>
              <w:left w:val="nil"/>
              <w:bottom w:val="single" w:sz="4" w:space="0" w:color="auto"/>
              <w:right w:val="single" w:sz="4" w:space="0" w:color="auto"/>
            </w:tcBorders>
            <w:noWrap/>
            <w:vAlign w:val="center"/>
            <w:hideMark/>
          </w:tcPr>
          <w:p w14:paraId="230F3E71" w14:textId="68342261"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349" w:type="pct"/>
            <w:tcBorders>
              <w:top w:val="nil"/>
              <w:left w:val="nil"/>
              <w:bottom w:val="single" w:sz="4" w:space="0" w:color="auto"/>
              <w:right w:val="single" w:sz="4" w:space="0" w:color="auto"/>
            </w:tcBorders>
            <w:noWrap/>
            <w:vAlign w:val="center"/>
            <w:hideMark/>
          </w:tcPr>
          <w:p w14:paraId="1ADB2E99"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494,70</w:t>
            </w:r>
          </w:p>
        </w:tc>
        <w:tc>
          <w:tcPr>
            <w:tcW w:w="447" w:type="pct"/>
            <w:tcBorders>
              <w:top w:val="nil"/>
              <w:left w:val="nil"/>
              <w:bottom w:val="single" w:sz="4" w:space="0" w:color="auto"/>
              <w:right w:val="single" w:sz="4" w:space="0" w:color="auto"/>
            </w:tcBorders>
            <w:noWrap/>
            <w:vAlign w:val="center"/>
            <w:hideMark/>
          </w:tcPr>
          <w:p w14:paraId="65976A3D" w14:textId="37267C84"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351" w:type="pct"/>
            <w:tcBorders>
              <w:top w:val="nil"/>
              <w:left w:val="nil"/>
              <w:bottom w:val="single" w:sz="4" w:space="0" w:color="auto"/>
              <w:right w:val="single" w:sz="4" w:space="0" w:color="auto"/>
            </w:tcBorders>
            <w:noWrap/>
            <w:vAlign w:val="center"/>
            <w:hideMark/>
          </w:tcPr>
          <w:p w14:paraId="7CD38B03"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33,37</w:t>
            </w:r>
          </w:p>
        </w:tc>
        <w:tc>
          <w:tcPr>
            <w:tcW w:w="449" w:type="pct"/>
            <w:tcBorders>
              <w:top w:val="nil"/>
              <w:left w:val="nil"/>
              <w:bottom w:val="single" w:sz="4" w:space="0" w:color="auto"/>
              <w:right w:val="single" w:sz="4" w:space="0" w:color="auto"/>
            </w:tcBorders>
            <w:noWrap/>
            <w:vAlign w:val="center"/>
            <w:hideMark/>
          </w:tcPr>
          <w:p w14:paraId="5A88DEA9" w14:textId="5A8399DC"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7,85</w:t>
            </w:r>
          </w:p>
        </w:tc>
        <w:tc>
          <w:tcPr>
            <w:tcW w:w="347" w:type="pct"/>
            <w:tcBorders>
              <w:top w:val="nil"/>
              <w:left w:val="nil"/>
              <w:bottom w:val="single" w:sz="4" w:space="0" w:color="auto"/>
              <w:right w:val="single" w:sz="4" w:space="0" w:color="auto"/>
            </w:tcBorders>
            <w:noWrap/>
            <w:vAlign w:val="center"/>
            <w:hideMark/>
          </w:tcPr>
          <w:p w14:paraId="4FD2DAE0"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36,41</w:t>
            </w:r>
          </w:p>
        </w:tc>
        <w:tc>
          <w:tcPr>
            <w:tcW w:w="470" w:type="pct"/>
            <w:tcBorders>
              <w:top w:val="nil"/>
              <w:left w:val="nil"/>
              <w:bottom w:val="single" w:sz="4" w:space="0" w:color="auto"/>
              <w:right w:val="single" w:sz="4" w:space="0" w:color="auto"/>
            </w:tcBorders>
            <w:noWrap/>
            <w:vAlign w:val="center"/>
            <w:hideMark/>
          </w:tcPr>
          <w:p w14:paraId="6723A947" w14:textId="50314256"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7,94</w:t>
            </w:r>
          </w:p>
        </w:tc>
      </w:tr>
      <w:tr w:rsidR="001B1B15" w:rsidRPr="002B008A" w14:paraId="183860EA" w14:textId="77777777" w:rsidTr="00A5287F">
        <w:trPr>
          <w:trHeight w:val="336"/>
        </w:trPr>
        <w:tc>
          <w:tcPr>
            <w:tcW w:w="944" w:type="pct"/>
            <w:tcBorders>
              <w:top w:val="nil"/>
              <w:left w:val="single" w:sz="4" w:space="0" w:color="auto"/>
              <w:bottom w:val="single" w:sz="4" w:space="0" w:color="auto"/>
              <w:right w:val="single" w:sz="4" w:space="0" w:color="auto"/>
            </w:tcBorders>
            <w:noWrap/>
            <w:vAlign w:val="center"/>
            <w:hideMark/>
          </w:tcPr>
          <w:p w14:paraId="552E3074" w14:textId="77777777" w:rsidR="001B1B15" w:rsidRPr="002B008A" w:rsidRDefault="001B1B15"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Thu nhập từ lãi vay</w:t>
            </w:r>
          </w:p>
        </w:tc>
        <w:tc>
          <w:tcPr>
            <w:tcW w:w="349" w:type="pct"/>
            <w:tcBorders>
              <w:top w:val="nil"/>
              <w:left w:val="nil"/>
              <w:bottom w:val="single" w:sz="4" w:space="0" w:color="auto"/>
              <w:right w:val="single" w:sz="4" w:space="0" w:color="auto"/>
            </w:tcBorders>
            <w:noWrap/>
            <w:vAlign w:val="center"/>
            <w:hideMark/>
          </w:tcPr>
          <w:p w14:paraId="6805B651"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371,04</w:t>
            </w:r>
          </w:p>
        </w:tc>
        <w:tc>
          <w:tcPr>
            <w:tcW w:w="448" w:type="pct"/>
            <w:tcBorders>
              <w:top w:val="nil"/>
              <w:left w:val="nil"/>
              <w:bottom w:val="single" w:sz="4" w:space="0" w:color="auto"/>
              <w:right w:val="single" w:sz="4" w:space="0" w:color="auto"/>
            </w:tcBorders>
            <w:noWrap/>
            <w:vAlign w:val="center"/>
            <w:hideMark/>
          </w:tcPr>
          <w:p w14:paraId="3E303C02" w14:textId="6B6E321F"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87,32</w:t>
            </w:r>
          </w:p>
        </w:tc>
        <w:tc>
          <w:tcPr>
            <w:tcW w:w="398" w:type="pct"/>
            <w:tcBorders>
              <w:top w:val="nil"/>
              <w:left w:val="nil"/>
              <w:bottom w:val="single" w:sz="4" w:space="0" w:color="auto"/>
              <w:right w:val="single" w:sz="4" w:space="0" w:color="auto"/>
            </w:tcBorders>
            <w:noWrap/>
            <w:vAlign w:val="center"/>
            <w:hideMark/>
          </w:tcPr>
          <w:p w14:paraId="5B7AF8DC"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400,30</w:t>
            </w:r>
          </w:p>
        </w:tc>
        <w:tc>
          <w:tcPr>
            <w:tcW w:w="448" w:type="pct"/>
            <w:tcBorders>
              <w:top w:val="nil"/>
              <w:left w:val="nil"/>
              <w:bottom w:val="single" w:sz="4" w:space="0" w:color="auto"/>
              <w:right w:val="single" w:sz="4" w:space="0" w:color="auto"/>
            </w:tcBorders>
            <w:noWrap/>
            <w:vAlign w:val="center"/>
            <w:hideMark/>
          </w:tcPr>
          <w:p w14:paraId="17A9EB7D" w14:textId="3317CD1D"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87,35</w:t>
            </w:r>
          </w:p>
        </w:tc>
        <w:tc>
          <w:tcPr>
            <w:tcW w:w="349" w:type="pct"/>
            <w:tcBorders>
              <w:top w:val="nil"/>
              <w:left w:val="nil"/>
              <w:bottom w:val="single" w:sz="4" w:space="0" w:color="auto"/>
              <w:right w:val="single" w:sz="4" w:space="0" w:color="auto"/>
            </w:tcBorders>
            <w:noWrap/>
            <w:vAlign w:val="center"/>
            <w:hideMark/>
          </w:tcPr>
          <w:p w14:paraId="6CBBCC89"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432,33</w:t>
            </w:r>
          </w:p>
        </w:tc>
        <w:tc>
          <w:tcPr>
            <w:tcW w:w="447" w:type="pct"/>
            <w:tcBorders>
              <w:top w:val="nil"/>
              <w:left w:val="nil"/>
              <w:bottom w:val="single" w:sz="4" w:space="0" w:color="auto"/>
              <w:right w:val="single" w:sz="4" w:space="0" w:color="auto"/>
            </w:tcBorders>
            <w:noWrap/>
            <w:vAlign w:val="center"/>
            <w:hideMark/>
          </w:tcPr>
          <w:p w14:paraId="7BA29176" w14:textId="7A84B212"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87,39</w:t>
            </w:r>
          </w:p>
        </w:tc>
        <w:tc>
          <w:tcPr>
            <w:tcW w:w="351" w:type="pct"/>
            <w:tcBorders>
              <w:top w:val="nil"/>
              <w:left w:val="nil"/>
              <w:bottom w:val="single" w:sz="4" w:space="0" w:color="auto"/>
              <w:right w:val="single" w:sz="4" w:space="0" w:color="auto"/>
            </w:tcBorders>
            <w:noWrap/>
            <w:vAlign w:val="center"/>
            <w:hideMark/>
          </w:tcPr>
          <w:p w14:paraId="26B35913"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29,26</w:t>
            </w:r>
          </w:p>
        </w:tc>
        <w:tc>
          <w:tcPr>
            <w:tcW w:w="449" w:type="pct"/>
            <w:tcBorders>
              <w:top w:val="nil"/>
              <w:left w:val="nil"/>
              <w:bottom w:val="single" w:sz="4" w:space="0" w:color="auto"/>
              <w:right w:val="single" w:sz="4" w:space="0" w:color="auto"/>
            </w:tcBorders>
            <w:noWrap/>
            <w:vAlign w:val="center"/>
            <w:hideMark/>
          </w:tcPr>
          <w:p w14:paraId="496CF575" w14:textId="05B278D3"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7,89</w:t>
            </w:r>
          </w:p>
        </w:tc>
        <w:tc>
          <w:tcPr>
            <w:tcW w:w="347" w:type="pct"/>
            <w:tcBorders>
              <w:top w:val="nil"/>
              <w:left w:val="nil"/>
              <w:bottom w:val="single" w:sz="4" w:space="0" w:color="auto"/>
              <w:right w:val="single" w:sz="4" w:space="0" w:color="auto"/>
            </w:tcBorders>
            <w:noWrap/>
            <w:vAlign w:val="center"/>
            <w:hideMark/>
          </w:tcPr>
          <w:p w14:paraId="7411753F"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32,03</w:t>
            </w:r>
          </w:p>
        </w:tc>
        <w:tc>
          <w:tcPr>
            <w:tcW w:w="470" w:type="pct"/>
            <w:tcBorders>
              <w:top w:val="nil"/>
              <w:left w:val="nil"/>
              <w:bottom w:val="single" w:sz="4" w:space="0" w:color="auto"/>
              <w:right w:val="single" w:sz="4" w:space="0" w:color="auto"/>
            </w:tcBorders>
            <w:noWrap/>
            <w:vAlign w:val="center"/>
            <w:hideMark/>
          </w:tcPr>
          <w:p w14:paraId="5CCBF9BB" w14:textId="0CCAC878"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8,00</w:t>
            </w:r>
          </w:p>
        </w:tc>
      </w:tr>
      <w:tr w:rsidR="001B1B15" w:rsidRPr="002B008A" w14:paraId="2AE3CCCD" w14:textId="77777777" w:rsidTr="00A5287F">
        <w:trPr>
          <w:trHeight w:val="336"/>
        </w:trPr>
        <w:tc>
          <w:tcPr>
            <w:tcW w:w="944" w:type="pct"/>
            <w:tcBorders>
              <w:top w:val="nil"/>
              <w:left w:val="single" w:sz="4" w:space="0" w:color="auto"/>
              <w:bottom w:val="single" w:sz="4" w:space="0" w:color="auto"/>
              <w:right w:val="single" w:sz="4" w:space="0" w:color="auto"/>
            </w:tcBorders>
            <w:noWrap/>
            <w:vAlign w:val="center"/>
            <w:hideMark/>
          </w:tcPr>
          <w:p w14:paraId="45EAACA7" w14:textId="77777777" w:rsidR="001B1B15" w:rsidRPr="002B008A" w:rsidRDefault="001B1B15"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Thu nhập từ HĐDV</w:t>
            </w:r>
          </w:p>
        </w:tc>
        <w:tc>
          <w:tcPr>
            <w:tcW w:w="349" w:type="pct"/>
            <w:tcBorders>
              <w:top w:val="nil"/>
              <w:left w:val="nil"/>
              <w:bottom w:val="single" w:sz="4" w:space="0" w:color="auto"/>
              <w:right w:val="single" w:sz="4" w:space="0" w:color="auto"/>
            </w:tcBorders>
            <w:noWrap/>
            <w:vAlign w:val="center"/>
            <w:hideMark/>
          </w:tcPr>
          <w:p w14:paraId="56EE4C9F"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29,38</w:t>
            </w:r>
          </w:p>
        </w:tc>
        <w:tc>
          <w:tcPr>
            <w:tcW w:w="448" w:type="pct"/>
            <w:tcBorders>
              <w:top w:val="nil"/>
              <w:left w:val="nil"/>
              <w:bottom w:val="single" w:sz="4" w:space="0" w:color="auto"/>
              <w:right w:val="single" w:sz="4" w:space="0" w:color="auto"/>
            </w:tcBorders>
            <w:noWrap/>
            <w:vAlign w:val="center"/>
            <w:hideMark/>
          </w:tcPr>
          <w:p w14:paraId="0EFE5452" w14:textId="7D85CC3D"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6,91</w:t>
            </w:r>
          </w:p>
        </w:tc>
        <w:tc>
          <w:tcPr>
            <w:tcW w:w="398" w:type="pct"/>
            <w:tcBorders>
              <w:top w:val="nil"/>
              <w:left w:val="nil"/>
              <w:bottom w:val="single" w:sz="4" w:space="0" w:color="auto"/>
              <w:right w:val="single" w:sz="4" w:space="0" w:color="auto"/>
            </w:tcBorders>
            <w:noWrap/>
            <w:vAlign w:val="center"/>
            <w:hideMark/>
          </w:tcPr>
          <w:p w14:paraId="4DF5781F"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32,19</w:t>
            </w:r>
          </w:p>
        </w:tc>
        <w:tc>
          <w:tcPr>
            <w:tcW w:w="448" w:type="pct"/>
            <w:tcBorders>
              <w:top w:val="nil"/>
              <w:left w:val="nil"/>
              <w:bottom w:val="single" w:sz="4" w:space="0" w:color="auto"/>
              <w:right w:val="single" w:sz="4" w:space="0" w:color="auto"/>
            </w:tcBorders>
            <w:noWrap/>
            <w:vAlign w:val="center"/>
            <w:hideMark/>
          </w:tcPr>
          <w:p w14:paraId="5D0E2F27" w14:textId="33249E43"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7,02</w:t>
            </w:r>
          </w:p>
        </w:tc>
        <w:tc>
          <w:tcPr>
            <w:tcW w:w="349" w:type="pct"/>
            <w:tcBorders>
              <w:top w:val="nil"/>
              <w:left w:val="nil"/>
              <w:bottom w:val="single" w:sz="4" w:space="0" w:color="auto"/>
              <w:right w:val="single" w:sz="4" w:space="0" w:color="auto"/>
            </w:tcBorders>
            <w:noWrap/>
            <w:vAlign w:val="center"/>
            <w:hideMark/>
          </w:tcPr>
          <w:p w14:paraId="0433C89C"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35,08</w:t>
            </w:r>
          </w:p>
        </w:tc>
        <w:tc>
          <w:tcPr>
            <w:tcW w:w="447" w:type="pct"/>
            <w:tcBorders>
              <w:top w:val="nil"/>
              <w:left w:val="nil"/>
              <w:bottom w:val="single" w:sz="4" w:space="0" w:color="auto"/>
              <w:right w:val="single" w:sz="4" w:space="0" w:color="auto"/>
            </w:tcBorders>
            <w:noWrap/>
            <w:vAlign w:val="center"/>
            <w:hideMark/>
          </w:tcPr>
          <w:p w14:paraId="51A3A931" w14:textId="29CB623E"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7,09</w:t>
            </w:r>
          </w:p>
        </w:tc>
        <w:tc>
          <w:tcPr>
            <w:tcW w:w="351" w:type="pct"/>
            <w:tcBorders>
              <w:top w:val="nil"/>
              <w:left w:val="nil"/>
              <w:bottom w:val="single" w:sz="4" w:space="0" w:color="auto"/>
              <w:right w:val="single" w:sz="4" w:space="0" w:color="auto"/>
            </w:tcBorders>
            <w:noWrap/>
            <w:vAlign w:val="center"/>
            <w:hideMark/>
          </w:tcPr>
          <w:p w14:paraId="0E9E9033"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2,81</w:t>
            </w:r>
          </w:p>
        </w:tc>
        <w:tc>
          <w:tcPr>
            <w:tcW w:w="449" w:type="pct"/>
            <w:tcBorders>
              <w:top w:val="nil"/>
              <w:left w:val="nil"/>
              <w:bottom w:val="single" w:sz="4" w:space="0" w:color="auto"/>
              <w:right w:val="single" w:sz="4" w:space="0" w:color="auto"/>
            </w:tcBorders>
            <w:noWrap/>
            <w:vAlign w:val="center"/>
            <w:hideMark/>
          </w:tcPr>
          <w:p w14:paraId="740EAE5E" w14:textId="2AD1D959"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9,56</w:t>
            </w:r>
          </w:p>
        </w:tc>
        <w:tc>
          <w:tcPr>
            <w:tcW w:w="347" w:type="pct"/>
            <w:tcBorders>
              <w:top w:val="nil"/>
              <w:left w:val="nil"/>
              <w:bottom w:val="single" w:sz="4" w:space="0" w:color="auto"/>
              <w:right w:val="single" w:sz="4" w:space="0" w:color="auto"/>
            </w:tcBorders>
            <w:noWrap/>
            <w:vAlign w:val="center"/>
            <w:hideMark/>
          </w:tcPr>
          <w:p w14:paraId="7244550A"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2,89</w:t>
            </w:r>
          </w:p>
        </w:tc>
        <w:tc>
          <w:tcPr>
            <w:tcW w:w="470" w:type="pct"/>
            <w:tcBorders>
              <w:top w:val="nil"/>
              <w:left w:val="nil"/>
              <w:bottom w:val="single" w:sz="4" w:space="0" w:color="auto"/>
              <w:right w:val="single" w:sz="4" w:space="0" w:color="auto"/>
            </w:tcBorders>
            <w:noWrap/>
            <w:vAlign w:val="center"/>
            <w:hideMark/>
          </w:tcPr>
          <w:p w14:paraId="427F5B71" w14:textId="5A79544C"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8,98</w:t>
            </w:r>
          </w:p>
        </w:tc>
      </w:tr>
      <w:tr w:rsidR="001B1B15" w:rsidRPr="002B008A" w14:paraId="38095D6C" w14:textId="77777777" w:rsidTr="00A5287F">
        <w:trPr>
          <w:trHeight w:val="336"/>
        </w:trPr>
        <w:tc>
          <w:tcPr>
            <w:tcW w:w="944" w:type="pct"/>
            <w:tcBorders>
              <w:top w:val="nil"/>
              <w:left w:val="single" w:sz="4" w:space="0" w:color="auto"/>
              <w:bottom w:val="single" w:sz="4" w:space="0" w:color="auto"/>
              <w:right w:val="single" w:sz="4" w:space="0" w:color="auto"/>
            </w:tcBorders>
            <w:noWrap/>
            <w:vAlign w:val="center"/>
            <w:hideMark/>
          </w:tcPr>
          <w:p w14:paraId="0034AAA5" w14:textId="77777777" w:rsidR="001B1B15" w:rsidRPr="002B008A" w:rsidRDefault="001B1B15"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Thu nhập thừ HĐ khác</w:t>
            </w:r>
          </w:p>
        </w:tc>
        <w:tc>
          <w:tcPr>
            <w:tcW w:w="349" w:type="pct"/>
            <w:tcBorders>
              <w:top w:val="nil"/>
              <w:left w:val="nil"/>
              <w:bottom w:val="single" w:sz="4" w:space="0" w:color="auto"/>
              <w:right w:val="single" w:sz="4" w:space="0" w:color="auto"/>
            </w:tcBorders>
            <w:noWrap/>
            <w:vAlign w:val="center"/>
            <w:hideMark/>
          </w:tcPr>
          <w:p w14:paraId="7F832B11"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24,50</w:t>
            </w:r>
          </w:p>
        </w:tc>
        <w:tc>
          <w:tcPr>
            <w:tcW w:w="448" w:type="pct"/>
            <w:tcBorders>
              <w:top w:val="nil"/>
              <w:left w:val="nil"/>
              <w:bottom w:val="single" w:sz="4" w:space="0" w:color="auto"/>
              <w:right w:val="single" w:sz="4" w:space="0" w:color="auto"/>
            </w:tcBorders>
            <w:noWrap/>
            <w:vAlign w:val="center"/>
            <w:hideMark/>
          </w:tcPr>
          <w:p w14:paraId="6618350B" w14:textId="10F93F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5,77</w:t>
            </w:r>
          </w:p>
        </w:tc>
        <w:tc>
          <w:tcPr>
            <w:tcW w:w="398" w:type="pct"/>
            <w:tcBorders>
              <w:top w:val="nil"/>
              <w:left w:val="nil"/>
              <w:bottom w:val="single" w:sz="4" w:space="0" w:color="auto"/>
              <w:right w:val="single" w:sz="4" w:space="0" w:color="auto"/>
            </w:tcBorders>
            <w:noWrap/>
            <w:vAlign w:val="center"/>
            <w:hideMark/>
          </w:tcPr>
          <w:p w14:paraId="49B7D79D"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25,80</w:t>
            </w:r>
          </w:p>
        </w:tc>
        <w:tc>
          <w:tcPr>
            <w:tcW w:w="448" w:type="pct"/>
            <w:tcBorders>
              <w:top w:val="nil"/>
              <w:left w:val="nil"/>
              <w:bottom w:val="single" w:sz="4" w:space="0" w:color="auto"/>
              <w:right w:val="single" w:sz="4" w:space="0" w:color="auto"/>
            </w:tcBorders>
            <w:noWrap/>
            <w:vAlign w:val="center"/>
            <w:hideMark/>
          </w:tcPr>
          <w:p w14:paraId="2CD77C1A" w14:textId="1ED84A2E"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5,63</w:t>
            </w:r>
          </w:p>
        </w:tc>
        <w:tc>
          <w:tcPr>
            <w:tcW w:w="349" w:type="pct"/>
            <w:tcBorders>
              <w:top w:val="nil"/>
              <w:left w:val="nil"/>
              <w:bottom w:val="single" w:sz="4" w:space="0" w:color="auto"/>
              <w:right w:val="single" w:sz="4" w:space="0" w:color="auto"/>
            </w:tcBorders>
            <w:noWrap/>
            <w:vAlign w:val="center"/>
            <w:hideMark/>
          </w:tcPr>
          <w:p w14:paraId="61C0B1A8"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27,29</w:t>
            </w:r>
          </w:p>
        </w:tc>
        <w:tc>
          <w:tcPr>
            <w:tcW w:w="447" w:type="pct"/>
            <w:tcBorders>
              <w:top w:val="nil"/>
              <w:left w:val="nil"/>
              <w:bottom w:val="single" w:sz="4" w:space="0" w:color="auto"/>
              <w:right w:val="single" w:sz="4" w:space="0" w:color="auto"/>
            </w:tcBorders>
            <w:noWrap/>
            <w:vAlign w:val="center"/>
            <w:hideMark/>
          </w:tcPr>
          <w:p w14:paraId="386C6D6C" w14:textId="519DB23B"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5,52</w:t>
            </w:r>
          </w:p>
        </w:tc>
        <w:tc>
          <w:tcPr>
            <w:tcW w:w="351" w:type="pct"/>
            <w:tcBorders>
              <w:top w:val="nil"/>
              <w:left w:val="nil"/>
              <w:bottom w:val="single" w:sz="4" w:space="0" w:color="auto"/>
              <w:right w:val="single" w:sz="4" w:space="0" w:color="auto"/>
            </w:tcBorders>
            <w:noWrap/>
            <w:vAlign w:val="center"/>
            <w:hideMark/>
          </w:tcPr>
          <w:p w14:paraId="32AE9796"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1,30</w:t>
            </w:r>
          </w:p>
        </w:tc>
        <w:tc>
          <w:tcPr>
            <w:tcW w:w="449" w:type="pct"/>
            <w:tcBorders>
              <w:top w:val="nil"/>
              <w:left w:val="nil"/>
              <w:bottom w:val="single" w:sz="4" w:space="0" w:color="auto"/>
              <w:right w:val="single" w:sz="4" w:space="0" w:color="auto"/>
            </w:tcBorders>
            <w:noWrap/>
            <w:vAlign w:val="center"/>
            <w:hideMark/>
          </w:tcPr>
          <w:p w14:paraId="6EFA16AD" w14:textId="4F8BE2A1"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5,31</w:t>
            </w:r>
          </w:p>
        </w:tc>
        <w:tc>
          <w:tcPr>
            <w:tcW w:w="347" w:type="pct"/>
            <w:tcBorders>
              <w:top w:val="nil"/>
              <w:left w:val="nil"/>
              <w:bottom w:val="single" w:sz="4" w:space="0" w:color="auto"/>
              <w:right w:val="single" w:sz="4" w:space="0" w:color="auto"/>
            </w:tcBorders>
            <w:noWrap/>
            <w:vAlign w:val="center"/>
            <w:hideMark/>
          </w:tcPr>
          <w:p w14:paraId="0B44EC1A"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1,49</w:t>
            </w:r>
          </w:p>
        </w:tc>
        <w:tc>
          <w:tcPr>
            <w:tcW w:w="470" w:type="pct"/>
            <w:tcBorders>
              <w:top w:val="nil"/>
              <w:left w:val="nil"/>
              <w:bottom w:val="single" w:sz="4" w:space="0" w:color="auto"/>
              <w:right w:val="single" w:sz="4" w:space="0" w:color="auto"/>
            </w:tcBorders>
            <w:noWrap/>
            <w:vAlign w:val="center"/>
            <w:hideMark/>
          </w:tcPr>
          <w:p w14:paraId="6E2261A8" w14:textId="7BA3C3FE"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5,78</w:t>
            </w:r>
          </w:p>
        </w:tc>
      </w:tr>
      <w:tr w:rsidR="001B1B15" w:rsidRPr="002B008A" w14:paraId="5CCEF0AE" w14:textId="77777777" w:rsidTr="00A5287F">
        <w:trPr>
          <w:trHeight w:val="336"/>
        </w:trPr>
        <w:tc>
          <w:tcPr>
            <w:tcW w:w="944" w:type="pct"/>
            <w:tcBorders>
              <w:top w:val="nil"/>
              <w:left w:val="single" w:sz="4" w:space="0" w:color="auto"/>
              <w:bottom w:val="single" w:sz="4" w:space="0" w:color="auto"/>
              <w:right w:val="single" w:sz="4" w:space="0" w:color="auto"/>
            </w:tcBorders>
            <w:noWrap/>
            <w:vAlign w:val="center"/>
            <w:hideMark/>
          </w:tcPr>
          <w:p w14:paraId="5A51C795" w14:textId="573E4050" w:rsidR="001B1B15" w:rsidRPr="002B008A" w:rsidRDefault="001B1B15" w:rsidP="00B2439B">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 Chi phí</w:t>
            </w:r>
          </w:p>
        </w:tc>
        <w:tc>
          <w:tcPr>
            <w:tcW w:w="349" w:type="pct"/>
            <w:tcBorders>
              <w:top w:val="nil"/>
              <w:left w:val="nil"/>
              <w:bottom w:val="single" w:sz="4" w:space="0" w:color="auto"/>
              <w:right w:val="single" w:sz="4" w:space="0" w:color="auto"/>
            </w:tcBorders>
            <w:noWrap/>
            <w:vAlign w:val="center"/>
            <w:hideMark/>
          </w:tcPr>
          <w:p w14:paraId="0E6286AF"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233,82</w:t>
            </w:r>
          </w:p>
        </w:tc>
        <w:tc>
          <w:tcPr>
            <w:tcW w:w="448" w:type="pct"/>
            <w:tcBorders>
              <w:top w:val="nil"/>
              <w:left w:val="nil"/>
              <w:bottom w:val="single" w:sz="4" w:space="0" w:color="auto"/>
              <w:right w:val="single" w:sz="4" w:space="0" w:color="auto"/>
            </w:tcBorders>
            <w:noWrap/>
            <w:vAlign w:val="center"/>
            <w:hideMark/>
          </w:tcPr>
          <w:p w14:paraId="74D59C19" w14:textId="45048315"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398" w:type="pct"/>
            <w:tcBorders>
              <w:top w:val="nil"/>
              <w:left w:val="nil"/>
              <w:bottom w:val="single" w:sz="4" w:space="0" w:color="auto"/>
              <w:right w:val="single" w:sz="4" w:space="0" w:color="auto"/>
            </w:tcBorders>
            <w:noWrap/>
            <w:vAlign w:val="center"/>
            <w:hideMark/>
          </w:tcPr>
          <w:p w14:paraId="41D25196"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244,82</w:t>
            </w:r>
          </w:p>
        </w:tc>
        <w:tc>
          <w:tcPr>
            <w:tcW w:w="448" w:type="pct"/>
            <w:tcBorders>
              <w:top w:val="nil"/>
              <w:left w:val="nil"/>
              <w:bottom w:val="single" w:sz="4" w:space="0" w:color="auto"/>
              <w:right w:val="single" w:sz="4" w:space="0" w:color="auto"/>
            </w:tcBorders>
            <w:noWrap/>
            <w:vAlign w:val="center"/>
            <w:hideMark/>
          </w:tcPr>
          <w:p w14:paraId="3C90AD8D" w14:textId="6AA29861"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349" w:type="pct"/>
            <w:tcBorders>
              <w:top w:val="nil"/>
              <w:left w:val="nil"/>
              <w:bottom w:val="single" w:sz="4" w:space="0" w:color="auto"/>
              <w:right w:val="single" w:sz="4" w:space="0" w:color="auto"/>
            </w:tcBorders>
            <w:noWrap/>
            <w:vAlign w:val="center"/>
            <w:hideMark/>
          </w:tcPr>
          <w:p w14:paraId="155ECDB2"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257,10</w:t>
            </w:r>
          </w:p>
        </w:tc>
        <w:tc>
          <w:tcPr>
            <w:tcW w:w="447" w:type="pct"/>
            <w:tcBorders>
              <w:top w:val="nil"/>
              <w:left w:val="nil"/>
              <w:bottom w:val="single" w:sz="4" w:space="0" w:color="auto"/>
              <w:right w:val="single" w:sz="4" w:space="0" w:color="auto"/>
            </w:tcBorders>
            <w:noWrap/>
            <w:vAlign w:val="center"/>
            <w:hideMark/>
          </w:tcPr>
          <w:p w14:paraId="7105E679" w14:textId="1E698846" w:rsidR="001B1B15" w:rsidRPr="002B008A" w:rsidRDefault="00A82BDF"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351" w:type="pct"/>
            <w:tcBorders>
              <w:top w:val="nil"/>
              <w:left w:val="nil"/>
              <w:bottom w:val="single" w:sz="4" w:space="0" w:color="auto"/>
              <w:right w:val="single" w:sz="4" w:space="0" w:color="auto"/>
            </w:tcBorders>
            <w:noWrap/>
            <w:vAlign w:val="center"/>
            <w:hideMark/>
          </w:tcPr>
          <w:p w14:paraId="0A67B4BC"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11,00</w:t>
            </w:r>
          </w:p>
        </w:tc>
        <w:tc>
          <w:tcPr>
            <w:tcW w:w="449" w:type="pct"/>
            <w:tcBorders>
              <w:top w:val="nil"/>
              <w:left w:val="nil"/>
              <w:bottom w:val="single" w:sz="4" w:space="0" w:color="auto"/>
              <w:right w:val="single" w:sz="4" w:space="0" w:color="auto"/>
            </w:tcBorders>
            <w:noWrap/>
            <w:vAlign w:val="center"/>
            <w:hideMark/>
          </w:tcPr>
          <w:p w14:paraId="478D3EAD"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4,70%</w:t>
            </w:r>
          </w:p>
        </w:tc>
        <w:tc>
          <w:tcPr>
            <w:tcW w:w="347" w:type="pct"/>
            <w:tcBorders>
              <w:top w:val="nil"/>
              <w:left w:val="nil"/>
              <w:bottom w:val="single" w:sz="4" w:space="0" w:color="auto"/>
              <w:right w:val="single" w:sz="4" w:space="0" w:color="auto"/>
            </w:tcBorders>
            <w:noWrap/>
            <w:vAlign w:val="center"/>
            <w:hideMark/>
          </w:tcPr>
          <w:p w14:paraId="10AA5D66"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12,28</w:t>
            </w:r>
          </w:p>
        </w:tc>
        <w:tc>
          <w:tcPr>
            <w:tcW w:w="470" w:type="pct"/>
            <w:tcBorders>
              <w:top w:val="nil"/>
              <w:left w:val="nil"/>
              <w:bottom w:val="single" w:sz="4" w:space="0" w:color="auto"/>
              <w:right w:val="single" w:sz="4" w:space="0" w:color="auto"/>
            </w:tcBorders>
            <w:noWrap/>
            <w:vAlign w:val="center"/>
            <w:hideMark/>
          </w:tcPr>
          <w:p w14:paraId="72CDD0C4" w14:textId="54A2E60D"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5,02</w:t>
            </w:r>
          </w:p>
        </w:tc>
      </w:tr>
      <w:tr w:rsidR="001B1B15" w:rsidRPr="002B008A" w14:paraId="0E1CBEE0" w14:textId="77777777" w:rsidTr="00A5287F">
        <w:trPr>
          <w:trHeight w:val="336"/>
        </w:trPr>
        <w:tc>
          <w:tcPr>
            <w:tcW w:w="944" w:type="pct"/>
            <w:tcBorders>
              <w:top w:val="nil"/>
              <w:left w:val="single" w:sz="4" w:space="0" w:color="auto"/>
              <w:bottom w:val="single" w:sz="4" w:space="0" w:color="auto"/>
              <w:right w:val="single" w:sz="4" w:space="0" w:color="auto"/>
            </w:tcBorders>
            <w:noWrap/>
            <w:vAlign w:val="center"/>
            <w:hideMark/>
          </w:tcPr>
          <w:p w14:paraId="09F41842" w14:textId="77777777" w:rsidR="001B1B15" w:rsidRPr="002B008A" w:rsidRDefault="001B1B15"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Chi phí trả lãi</w:t>
            </w:r>
          </w:p>
        </w:tc>
        <w:tc>
          <w:tcPr>
            <w:tcW w:w="349" w:type="pct"/>
            <w:tcBorders>
              <w:top w:val="nil"/>
              <w:left w:val="nil"/>
              <w:bottom w:val="single" w:sz="4" w:space="0" w:color="auto"/>
              <w:right w:val="single" w:sz="4" w:space="0" w:color="auto"/>
            </w:tcBorders>
            <w:noWrap/>
            <w:vAlign w:val="center"/>
            <w:hideMark/>
          </w:tcPr>
          <w:p w14:paraId="745355AB"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220,41</w:t>
            </w:r>
          </w:p>
        </w:tc>
        <w:tc>
          <w:tcPr>
            <w:tcW w:w="448" w:type="pct"/>
            <w:tcBorders>
              <w:top w:val="nil"/>
              <w:left w:val="nil"/>
              <w:bottom w:val="single" w:sz="4" w:space="0" w:color="auto"/>
              <w:right w:val="single" w:sz="4" w:space="0" w:color="auto"/>
            </w:tcBorders>
            <w:noWrap/>
            <w:vAlign w:val="center"/>
            <w:hideMark/>
          </w:tcPr>
          <w:p w14:paraId="3C0A7C14" w14:textId="5925A813"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94,26</w:t>
            </w:r>
          </w:p>
        </w:tc>
        <w:tc>
          <w:tcPr>
            <w:tcW w:w="398" w:type="pct"/>
            <w:tcBorders>
              <w:top w:val="nil"/>
              <w:left w:val="nil"/>
              <w:bottom w:val="single" w:sz="4" w:space="0" w:color="auto"/>
              <w:right w:val="single" w:sz="4" w:space="0" w:color="auto"/>
            </w:tcBorders>
            <w:noWrap/>
            <w:vAlign w:val="center"/>
            <w:hideMark/>
          </w:tcPr>
          <w:p w14:paraId="7946E7F3"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232,16</w:t>
            </w:r>
          </w:p>
        </w:tc>
        <w:tc>
          <w:tcPr>
            <w:tcW w:w="448" w:type="pct"/>
            <w:tcBorders>
              <w:top w:val="nil"/>
              <w:left w:val="nil"/>
              <w:bottom w:val="single" w:sz="4" w:space="0" w:color="auto"/>
              <w:right w:val="single" w:sz="4" w:space="0" w:color="auto"/>
            </w:tcBorders>
            <w:noWrap/>
            <w:vAlign w:val="center"/>
            <w:hideMark/>
          </w:tcPr>
          <w:p w14:paraId="303D4991" w14:textId="7ABCC0FD"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94,83</w:t>
            </w:r>
          </w:p>
        </w:tc>
        <w:tc>
          <w:tcPr>
            <w:tcW w:w="349" w:type="pct"/>
            <w:tcBorders>
              <w:top w:val="nil"/>
              <w:left w:val="nil"/>
              <w:bottom w:val="single" w:sz="4" w:space="0" w:color="auto"/>
              <w:right w:val="single" w:sz="4" w:space="0" w:color="auto"/>
            </w:tcBorders>
            <w:noWrap/>
            <w:vAlign w:val="center"/>
            <w:hideMark/>
          </w:tcPr>
          <w:p w14:paraId="3A3C15EB"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244,93</w:t>
            </w:r>
          </w:p>
        </w:tc>
        <w:tc>
          <w:tcPr>
            <w:tcW w:w="447" w:type="pct"/>
            <w:tcBorders>
              <w:top w:val="nil"/>
              <w:left w:val="nil"/>
              <w:bottom w:val="single" w:sz="4" w:space="0" w:color="auto"/>
              <w:right w:val="single" w:sz="4" w:space="0" w:color="auto"/>
            </w:tcBorders>
            <w:noWrap/>
            <w:vAlign w:val="center"/>
            <w:hideMark/>
          </w:tcPr>
          <w:p w14:paraId="2E21B4D6" w14:textId="60ACF161"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95,27</w:t>
            </w:r>
          </w:p>
        </w:tc>
        <w:tc>
          <w:tcPr>
            <w:tcW w:w="351" w:type="pct"/>
            <w:tcBorders>
              <w:top w:val="nil"/>
              <w:left w:val="nil"/>
              <w:bottom w:val="single" w:sz="4" w:space="0" w:color="auto"/>
              <w:right w:val="single" w:sz="4" w:space="0" w:color="auto"/>
            </w:tcBorders>
            <w:noWrap/>
            <w:vAlign w:val="center"/>
            <w:hideMark/>
          </w:tcPr>
          <w:p w14:paraId="5E232EC3"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11,75</w:t>
            </w:r>
          </w:p>
        </w:tc>
        <w:tc>
          <w:tcPr>
            <w:tcW w:w="449" w:type="pct"/>
            <w:tcBorders>
              <w:top w:val="nil"/>
              <w:left w:val="nil"/>
              <w:bottom w:val="single" w:sz="4" w:space="0" w:color="auto"/>
              <w:right w:val="single" w:sz="4" w:space="0" w:color="auto"/>
            </w:tcBorders>
            <w:noWrap/>
            <w:vAlign w:val="center"/>
            <w:hideMark/>
          </w:tcPr>
          <w:p w14:paraId="06C5D173" w14:textId="4482164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5,33</w:t>
            </w:r>
          </w:p>
        </w:tc>
        <w:tc>
          <w:tcPr>
            <w:tcW w:w="347" w:type="pct"/>
            <w:tcBorders>
              <w:top w:val="nil"/>
              <w:left w:val="nil"/>
              <w:bottom w:val="single" w:sz="4" w:space="0" w:color="auto"/>
              <w:right w:val="single" w:sz="4" w:space="0" w:color="auto"/>
            </w:tcBorders>
            <w:noWrap/>
            <w:vAlign w:val="center"/>
            <w:hideMark/>
          </w:tcPr>
          <w:p w14:paraId="6E00DDC0"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12,77</w:t>
            </w:r>
          </w:p>
        </w:tc>
        <w:tc>
          <w:tcPr>
            <w:tcW w:w="470" w:type="pct"/>
            <w:tcBorders>
              <w:top w:val="nil"/>
              <w:left w:val="nil"/>
              <w:bottom w:val="single" w:sz="4" w:space="0" w:color="auto"/>
              <w:right w:val="single" w:sz="4" w:space="0" w:color="auto"/>
            </w:tcBorders>
            <w:noWrap/>
            <w:vAlign w:val="center"/>
            <w:hideMark/>
          </w:tcPr>
          <w:p w14:paraId="3247F8B3" w14:textId="08606774"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5,50</w:t>
            </w:r>
          </w:p>
        </w:tc>
      </w:tr>
      <w:tr w:rsidR="001B1B15" w:rsidRPr="002B008A" w14:paraId="2EADA223" w14:textId="77777777" w:rsidTr="00A5287F">
        <w:trPr>
          <w:trHeight w:val="336"/>
        </w:trPr>
        <w:tc>
          <w:tcPr>
            <w:tcW w:w="944" w:type="pct"/>
            <w:tcBorders>
              <w:top w:val="nil"/>
              <w:left w:val="single" w:sz="4" w:space="0" w:color="auto"/>
              <w:bottom w:val="single" w:sz="4" w:space="0" w:color="auto"/>
              <w:right w:val="single" w:sz="4" w:space="0" w:color="auto"/>
            </w:tcBorders>
            <w:noWrap/>
            <w:vAlign w:val="center"/>
            <w:hideMark/>
          </w:tcPr>
          <w:p w14:paraId="7FD354AA" w14:textId="77777777" w:rsidR="001B1B15" w:rsidRPr="002B008A" w:rsidRDefault="001B1B15"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Chi phí hoạt động</w:t>
            </w:r>
          </w:p>
        </w:tc>
        <w:tc>
          <w:tcPr>
            <w:tcW w:w="349" w:type="pct"/>
            <w:tcBorders>
              <w:top w:val="nil"/>
              <w:left w:val="nil"/>
              <w:bottom w:val="single" w:sz="4" w:space="0" w:color="auto"/>
              <w:right w:val="single" w:sz="4" w:space="0" w:color="auto"/>
            </w:tcBorders>
            <w:noWrap/>
            <w:vAlign w:val="center"/>
            <w:hideMark/>
          </w:tcPr>
          <w:p w14:paraId="6963EDEC"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3,59</w:t>
            </w:r>
          </w:p>
        </w:tc>
        <w:tc>
          <w:tcPr>
            <w:tcW w:w="448" w:type="pct"/>
            <w:tcBorders>
              <w:top w:val="nil"/>
              <w:left w:val="nil"/>
              <w:bottom w:val="single" w:sz="4" w:space="0" w:color="auto"/>
              <w:right w:val="single" w:sz="4" w:space="0" w:color="auto"/>
            </w:tcBorders>
            <w:noWrap/>
            <w:vAlign w:val="center"/>
            <w:hideMark/>
          </w:tcPr>
          <w:p w14:paraId="39AB73CA" w14:textId="14ADCCE1"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1,54</w:t>
            </w:r>
          </w:p>
        </w:tc>
        <w:tc>
          <w:tcPr>
            <w:tcW w:w="398" w:type="pct"/>
            <w:tcBorders>
              <w:top w:val="nil"/>
              <w:left w:val="nil"/>
              <w:bottom w:val="single" w:sz="4" w:space="0" w:color="auto"/>
              <w:right w:val="single" w:sz="4" w:space="0" w:color="auto"/>
            </w:tcBorders>
            <w:noWrap/>
            <w:vAlign w:val="center"/>
            <w:hideMark/>
          </w:tcPr>
          <w:p w14:paraId="0185EC4C"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3,62</w:t>
            </w:r>
          </w:p>
        </w:tc>
        <w:tc>
          <w:tcPr>
            <w:tcW w:w="448" w:type="pct"/>
            <w:tcBorders>
              <w:top w:val="nil"/>
              <w:left w:val="nil"/>
              <w:bottom w:val="single" w:sz="4" w:space="0" w:color="auto"/>
              <w:right w:val="single" w:sz="4" w:space="0" w:color="auto"/>
            </w:tcBorders>
            <w:noWrap/>
            <w:vAlign w:val="center"/>
            <w:hideMark/>
          </w:tcPr>
          <w:p w14:paraId="09C6BFE8" w14:textId="36449E80"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1,48</w:t>
            </w:r>
          </w:p>
        </w:tc>
        <w:tc>
          <w:tcPr>
            <w:tcW w:w="349" w:type="pct"/>
            <w:tcBorders>
              <w:top w:val="nil"/>
              <w:left w:val="nil"/>
              <w:bottom w:val="single" w:sz="4" w:space="0" w:color="auto"/>
              <w:right w:val="single" w:sz="4" w:space="0" w:color="auto"/>
            </w:tcBorders>
            <w:noWrap/>
            <w:vAlign w:val="center"/>
            <w:hideMark/>
          </w:tcPr>
          <w:p w14:paraId="28BCE5C6"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3,70</w:t>
            </w:r>
          </w:p>
        </w:tc>
        <w:tc>
          <w:tcPr>
            <w:tcW w:w="447" w:type="pct"/>
            <w:tcBorders>
              <w:top w:val="nil"/>
              <w:left w:val="nil"/>
              <w:bottom w:val="single" w:sz="4" w:space="0" w:color="auto"/>
              <w:right w:val="single" w:sz="4" w:space="0" w:color="auto"/>
            </w:tcBorders>
            <w:noWrap/>
            <w:vAlign w:val="center"/>
            <w:hideMark/>
          </w:tcPr>
          <w:p w14:paraId="71C7AEA3" w14:textId="0AC91EBD"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1,44</w:t>
            </w:r>
          </w:p>
        </w:tc>
        <w:tc>
          <w:tcPr>
            <w:tcW w:w="351" w:type="pct"/>
            <w:tcBorders>
              <w:top w:val="nil"/>
              <w:left w:val="nil"/>
              <w:bottom w:val="single" w:sz="4" w:space="0" w:color="auto"/>
              <w:right w:val="single" w:sz="4" w:space="0" w:color="auto"/>
            </w:tcBorders>
            <w:noWrap/>
            <w:vAlign w:val="center"/>
            <w:hideMark/>
          </w:tcPr>
          <w:p w14:paraId="14839346"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0,03</w:t>
            </w:r>
          </w:p>
        </w:tc>
        <w:tc>
          <w:tcPr>
            <w:tcW w:w="449" w:type="pct"/>
            <w:tcBorders>
              <w:top w:val="nil"/>
              <w:left w:val="nil"/>
              <w:bottom w:val="single" w:sz="4" w:space="0" w:color="auto"/>
              <w:right w:val="single" w:sz="4" w:space="0" w:color="auto"/>
            </w:tcBorders>
            <w:noWrap/>
            <w:vAlign w:val="center"/>
            <w:hideMark/>
          </w:tcPr>
          <w:p w14:paraId="16B59D74" w14:textId="4D9D68D3"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0,84</w:t>
            </w:r>
          </w:p>
        </w:tc>
        <w:tc>
          <w:tcPr>
            <w:tcW w:w="347" w:type="pct"/>
            <w:tcBorders>
              <w:top w:val="nil"/>
              <w:left w:val="nil"/>
              <w:bottom w:val="single" w:sz="4" w:space="0" w:color="auto"/>
              <w:right w:val="single" w:sz="4" w:space="0" w:color="auto"/>
            </w:tcBorders>
            <w:noWrap/>
            <w:vAlign w:val="center"/>
            <w:hideMark/>
          </w:tcPr>
          <w:p w14:paraId="50662762"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0,08</w:t>
            </w:r>
          </w:p>
        </w:tc>
        <w:tc>
          <w:tcPr>
            <w:tcW w:w="470" w:type="pct"/>
            <w:tcBorders>
              <w:top w:val="nil"/>
              <w:left w:val="nil"/>
              <w:bottom w:val="single" w:sz="4" w:space="0" w:color="auto"/>
              <w:right w:val="single" w:sz="4" w:space="0" w:color="auto"/>
            </w:tcBorders>
            <w:noWrap/>
            <w:vAlign w:val="center"/>
            <w:hideMark/>
          </w:tcPr>
          <w:p w14:paraId="7A01B5F0" w14:textId="756D81BD"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2,21</w:t>
            </w:r>
          </w:p>
        </w:tc>
      </w:tr>
      <w:tr w:rsidR="001B1B15" w:rsidRPr="002B008A" w14:paraId="50D5A84E" w14:textId="77777777" w:rsidTr="00A5287F">
        <w:trPr>
          <w:trHeight w:val="672"/>
        </w:trPr>
        <w:tc>
          <w:tcPr>
            <w:tcW w:w="944" w:type="pct"/>
            <w:tcBorders>
              <w:top w:val="nil"/>
              <w:left w:val="single" w:sz="4" w:space="0" w:color="auto"/>
              <w:bottom w:val="single" w:sz="4" w:space="0" w:color="auto"/>
              <w:right w:val="single" w:sz="4" w:space="0" w:color="auto"/>
            </w:tcBorders>
            <w:vAlign w:val="center"/>
            <w:hideMark/>
          </w:tcPr>
          <w:p w14:paraId="5631EC8F" w14:textId="77777777" w:rsidR="001B1B15" w:rsidRPr="002B008A" w:rsidRDefault="001B1B15"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Chi phí dự phòng rủi ro tín dụng</w:t>
            </w:r>
          </w:p>
        </w:tc>
        <w:tc>
          <w:tcPr>
            <w:tcW w:w="349" w:type="pct"/>
            <w:tcBorders>
              <w:top w:val="nil"/>
              <w:left w:val="nil"/>
              <w:bottom w:val="single" w:sz="4" w:space="0" w:color="auto"/>
              <w:right w:val="single" w:sz="4" w:space="0" w:color="auto"/>
            </w:tcBorders>
            <w:noWrap/>
            <w:vAlign w:val="center"/>
            <w:hideMark/>
          </w:tcPr>
          <w:p w14:paraId="544D0D9A"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9,58</w:t>
            </w:r>
          </w:p>
        </w:tc>
        <w:tc>
          <w:tcPr>
            <w:tcW w:w="448" w:type="pct"/>
            <w:tcBorders>
              <w:top w:val="nil"/>
              <w:left w:val="nil"/>
              <w:bottom w:val="single" w:sz="4" w:space="0" w:color="auto"/>
              <w:right w:val="single" w:sz="4" w:space="0" w:color="auto"/>
            </w:tcBorders>
            <w:noWrap/>
            <w:vAlign w:val="center"/>
            <w:hideMark/>
          </w:tcPr>
          <w:p w14:paraId="2B0FBD1D" w14:textId="6A997D65"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4,10</w:t>
            </w:r>
          </w:p>
        </w:tc>
        <w:tc>
          <w:tcPr>
            <w:tcW w:w="398" w:type="pct"/>
            <w:tcBorders>
              <w:top w:val="nil"/>
              <w:left w:val="nil"/>
              <w:bottom w:val="single" w:sz="4" w:space="0" w:color="auto"/>
              <w:right w:val="single" w:sz="4" w:space="0" w:color="auto"/>
            </w:tcBorders>
            <w:noWrap/>
            <w:vAlign w:val="center"/>
            <w:hideMark/>
          </w:tcPr>
          <w:p w14:paraId="15D6D828"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8,78</w:t>
            </w:r>
          </w:p>
        </w:tc>
        <w:tc>
          <w:tcPr>
            <w:tcW w:w="448" w:type="pct"/>
            <w:tcBorders>
              <w:top w:val="nil"/>
              <w:left w:val="nil"/>
              <w:bottom w:val="single" w:sz="4" w:space="0" w:color="auto"/>
              <w:right w:val="single" w:sz="4" w:space="0" w:color="auto"/>
            </w:tcBorders>
            <w:noWrap/>
            <w:vAlign w:val="center"/>
            <w:hideMark/>
          </w:tcPr>
          <w:p w14:paraId="6E2F291B" w14:textId="634AD1A8"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3,59</w:t>
            </w:r>
          </w:p>
        </w:tc>
        <w:tc>
          <w:tcPr>
            <w:tcW w:w="349" w:type="pct"/>
            <w:tcBorders>
              <w:top w:val="nil"/>
              <w:left w:val="nil"/>
              <w:bottom w:val="single" w:sz="4" w:space="0" w:color="auto"/>
              <w:right w:val="single" w:sz="4" w:space="0" w:color="auto"/>
            </w:tcBorders>
            <w:noWrap/>
            <w:vAlign w:val="center"/>
            <w:hideMark/>
          </w:tcPr>
          <w:p w14:paraId="2248E1F4"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8,20</w:t>
            </w:r>
          </w:p>
        </w:tc>
        <w:tc>
          <w:tcPr>
            <w:tcW w:w="447" w:type="pct"/>
            <w:tcBorders>
              <w:top w:val="nil"/>
              <w:left w:val="nil"/>
              <w:bottom w:val="single" w:sz="4" w:space="0" w:color="auto"/>
              <w:right w:val="single" w:sz="4" w:space="0" w:color="auto"/>
            </w:tcBorders>
            <w:noWrap/>
            <w:vAlign w:val="center"/>
            <w:hideMark/>
          </w:tcPr>
          <w:p w14:paraId="61110BE8" w14:textId="59401742"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3,19</w:t>
            </w:r>
          </w:p>
        </w:tc>
        <w:tc>
          <w:tcPr>
            <w:tcW w:w="351" w:type="pct"/>
            <w:tcBorders>
              <w:top w:val="nil"/>
              <w:left w:val="nil"/>
              <w:bottom w:val="single" w:sz="4" w:space="0" w:color="auto"/>
              <w:right w:val="single" w:sz="4" w:space="0" w:color="auto"/>
            </w:tcBorders>
            <w:noWrap/>
            <w:vAlign w:val="center"/>
            <w:hideMark/>
          </w:tcPr>
          <w:p w14:paraId="66029AF2" w14:textId="0A360E5D"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(0,80)</w:t>
            </w:r>
          </w:p>
        </w:tc>
        <w:tc>
          <w:tcPr>
            <w:tcW w:w="449" w:type="pct"/>
            <w:tcBorders>
              <w:top w:val="nil"/>
              <w:left w:val="nil"/>
              <w:bottom w:val="single" w:sz="4" w:space="0" w:color="auto"/>
              <w:right w:val="single" w:sz="4" w:space="0" w:color="auto"/>
            </w:tcBorders>
            <w:noWrap/>
            <w:vAlign w:val="center"/>
            <w:hideMark/>
          </w:tcPr>
          <w:p w14:paraId="0CFF23B0" w14:textId="2ACB47FC"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-8,35</w:t>
            </w:r>
          </w:p>
        </w:tc>
        <w:tc>
          <w:tcPr>
            <w:tcW w:w="347" w:type="pct"/>
            <w:tcBorders>
              <w:top w:val="nil"/>
              <w:left w:val="nil"/>
              <w:bottom w:val="single" w:sz="4" w:space="0" w:color="auto"/>
              <w:right w:val="single" w:sz="4" w:space="0" w:color="auto"/>
            </w:tcBorders>
            <w:noWrap/>
            <w:vAlign w:val="center"/>
            <w:hideMark/>
          </w:tcPr>
          <w:p w14:paraId="3308CE63" w14:textId="56D1BC55"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(0,58)</w:t>
            </w:r>
          </w:p>
        </w:tc>
        <w:tc>
          <w:tcPr>
            <w:tcW w:w="470" w:type="pct"/>
            <w:tcBorders>
              <w:top w:val="nil"/>
              <w:left w:val="nil"/>
              <w:bottom w:val="single" w:sz="4" w:space="0" w:color="auto"/>
              <w:right w:val="single" w:sz="4" w:space="0" w:color="auto"/>
            </w:tcBorders>
            <w:noWrap/>
            <w:vAlign w:val="center"/>
            <w:hideMark/>
          </w:tcPr>
          <w:p w14:paraId="73E26F53" w14:textId="05171D22"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-6,61</w:t>
            </w:r>
          </w:p>
        </w:tc>
      </w:tr>
      <w:tr w:rsidR="001B1B15" w:rsidRPr="002B008A" w14:paraId="0392CEB2" w14:textId="77777777" w:rsidTr="00A5287F">
        <w:trPr>
          <w:trHeight w:val="336"/>
        </w:trPr>
        <w:tc>
          <w:tcPr>
            <w:tcW w:w="944" w:type="pct"/>
            <w:tcBorders>
              <w:top w:val="nil"/>
              <w:left w:val="single" w:sz="4" w:space="0" w:color="auto"/>
              <w:bottom w:val="single" w:sz="4" w:space="0" w:color="auto"/>
              <w:right w:val="single" w:sz="4" w:space="0" w:color="auto"/>
            </w:tcBorders>
            <w:noWrap/>
            <w:vAlign w:val="center"/>
            <w:hideMark/>
          </w:tcPr>
          <w:p w14:paraId="2FA69A91" w14:textId="77777777" w:rsidR="001B1B15" w:rsidRPr="002B008A" w:rsidRDefault="001B1B15" w:rsidP="00B2439B">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Chi phí khác</w:t>
            </w:r>
          </w:p>
        </w:tc>
        <w:tc>
          <w:tcPr>
            <w:tcW w:w="349" w:type="pct"/>
            <w:tcBorders>
              <w:top w:val="nil"/>
              <w:left w:val="nil"/>
              <w:bottom w:val="single" w:sz="4" w:space="0" w:color="auto"/>
              <w:right w:val="single" w:sz="4" w:space="0" w:color="auto"/>
            </w:tcBorders>
            <w:noWrap/>
            <w:vAlign w:val="center"/>
            <w:hideMark/>
          </w:tcPr>
          <w:p w14:paraId="25848B89"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0,24</w:t>
            </w:r>
          </w:p>
        </w:tc>
        <w:tc>
          <w:tcPr>
            <w:tcW w:w="448" w:type="pct"/>
            <w:tcBorders>
              <w:top w:val="nil"/>
              <w:left w:val="nil"/>
              <w:bottom w:val="single" w:sz="4" w:space="0" w:color="auto"/>
              <w:right w:val="single" w:sz="4" w:space="0" w:color="auto"/>
            </w:tcBorders>
            <w:noWrap/>
            <w:vAlign w:val="center"/>
            <w:hideMark/>
          </w:tcPr>
          <w:p w14:paraId="68E9DEF5" w14:textId="1D6C8B99"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0,10</w:t>
            </w:r>
          </w:p>
        </w:tc>
        <w:tc>
          <w:tcPr>
            <w:tcW w:w="398" w:type="pct"/>
            <w:tcBorders>
              <w:top w:val="nil"/>
              <w:left w:val="nil"/>
              <w:bottom w:val="single" w:sz="4" w:space="0" w:color="auto"/>
              <w:right w:val="single" w:sz="4" w:space="0" w:color="auto"/>
            </w:tcBorders>
            <w:noWrap/>
            <w:vAlign w:val="center"/>
            <w:hideMark/>
          </w:tcPr>
          <w:p w14:paraId="6F1B5530"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0,26</w:t>
            </w:r>
          </w:p>
        </w:tc>
        <w:tc>
          <w:tcPr>
            <w:tcW w:w="448" w:type="pct"/>
            <w:tcBorders>
              <w:top w:val="nil"/>
              <w:left w:val="nil"/>
              <w:bottom w:val="single" w:sz="4" w:space="0" w:color="auto"/>
              <w:right w:val="single" w:sz="4" w:space="0" w:color="auto"/>
            </w:tcBorders>
            <w:noWrap/>
            <w:vAlign w:val="center"/>
            <w:hideMark/>
          </w:tcPr>
          <w:p w14:paraId="069FF9C4" w14:textId="485A0E65"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0,11</w:t>
            </w:r>
          </w:p>
        </w:tc>
        <w:tc>
          <w:tcPr>
            <w:tcW w:w="349" w:type="pct"/>
            <w:tcBorders>
              <w:top w:val="nil"/>
              <w:left w:val="nil"/>
              <w:bottom w:val="single" w:sz="4" w:space="0" w:color="auto"/>
              <w:right w:val="single" w:sz="4" w:space="0" w:color="auto"/>
            </w:tcBorders>
            <w:noWrap/>
            <w:vAlign w:val="center"/>
            <w:hideMark/>
          </w:tcPr>
          <w:p w14:paraId="423D9A43"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0,27</w:t>
            </w:r>
          </w:p>
        </w:tc>
        <w:tc>
          <w:tcPr>
            <w:tcW w:w="447" w:type="pct"/>
            <w:tcBorders>
              <w:top w:val="nil"/>
              <w:left w:val="nil"/>
              <w:bottom w:val="single" w:sz="4" w:space="0" w:color="auto"/>
              <w:right w:val="single" w:sz="4" w:space="0" w:color="auto"/>
            </w:tcBorders>
            <w:noWrap/>
            <w:vAlign w:val="center"/>
            <w:hideMark/>
          </w:tcPr>
          <w:p w14:paraId="5053CFCF" w14:textId="41E715E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0,11</w:t>
            </w:r>
          </w:p>
        </w:tc>
        <w:tc>
          <w:tcPr>
            <w:tcW w:w="351" w:type="pct"/>
            <w:tcBorders>
              <w:top w:val="nil"/>
              <w:left w:val="nil"/>
              <w:bottom w:val="single" w:sz="4" w:space="0" w:color="auto"/>
              <w:right w:val="single" w:sz="4" w:space="0" w:color="auto"/>
            </w:tcBorders>
            <w:noWrap/>
            <w:vAlign w:val="center"/>
            <w:hideMark/>
          </w:tcPr>
          <w:p w14:paraId="3A581F60"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0,02</w:t>
            </w:r>
          </w:p>
        </w:tc>
        <w:tc>
          <w:tcPr>
            <w:tcW w:w="449" w:type="pct"/>
            <w:tcBorders>
              <w:top w:val="nil"/>
              <w:left w:val="nil"/>
              <w:bottom w:val="single" w:sz="4" w:space="0" w:color="auto"/>
              <w:right w:val="single" w:sz="4" w:space="0" w:color="auto"/>
            </w:tcBorders>
            <w:noWrap/>
            <w:vAlign w:val="center"/>
            <w:hideMark/>
          </w:tcPr>
          <w:p w14:paraId="61B88448" w14:textId="53956683"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8,33</w:t>
            </w:r>
          </w:p>
        </w:tc>
        <w:tc>
          <w:tcPr>
            <w:tcW w:w="347" w:type="pct"/>
            <w:tcBorders>
              <w:top w:val="nil"/>
              <w:left w:val="nil"/>
              <w:bottom w:val="single" w:sz="4" w:space="0" w:color="auto"/>
              <w:right w:val="single" w:sz="4" w:space="0" w:color="auto"/>
            </w:tcBorders>
            <w:noWrap/>
            <w:vAlign w:val="center"/>
            <w:hideMark/>
          </w:tcPr>
          <w:p w14:paraId="7EB7B943" w14:textId="77777777"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0,01</w:t>
            </w:r>
          </w:p>
        </w:tc>
        <w:tc>
          <w:tcPr>
            <w:tcW w:w="470" w:type="pct"/>
            <w:tcBorders>
              <w:top w:val="nil"/>
              <w:left w:val="nil"/>
              <w:bottom w:val="single" w:sz="4" w:space="0" w:color="auto"/>
              <w:right w:val="single" w:sz="4" w:space="0" w:color="auto"/>
            </w:tcBorders>
            <w:noWrap/>
            <w:vAlign w:val="center"/>
            <w:hideMark/>
          </w:tcPr>
          <w:p w14:paraId="694B29E3" w14:textId="62C5635D" w:rsidR="001B1B15" w:rsidRPr="002B008A" w:rsidRDefault="001B1B15" w:rsidP="00B2439B">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3,85</w:t>
            </w:r>
          </w:p>
        </w:tc>
      </w:tr>
      <w:tr w:rsidR="001B1B15" w:rsidRPr="002B008A" w14:paraId="5C36683C" w14:textId="77777777" w:rsidTr="00A5287F">
        <w:trPr>
          <w:trHeight w:val="336"/>
        </w:trPr>
        <w:tc>
          <w:tcPr>
            <w:tcW w:w="944" w:type="pct"/>
            <w:tcBorders>
              <w:top w:val="nil"/>
              <w:left w:val="single" w:sz="4" w:space="0" w:color="auto"/>
              <w:bottom w:val="single" w:sz="4" w:space="0" w:color="auto"/>
              <w:right w:val="single" w:sz="4" w:space="0" w:color="auto"/>
            </w:tcBorders>
            <w:noWrap/>
            <w:vAlign w:val="center"/>
            <w:hideMark/>
          </w:tcPr>
          <w:p w14:paraId="3210455A" w14:textId="77777777" w:rsidR="001B1B15" w:rsidRPr="002B008A" w:rsidRDefault="001B1B15" w:rsidP="00B2439B">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 Lợi nhuận trước thuế</w:t>
            </w:r>
          </w:p>
        </w:tc>
        <w:tc>
          <w:tcPr>
            <w:tcW w:w="349" w:type="pct"/>
            <w:tcBorders>
              <w:top w:val="nil"/>
              <w:left w:val="nil"/>
              <w:bottom w:val="single" w:sz="4" w:space="0" w:color="auto"/>
              <w:right w:val="single" w:sz="4" w:space="0" w:color="auto"/>
            </w:tcBorders>
            <w:noWrap/>
            <w:vAlign w:val="center"/>
            <w:hideMark/>
          </w:tcPr>
          <w:p w14:paraId="35415A7F"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191,10</w:t>
            </w:r>
          </w:p>
        </w:tc>
        <w:tc>
          <w:tcPr>
            <w:tcW w:w="448" w:type="pct"/>
            <w:tcBorders>
              <w:top w:val="nil"/>
              <w:left w:val="nil"/>
              <w:bottom w:val="single" w:sz="4" w:space="0" w:color="auto"/>
              <w:right w:val="single" w:sz="4" w:space="0" w:color="auto"/>
            </w:tcBorders>
            <w:noWrap/>
            <w:vAlign w:val="center"/>
            <w:hideMark/>
          </w:tcPr>
          <w:p w14:paraId="27399AF2" w14:textId="4732EBB6"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98" w:type="pct"/>
            <w:tcBorders>
              <w:top w:val="nil"/>
              <w:left w:val="nil"/>
              <w:bottom w:val="single" w:sz="4" w:space="0" w:color="auto"/>
              <w:right w:val="single" w:sz="4" w:space="0" w:color="auto"/>
            </w:tcBorders>
            <w:noWrap/>
            <w:vAlign w:val="center"/>
            <w:hideMark/>
          </w:tcPr>
          <w:p w14:paraId="67FA0376"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213,47</w:t>
            </w:r>
          </w:p>
        </w:tc>
        <w:tc>
          <w:tcPr>
            <w:tcW w:w="448" w:type="pct"/>
            <w:tcBorders>
              <w:top w:val="nil"/>
              <w:left w:val="nil"/>
              <w:bottom w:val="single" w:sz="4" w:space="0" w:color="auto"/>
              <w:right w:val="single" w:sz="4" w:space="0" w:color="auto"/>
            </w:tcBorders>
            <w:noWrap/>
            <w:vAlign w:val="center"/>
            <w:hideMark/>
          </w:tcPr>
          <w:p w14:paraId="7D63C5FE" w14:textId="07896F00"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49" w:type="pct"/>
            <w:tcBorders>
              <w:top w:val="nil"/>
              <w:left w:val="nil"/>
              <w:bottom w:val="single" w:sz="4" w:space="0" w:color="auto"/>
              <w:right w:val="single" w:sz="4" w:space="0" w:color="auto"/>
            </w:tcBorders>
            <w:noWrap/>
            <w:vAlign w:val="center"/>
            <w:hideMark/>
          </w:tcPr>
          <w:p w14:paraId="77AF9256"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238,14</w:t>
            </w:r>
          </w:p>
        </w:tc>
        <w:tc>
          <w:tcPr>
            <w:tcW w:w="447" w:type="pct"/>
            <w:tcBorders>
              <w:top w:val="nil"/>
              <w:left w:val="nil"/>
              <w:bottom w:val="single" w:sz="4" w:space="0" w:color="auto"/>
              <w:right w:val="single" w:sz="4" w:space="0" w:color="auto"/>
            </w:tcBorders>
            <w:noWrap/>
            <w:vAlign w:val="center"/>
            <w:hideMark/>
          </w:tcPr>
          <w:p w14:paraId="258DF131" w14:textId="3E740A39"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p>
        </w:tc>
        <w:tc>
          <w:tcPr>
            <w:tcW w:w="351" w:type="pct"/>
            <w:tcBorders>
              <w:top w:val="nil"/>
              <w:left w:val="nil"/>
              <w:bottom w:val="single" w:sz="4" w:space="0" w:color="auto"/>
              <w:right w:val="single" w:sz="4" w:space="0" w:color="auto"/>
            </w:tcBorders>
            <w:noWrap/>
            <w:vAlign w:val="center"/>
            <w:hideMark/>
          </w:tcPr>
          <w:p w14:paraId="516AB9B2"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22,37</w:t>
            </w:r>
          </w:p>
        </w:tc>
        <w:tc>
          <w:tcPr>
            <w:tcW w:w="449" w:type="pct"/>
            <w:tcBorders>
              <w:top w:val="nil"/>
              <w:left w:val="nil"/>
              <w:bottom w:val="single" w:sz="4" w:space="0" w:color="auto"/>
              <w:right w:val="single" w:sz="4" w:space="0" w:color="auto"/>
            </w:tcBorders>
            <w:noWrap/>
            <w:vAlign w:val="center"/>
            <w:hideMark/>
          </w:tcPr>
          <w:p w14:paraId="0662B3CA" w14:textId="258A92DF"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11,71</w:t>
            </w:r>
          </w:p>
        </w:tc>
        <w:tc>
          <w:tcPr>
            <w:tcW w:w="347" w:type="pct"/>
            <w:tcBorders>
              <w:top w:val="nil"/>
              <w:left w:val="nil"/>
              <w:bottom w:val="single" w:sz="4" w:space="0" w:color="auto"/>
              <w:right w:val="single" w:sz="4" w:space="0" w:color="auto"/>
            </w:tcBorders>
            <w:noWrap/>
            <w:vAlign w:val="center"/>
            <w:hideMark/>
          </w:tcPr>
          <w:p w14:paraId="139802DC" w14:textId="77777777"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24,67</w:t>
            </w:r>
          </w:p>
        </w:tc>
        <w:tc>
          <w:tcPr>
            <w:tcW w:w="470" w:type="pct"/>
            <w:tcBorders>
              <w:top w:val="nil"/>
              <w:left w:val="nil"/>
              <w:bottom w:val="single" w:sz="4" w:space="0" w:color="auto"/>
              <w:right w:val="single" w:sz="4" w:space="0" w:color="auto"/>
            </w:tcBorders>
            <w:noWrap/>
            <w:vAlign w:val="center"/>
            <w:hideMark/>
          </w:tcPr>
          <w:p w14:paraId="49B2676C" w14:textId="4981C199" w:rsidR="001B1B15" w:rsidRPr="002B008A" w:rsidRDefault="001B1B15" w:rsidP="00B2439B">
            <w:pPr>
              <w:spacing w:after="0" w:line="240" w:lineRule="auto"/>
              <w:jc w:val="right"/>
              <w:rPr>
                <w:rFonts w:ascii="Times New Roman" w:eastAsia="Times New Roman" w:hAnsi="Times New Roman" w:cs="Times New Roman"/>
                <w:b/>
                <w:bCs/>
                <w:color w:val="000000"/>
                <w:kern w:val="0"/>
                <w:sz w:val="26"/>
                <w:szCs w:val="26"/>
                <w:lang w:val="vi-VN"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11,56</w:t>
            </w:r>
          </w:p>
        </w:tc>
      </w:tr>
    </w:tbl>
    <w:p w14:paraId="63734205" w14:textId="3AB678DF" w:rsidR="00A50553" w:rsidRPr="002B008A" w:rsidRDefault="00435073" w:rsidP="00435073">
      <w:pPr>
        <w:tabs>
          <w:tab w:val="left" w:pos="12900"/>
        </w:tabs>
        <w:ind w:firstLine="567"/>
        <w:jc w:val="right"/>
        <w:rPr>
          <w:rFonts w:ascii="Times New Roman" w:eastAsia="Times New Roman" w:hAnsi="Times New Roman" w:cs="Times New Roman"/>
          <w:sz w:val="26"/>
          <w:szCs w:val="26"/>
          <w:lang w:val="vi"/>
        </w:rPr>
        <w:sectPr w:rsidR="00A50553" w:rsidRPr="002B008A" w:rsidSect="009E0361">
          <w:pgSz w:w="16838" w:h="11906" w:orient="landscape" w:code="9"/>
          <w:pgMar w:top="1134" w:right="1134" w:bottom="1134" w:left="1701" w:header="720" w:footer="720" w:gutter="0"/>
          <w:cols w:space="720"/>
          <w:docGrid w:linePitch="360"/>
        </w:sectPr>
      </w:pPr>
      <w:r w:rsidRPr="002B008A">
        <w:rPr>
          <w:rFonts w:ascii="Times New Roman" w:eastAsia="Times New Roman" w:hAnsi="Times New Roman" w:cs="Times New Roman"/>
          <w:i/>
          <w:iCs/>
          <w:color w:val="000000"/>
          <w:kern w:val="0"/>
          <w:sz w:val="26"/>
          <w:szCs w:val="26"/>
          <w:lang w:val="vi-VN"/>
          <w14:ligatures w14:val="none"/>
        </w:rPr>
        <w:t>(Nguồn: Báo cáo tài chính Ngân hàng TMCP Quân đội - Chi Nhánh Đà Nẵng giai đoạn 2023 - 2025)</w:t>
      </w:r>
    </w:p>
    <w:p w14:paraId="28AD37DD" w14:textId="1409C1F4" w:rsidR="00A810FF" w:rsidRPr="00A90E6A" w:rsidRDefault="00A810FF" w:rsidP="00A810FF">
      <w:pPr>
        <w:tabs>
          <w:tab w:val="left" w:pos="6210"/>
        </w:tabs>
        <w:spacing w:after="0" w:line="360" w:lineRule="auto"/>
        <w:ind w:firstLine="567"/>
        <w:jc w:val="both"/>
        <w:rPr>
          <w:rFonts w:ascii="Times New Roman" w:eastAsia="Times New Roman" w:hAnsi="Times New Roman" w:cs="Times New Roman"/>
          <w:sz w:val="26"/>
          <w:szCs w:val="26"/>
          <w:lang w:val="vi"/>
        </w:rPr>
      </w:pPr>
      <w:r w:rsidRPr="00A90E6A">
        <w:rPr>
          <w:rFonts w:ascii="Times New Roman" w:eastAsia="Times New Roman" w:hAnsi="Times New Roman" w:cs="Times New Roman"/>
          <w:sz w:val="26"/>
          <w:szCs w:val="26"/>
          <w:lang w:val="vi"/>
        </w:rPr>
        <w:lastRenderedPageBreak/>
        <w:t>Bảng số liệu cho thấy kết quả hoạt động kinh doanh của Ngân hàng TMCP Quân đội – Chi nhánh Đà Nẵng giai đoạn 2023–2025 duy trì xu hướng tăng trưởng ổn định. Tổng thu nhập tăng từ 424,92 tỷ đồng năm 2023 lên 458,29 tỷ đồng năm 2024 và 494,70 tỷ đồng năm 2025, tương ứng mức tăng khoảng 7–8%/năm.</w:t>
      </w:r>
    </w:p>
    <w:p w14:paraId="1844D562" w14:textId="77777777" w:rsidR="00A810FF" w:rsidRPr="00A90E6A" w:rsidRDefault="00A810FF" w:rsidP="00A810FF">
      <w:pPr>
        <w:tabs>
          <w:tab w:val="left" w:pos="6210"/>
        </w:tabs>
        <w:spacing w:after="0" w:line="360" w:lineRule="auto"/>
        <w:ind w:firstLine="567"/>
        <w:jc w:val="both"/>
        <w:rPr>
          <w:rFonts w:ascii="Times New Roman" w:eastAsia="Times New Roman" w:hAnsi="Times New Roman" w:cs="Times New Roman"/>
          <w:sz w:val="26"/>
          <w:szCs w:val="26"/>
          <w:lang w:val="vi"/>
        </w:rPr>
      </w:pPr>
      <w:r w:rsidRPr="00A90E6A">
        <w:rPr>
          <w:rFonts w:ascii="Times New Roman" w:eastAsia="Times New Roman" w:hAnsi="Times New Roman" w:cs="Times New Roman"/>
          <w:sz w:val="26"/>
          <w:szCs w:val="26"/>
          <w:lang w:val="vi"/>
        </w:rPr>
        <w:t>Về cơ cấu, thu nhập từ lãi vẫn chiếm tỷ trọng chủ đạo, tăng từ 371,04 tỷ đồng lên 432,33 tỷ đồng, khẳng định vai trò trụ cột của hoạt động tín dụng. Thu nhập từ dịch vụ tăng nhẹ từ 29,38 tỷ đồng lên 35,10 tỷ đồng, cho thấy định hướng đa dạng hóa nguồn thu nhưng tỷ trọng còn thấp. Tổng chi phí tăng từ 233,82 tỷ đồng lên 256,79 tỷ đồng, song tốc độ tăng thấp hơn thu nhập; trong đó chi phí lãi chiếm chủ yếu, còn chi phí dự phòng tăng nhẹ phản ánh sự thận trọng trong quản trị rủi ro.</w:t>
      </w:r>
    </w:p>
    <w:p w14:paraId="23BACEA5" w14:textId="618A6CA5" w:rsidR="00A810FF" w:rsidRPr="00A90E6A" w:rsidRDefault="00A810FF" w:rsidP="00A810FF">
      <w:pPr>
        <w:tabs>
          <w:tab w:val="left" w:pos="6210"/>
        </w:tabs>
        <w:spacing w:after="0" w:line="360" w:lineRule="auto"/>
        <w:ind w:firstLine="567"/>
        <w:jc w:val="both"/>
        <w:rPr>
          <w:rFonts w:ascii="Times New Roman" w:eastAsia="Times New Roman" w:hAnsi="Times New Roman" w:cs="Times New Roman"/>
          <w:sz w:val="26"/>
          <w:szCs w:val="26"/>
          <w:lang w:val="vi"/>
        </w:rPr>
      </w:pPr>
      <w:r w:rsidRPr="00A90E6A">
        <w:rPr>
          <w:rFonts w:ascii="Times New Roman" w:eastAsia="Times New Roman" w:hAnsi="Times New Roman" w:cs="Times New Roman"/>
          <w:sz w:val="26"/>
          <w:szCs w:val="26"/>
          <w:lang w:val="vi"/>
        </w:rPr>
        <w:t xml:space="preserve">Nhờ đó, lợi nhuận trước thuế tăng từ 191,10 tỷ đồng năm 2023 lên </w:t>
      </w:r>
      <w:r w:rsidR="00304311">
        <w:rPr>
          <w:rFonts w:ascii="Times New Roman" w:eastAsia="Times New Roman" w:hAnsi="Times New Roman" w:cs="Times New Roman"/>
          <w:sz w:val="26"/>
          <w:szCs w:val="26"/>
          <w:lang w:val="vi"/>
        </w:rPr>
        <w:t>238</w:t>
      </w:r>
      <w:r w:rsidRPr="00A90E6A">
        <w:rPr>
          <w:rFonts w:ascii="Times New Roman" w:eastAsia="Times New Roman" w:hAnsi="Times New Roman" w:cs="Times New Roman"/>
          <w:sz w:val="26"/>
          <w:szCs w:val="26"/>
          <w:lang w:val="vi"/>
        </w:rPr>
        <w:t>,</w:t>
      </w:r>
      <w:r w:rsidR="00304311">
        <w:rPr>
          <w:rFonts w:ascii="Times New Roman" w:eastAsia="Times New Roman" w:hAnsi="Times New Roman" w:cs="Times New Roman"/>
          <w:sz w:val="26"/>
          <w:szCs w:val="26"/>
          <w:lang w:val="vi"/>
        </w:rPr>
        <w:t>14</w:t>
      </w:r>
      <w:r w:rsidRPr="00A90E6A">
        <w:rPr>
          <w:rFonts w:ascii="Times New Roman" w:eastAsia="Times New Roman" w:hAnsi="Times New Roman" w:cs="Times New Roman"/>
          <w:sz w:val="26"/>
          <w:szCs w:val="26"/>
          <w:lang w:val="vi"/>
        </w:rPr>
        <w:t xml:space="preserve"> tỷ đồng năm 2025, tương ứng mức tăng trên 11%/năm, cho thấy hiệu quả hoạt động được cải thiện. Nhìn chung, chi nhánh tăng trưởng tích cực nhưng vẫn phụ thuộc nhiều vào tín dụng, do đó cần tiếp tục phát triển nguồn thu dịch vụ để nâng cao tính bền vững.</w:t>
      </w:r>
    </w:p>
    <w:p w14:paraId="16A9C2A2" w14:textId="5B5EBA3D" w:rsidR="00E20C57" w:rsidRPr="00A90E6A" w:rsidRDefault="00E20C57" w:rsidP="00030F69">
      <w:pPr>
        <w:pStyle w:val="Heading2"/>
        <w:tabs>
          <w:tab w:val="left" w:pos="993"/>
        </w:tabs>
        <w:ind w:firstLine="567"/>
        <w:rPr>
          <w:color w:val="000000" w:themeColor="text1"/>
          <w:lang w:val="vi-VN"/>
        </w:rPr>
      </w:pPr>
      <w:bookmarkStart w:id="45" w:name="_Toc230962391"/>
      <w:r w:rsidRPr="00A90E6A">
        <w:rPr>
          <w:color w:val="000000" w:themeColor="text1"/>
          <w:lang w:val="vi-VN"/>
        </w:rPr>
        <w:t xml:space="preserve">2.2 </w:t>
      </w:r>
      <w:r w:rsidR="00030F69">
        <w:rPr>
          <w:color w:val="000000" w:themeColor="text1"/>
        </w:rPr>
        <w:tab/>
      </w:r>
      <w:r w:rsidRPr="00A90E6A">
        <w:rPr>
          <w:color w:val="000000" w:themeColor="text1"/>
          <w:lang w:val="vi-VN"/>
        </w:rPr>
        <w:t xml:space="preserve">Thực trạng hiệu quả hoạt động cho vay sản xuất kinh doanh đối với khách hàng cá nhân tại ngân hàng TMCP Quân đội – Chi nhánh Đà </w:t>
      </w:r>
      <w:r w:rsidR="00A5287F" w:rsidRPr="00A90E6A">
        <w:rPr>
          <w:color w:val="000000" w:themeColor="text1"/>
          <w:lang w:val="vi-VN"/>
        </w:rPr>
        <w:t>Nẵng.</w:t>
      </w:r>
      <w:bookmarkEnd w:id="45"/>
      <w:r w:rsidRPr="00A90E6A">
        <w:rPr>
          <w:color w:val="000000" w:themeColor="text1"/>
          <w:lang w:val="vi-VN"/>
        </w:rPr>
        <w:t xml:space="preserve"> </w:t>
      </w:r>
    </w:p>
    <w:p w14:paraId="4C27E350" w14:textId="17C784F4" w:rsidR="00E20C57" w:rsidRPr="00A90E6A" w:rsidRDefault="00940440" w:rsidP="00030F69">
      <w:pPr>
        <w:pStyle w:val="Heading3"/>
        <w:numPr>
          <w:ilvl w:val="0"/>
          <w:numId w:val="5"/>
        </w:numPr>
        <w:tabs>
          <w:tab w:val="clear" w:pos="6210"/>
          <w:tab w:val="left" w:pos="1276"/>
        </w:tabs>
        <w:ind w:left="0" w:firstLine="567"/>
        <w:rPr>
          <w:i w:val="0"/>
          <w:iCs w:val="0"/>
          <w:color w:val="000000" w:themeColor="text1"/>
          <w:lang w:val="vi-VN"/>
        </w:rPr>
      </w:pPr>
      <w:bookmarkStart w:id="46" w:name="_Toc230962392"/>
      <w:r w:rsidRPr="00A90E6A">
        <w:rPr>
          <w:i w:val="0"/>
          <w:iCs w:val="0"/>
          <w:color w:val="000000" w:themeColor="text1"/>
          <w:lang w:val="vi-VN"/>
        </w:rPr>
        <w:t>Quy định</w:t>
      </w:r>
      <w:r w:rsidR="00E20C57" w:rsidRPr="00A90E6A">
        <w:rPr>
          <w:i w:val="0"/>
          <w:iCs w:val="0"/>
          <w:color w:val="000000" w:themeColor="text1"/>
          <w:lang w:val="vi-VN"/>
        </w:rPr>
        <w:t xml:space="preserve"> chung về cho vay sản xuất kinh doanh đối với khách hàng cá </w:t>
      </w:r>
      <w:r w:rsidR="00A5287F" w:rsidRPr="00A90E6A">
        <w:rPr>
          <w:i w:val="0"/>
          <w:iCs w:val="0"/>
          <w:color w:val="000000" w:themeColor="text1"/>
          <w:lang w:val="vi-VN"/>
        </w:rPr>
        <w:t>nhân.</w:t>
      </w:r>
      <w:bookmarkEnd w:id="46"/>
    </w:p>
    <w:p w14:paraId="64C8C6A1" w14:textId="514D2028" w:rsidR="002D6DC9" w:rsidRPr="00A90E6A" w:rsidRDefault="002D6DC9" w:rsidP="00700F8E">
      <w:pPr>
        <w:pStyle w:val="ListParagraph"/>
        <w:numPr>
          <w:ilvl w:val="0"/>
          <w:numId w:val="2"/>
        </w:numPr>
        <w:tabs>
          <w:tab w:val="left" w:pos="6210"/>
        </w:tabs>
        <w:spacing w:after="0" w:line="360" w:lineRule="auto"/>
        <w:ind w:left="851" w:hanging="283"/>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Quy định về hồ sơ pháp lý và đối tượng khách </w:t>
      </w:r>
      <w:r w:rsidR="00A5287F" w:rsidRPr="00A90E6A">
        <w:rPr>
          <w:rFonts w:ascii="Times New Roman" w:hAnsi="Times New Roman" w:cs="Times New Roman"/>
          <w:b/>
          <w:bCs/>
          <w:color w:val="000000" w:themeColor="text1"/>
          <w:sz w:val="26"/>
          <w:szCs w:val="26"/>
          <w:lang w:val="vi-VN"/>
        </w:rPr>
        <w:t>hàng.</w:t>
      </w:r>
    </w:p>
    <w:p w14:paraId="05790268" w14:textId="222D5A92"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Để đảm bảo tính tuân thủ và quản trị rủi ro ngay từ khâu tiếp cận, </w:t>
      </w:r>
      <w:r w:rsidR="00D2470A" w:rsidRPr="00A90E6A">
        <w:rPr>
          <w:rFonts w:ascii="Times New Roman" w:hAnsi="Times New Roman" w:cs="Times New Roman"/>
          <w:color w:val="000000" w:themeColor="text1"/>
          <w:sz w:val="26"/>
          <w:szCs w:val="26"/>
          <w:lang w:val="vi-VN"/>
        </w:rPr>
        <w:t>Ngân hàng TMCP Quân đội</w:t>
      </w:r>
      <w:r w:rsidRPr="00A90E6A">
        <w:rPr>
          <w:rFonts w:ascii="Times New Roman" w:hAnsi="Times New Roman" w:cs="Times New Roman"/>
          <w:color w:val="000000" w:themeColor="text1"/>
          <w:sz w:val="26"/>
          <w:szCs w:val="26"/>
          <w:lang w:val="vi-VN"/>
        </w:rPr>
        <w:t xml:space="preserve"> áp dụng các tiêu chuẩn cụ thể về pháp lý cá nhân:</w:t>
      </w:r>
    </w:p>
    <w:p w14:paraId="0E5E032F" w14:textId="77777777"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Điều kiện về độ tuổi: Khách hàng vay vốn phải là công dân Việt Nam, có năng lực hành vi dân sự đầy đủ. Độ tuổi tính từ thời điểm vay lớn hơn 18 tuổi và đến khi tất toán không quá 70 tuổi.</w:t>
      </w:r>
    </w:p>
    <w:p w14:paraId="47ACECC7" w14:textId="7785EA64"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Hộ khẩu và cư trú: Khách hàng cần có hộ khẩu thường trú hoặc đăng ký tạm trú dài hạn (KT3) tại</w:t>
      </w:r>
      <w:r w:rsidR="00EC634A" w:rsidRPr="00A90E6A">
        <w:rPr>
          <w:rFonts w:ascii="Times New Roman" w:hAnsi="Times New Roman" w:cs="Times New Roman"/>
          <w:color w:val="000000" w:themeColor="text1"/>
          <w:sz w:val="26"/>
          <w:szCs w:val="26"/>
          <w:lang w:val="vi-VN"/>
        </w:rPr>
        <w:t xml:space="preserve"> thành phố Đà Nẵng hoặc các khu vực lân cận</w:t>
      </w:r>
      <w:r w:rsidRPr="00A90E6A">
        <w:rPr>
          <w:rFonts w:ascii="Times New Roman" w:hAnsi="Times New Roman" w:cs="Times New Roman"/>
          <w:color w:val="000000" w:themeColor="text1"/>
          <w:sz w:val="26"/>
          <w:szCs w:val="26"/>
          <w:lang w:val="vi-VN"/>
        </w:rPr>
        <w:t>. Điều này giúp RM dễ dàng trong việc xác minh địa điểm kinh doanh thực tế.</w:t>
      </w:r>
    </w:p>
    <w:p w14:paraId="50046BCE" w14:textId="77777777" w:rsidR="002D6DC9"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Uy tín tín dụng (CIC): Đây là yếu tố quan trọng nhất. Khách hàng phải có lịch sử tín dụng sạch, không có nợ xấu tại bất kỳ tổ chức tín dụng nào trong vòng 03 - 05 năm gần nhất. Mọi khoản nợ nhóm 2 (nợ cần chú ý) phát sinh trong quá khứ phải được tất toán và có giải trình hợp lý.</w:t>
      </w:r>
    </w:p>
    <w:p w14:paraId="61F69FCA" w14:textId="77777777" w:rsidR="004A0BB7" w:rsidRPr="00A90E6A" w:rsidRDefault="004A0BB7"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p>
    <w:p w14:paraId="43DC3989" w14:textId="17353E70" w:rsidR="002D6DC9" w:rsidRPr="00A90E6A" w:rsidRDefault="002D6DC9">
      <w:pPr>
        <w:pStyle w:val="ListParagraph"/>
        <w:numPr>
          <w:ilvl w:val="0"/>
          <w:numId w:val="2"/>
        </w:numPr>
        <w:tabs>
          <w:tab w:val="left" w:pos="6210"/>
        </w:tabs>
        <w:spacing w:after="0" w:line="360" w:lineRule="auto"/>
        <w:ind w:left="709" w:hanging="283"/>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lastRenderedPageBreak/>
        <w:t xml:space="preserve">Hồ sơ phương án vay vốn và mục đích sử dụng </w:t>
      </w:r>
      <w:r w:rsidR="00A5287F" w:rsidRPr="00A90E6A">
        <w:rPr>
          <w:rFonts w:ascii="Times New Roman" w:hAnsi="Times New Roman" w:cs="Times New Roman"/>
          <w:b/>
          <w:bCs/>
          <w:color w:val="000000" w:themeColor="text1"/>
          <w:sz w:val="26"/>
          <w:szCs w:val="26"/>
          <w:lang w:val="vi-VN"/>
        </w:rPr>
        <w:t>vốn.</w:t>
      </w:r>
    </w:p>
    <w:p w14:paraId="729822E5" w14:textId="363105F1" w:rsidR="002D6DC9" w:rsidRPr="00A90E6A" w:rsidRDefault="00D2470A"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Ngân hàng TMCP Quân đội – Chi nhánh Đà Nẵng </w:t>
      </w:r>
      <w:r w:rsidR="002D6DC9" w:rsidRPr="00A90E6A">
        <w:rPr>
          <w:rFonts w:ascii="Times New Roman" w:hAnsi="Times New Roman" w:cs="Times New Roman"/>
          <w:color w:val="000000" w:themeColor="text1"/>
          <w:sz w:val="26"/>
          <w:szCs w:val="26"/>
          <w:lang w:val="vi-VN"/>
        </w:rPr>
        <w:t>cung cấp các phương thức vay linh hoạt phù hợp với chu kỳ dòng tiền của từng ngành nghề.</w:t>
      </w:r>
    </w:p>
    <w:p w14:paraId="517F9B22" w14:textId="77777777" w:rsidR="002D6DC9" w:rsidRPr="00A90E6A" w:rsidRDefault="002D6DC9" w:rsidP="002D6DC9">
      <w:pPr>
        <w:tabs>
          <w:tab w:val="left" w:pos="6210"/>
        </w:tabs>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b/>
          <w:bCs/>
          <w:i/>
          <w:iCs/>
          <w:color w:val="000000" w:themeColor="text1"/>
          <w:sz w:val="26"/>
          <w:szCs w:val="26"/>
          <w:lang w:val="vi-VN"/>
        </w:rPr>
        <w:t>Theo hình thức vay bao gồm:</w:t>
      </w:r>
    </w:p>
    <w:p w14:paraId="276F4F94" w14:textId="77777777"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theo món: Dành cho nhu cầu đầu tư tài sản cố định, máy móc thiết bị với thời hạn trung và dài hạn.</w:t>
      </w:r>
    </w:p>
    <w:p w14:paraId="744CADA4" w14:textId="77777777"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theo hạn mức: Phù hợp bổ sung vốn lưu động thiếu hụt thường xuyên. Khách hàng được cấp một hạn mức nhất định và có thể giải ngân/trả nợ nhiều lần trong năm.</w:t>
      </w:r>
    </w:p>
    <w:p w14:paraId="2706D2C0" w14:textId="77777777"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Mục đích vay vốn SXKD bao gồm: bổ sung vốn lưu động; nhập hàng hóa; thanh toán chi phí sản xuất kinh doanh; đầu tư tài sản cố định; mua sắm máy móc, thiết bị, phương tiện vận chuyển; cải tạo, mở rộng cơ sở sản xuất kinh doanh.</w:t>
      </w:r>
    </w:p>
    <w:p w14:paraId="0E81E34C" w14:textId="47E06115"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Đối với các khoản</w:t>
      </w:r>
      <w:r w:rsidR="00B9784C" w:rsidRPr="00A90E6A">
        <w:rPr>
          <w:rFonts w:ascii="Times New Roman" w:hAnsi="Times New Roman" w:cs="Times New Roman"/>
          <w:color w:val="000000" w:themeColor="text1"/>
          <w:sz w:val="26"/>
          <w:szCs w:val="26"/>
          <w:lang w:val="vi-VN"/>
        </w:rPr>
        <w:t xml:space="preserve"> cho</w:t>
      </w:r>
      <w:r w:rsidRPr="00A90E6A">
        <w:rPr>
          <w:rFonts w:ascii="Times New Roman" w:hAnsi="Times New Roman" w:cs="Times New Roman"/>
          <w:color w:val="000000" w:themeColor="text1"/>
          <w:sz w:val="26"/>
          <w:szCs w:val="26"/>
          <w:lang w:val="vi-VN"/>
        </w:rPr>
        <w:t xml:space="preserve"> vay ngắn hạn, mục đích chủ yếu là bổ sung vốn lưu động, phục vụ nhu cầu vốn thường xuyên với vòng quay nhanh. Trong khi đó, các khoản</w:t>
      </w:r>
      <w:r w:rsidR="00B9784C" w:rsidRPr="00A90E6A">
        <w:rPr>
          <w:rFonts w:ascii="Times New Roman" w:hAnsi="Times New Roman" w:cs="Times New Roman"/>
          <w:color w:val="000000" w:themeColor="text1"/>
          <w:sz w:val="26"/>
          <w:szCs w:val="26"/>
          <w:lang w:val="vi-VN"/>
        </w:rPr>
        <w:t xml:space="preserve"> cho</w:t>
      </w:r>
      <w:r w:rsidRPr="00A90E6A">
        <w:rPr>
          <w:rFonts w:ascii="Times New Roman" w:hAnsi="Times New Roman" w:cs="Times New Roman"/>
          <w:color w:val="000000" w:themeColor="text1"/>
          <w:sz w:val="26"/>
          <w:szCs w:val="26"/>
          <w:lang w:val="vi-VN"/>
        </w:rPr>
        <w:t xml:space="preserve"> vay trung và dài hạn chủ yếu phục vụ đầu tư tài sản cố định như máy móc, thiết bị hoặc xây dựng, mở rộng nhà xưởng.</w:t>
      </w:r>
    </w:p>
    <w:p w14:paraId="0A235C9F" w14:textId="77777777" w:rsidR="006E480B" w:rsidRPr="00A90E6A" w:rsidRDefault="006E480B">
      <w:pPr>
        <w:pStyle w:val="ListParagraph"/>
        <w:numPr>
          <w:ilvl w:val="0"/>
          <w:numId w:val="2"/>
        </w:numPr>
        <w:spacing w:after="0" w:line="360" w:lineRule="auto"/>
        <w:ind w:left="0" w:firstLine="420"/>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Năng lực tài chính và nguồn thu nhập trả nợ.</w:t>
      </w:r>
    </w:p>
    <w:p w14:paraId="09A4F650" w14:textId="77777777" w:rsidR="006E480B" w:rsidRPr="00A90E6A" w:rsidRDefault="006E480B" w:rsidP="006E480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Nguồn thu từ hoạt động SXKD: Khách hàng cần chứng minh hoạt động kinh doanh đã vận hành ổn định tối thiểu từ 06 - 12 tháng. Hồ sơ bao gồm: Giấy đăng ký kinh doanh (nếu có), biên lai nộp thuế, hoặc các chứng từ định tính như sổ ghi chép doanh thu, hóa đơn đầu vào/đầu ra, hợp đồng kinh tế.</w:t>
      </w:r>
    </w:p>
    <w:p w14:paraId="30E63B41" w14:textId="3C4FC2E6" w:rsidR="006E480B" w:rsidRPr="00A90E6A" w:rsidRDefault="006E480B" w:rsidP="006E480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Nguồn thu nhập bổ sung: Ngân hàng chấp nhận cộng gộp thu nhập từ lương (có sao kê hoặc xác nhận), thu nhập từ cho thuê tài sản (nhà, xe) và cổ tức. Việc đa dạng hóa nguồn thu giúp khách hàng gia tăng hạn mức vay và giảm áp lực trả nợ từ một nguồn duy nhất.</w:t>
      </w:r>
    </w:p>
    <w:p w14:paraId="27F9A3E4" w14:textId="6855713E" w:rsidR="002D6DC9" w:rsidRPr="00A90E6A" w:rsidRDefault="002D6DC9">
      <w:pPr>
        <w:pStyle w:val="ListParagraph"/>
        <w:numPr>
          <w:ilvl w:val="0"/>
          <w:numId w:val="2"/>
        </w:numPr>
        <w:tabs>
          <w:tab w:val="left" w:pos="6210"/>
        </w:tabs>
        <w:spacing w:after="0" w:line="360" w:lineRule="auto"/>
        <w:ind w:left="709" w:hanging="283"/>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Hồ sơ TSĐB và tỷ lệ tài </w:t>
      </w:r>
      <w:r w:rsidR="00A5287F" w:rsidRPr="00A90E6A">
        <w:rPr>
          <w:rFonts w:ascii="Times New Roman" w:hAnsi="Times New Roman" w:cs="Times New Roman"/>
          <w:b/>
          <w:bCs/>
          <w:color w:val="000000" w:themeColor="text1"/>
          <w:sz w:val="26"/>
          <w:szCs w:val="26"/>
          <w:lang w:val="vi-VN"/>
        </w:rPr>
        <w:t>trợ.</w:t>
      </w:r>
    </w:p>
    <w:p w14:paraId="2F112E08" w14:textId="77777777" w:rsidR="002D6DC9" w:rsidRPr="00A90E6A" w:rsidRDefault="002D6DC9" w:rsidP="002D6DC9">
      <w:pPr>
        <w:tabs>
          <w:tab w:val="left" w:pos="6210"/>
        </w:tabs>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b/>
          <w:bCs/>
          <w:i/>
          <w:iCs/>
          <w:color w:val="000000" w:themeColor="text1"/>
          <w:sz w:val="26"/>
          <w:szCs w:val="26"/>
          <w:lang w:val="vi-VN"/>
        </w:rPr>
        <w:t>Hồ sơ TSĐB</w:t>
      </w:r>
    </w:p>
    <w:p w14:paraId="411FB855" w14:textId="64132F7F"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Loại hình tài sản được chấp nhận: Ưu tiên số một là Bất động sản (đất thổ cư, nhà ở đã được cấp sổ đỏ/sổ hồng). Ngoài ra, ngân hàng chấp nhận các tài sản có tính thanh khoản cao như Thẻ tiết kiệm, Giấy tờ có giá do</w:t>
      </w:r>
      <w:r w:rsidR="00D2470A" w:rsidRPr="00A90E6A">
        <w:rPr>
          <w:rFonts w:ascii="Times New Roman" w:hAnsi="Times New Roman" w:cs="Times New Roman"/>
          <w:color w:val="000000" w:themeColor="text1"/>
          <w:sz w:val="26"/>
          <w:szCs w:val="26"/>
          <w:lang w:val="vi-VN"/>
        </w:rPr>
        <w:t xml:space="preserve"> Ngân hàng TMCP Quân đội </w:t>
      </w:r>
      <w:r w:rsidRPr="00A90E6A">
        <w:rPr>
          <w:rFonts w:ascii="Times New Roman" w:hAnsi="Times New Roman" w:cs="Times New Roman"/>
          <w:color w:val="000000" w:themeColor="text1"/>
          <w:sz w:val="26"/>
          <w:szCs w:val="26"/>
          <w:lang w:val="vi-VN"/>
        </w:rPr>
        <w:t>hoặc các ngân hàng thuộc nhóm Big4 phát hành.</w:t>
      </w:r>
    </w:p>
    <w:p w14:paraId="78EF5D08" w14:textId="500FB014"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 xml:space="preserve">Định giá và tỷ lệ cho vay: </w:t>
      </w:r>
      <w:r w:rsidR="00D2470A" w:rsidRPr="00A90E6A">
        <w:rPr>
          <w:rFonts w:ascii="Times New Roman" w:hAnsi="Times New Roman" w:cs="Times New Roman"/>
          <w:color w:val="000000" w:themeColor="text1"/>
          <w:sz w:val="26"/>
          <w:szCs w:val="26"/>
          <w:lang w:val="vi-VN"/>
        </w:rPr>
        <w:t xml:space="preserve">Ngân hàng TMCP Quân đội </w:t>
      </w:r>
      <w:r w:rsidRPr="00A90E6A">
        <w:rPr>
          <w:rFonts w:ascii="Times New Roman" w:hAnsi="Times New Roman" w:cs="Times New Roman"/>
          <w:color w:val="000000" w:themeColor="text1"/>
          <w:sz w:val="26"/>
          <w:szCs w:val="26"/>
          <w:lang w:val="vi-VN"/>
        </w:rPr>
        <w:t>thực hiện định giá tài sản theo giá thị trường tại thời điểm vay. Tỷ lệ cho vay trên giá trị tài sản đảm bảo thường đạt mức rất cạnh tranh, lên đến 80% giá trị định giá đối với bất động sản.</w:t>
      </w:r>
    </w:p>
    <w:p w14:paraId="11D0F90A" w14:textId="0C6F154B"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Tính pháp lý của TSĐB: Tài sản không nằm trong quy hoạch, không có tranh chấp và phải được đăng ký giao dịch bảo đảm đầy đủ tại cơ quan chức năng trước khi giải ngân. Giấy phép kinh doanh hoặc Giấy chứng nhận hộ kinh doanh cá thể để vay SXKD tại </w:t>
      </w:r>
      <w:r w:rsidR="00D2470A" w:rsidRPr="00A90E6A">
        <w:rPr>
          <w:rFonts w:ascii="Times New Roman" w:hAnsi="Times New Roman" w:cs="Times New Roman"/>
          <w:color w:val="000000" w:themeColor="text1"/>
          <w:sz w:val="26"/>
          <w:szCs w:val="26"/>
          <w:lang w:val="vi-VN"/>
        </w:rPr>
        <w:t xml:space="preserve">Ngân hàng TMCP Quân đội </w:t>
      </w:r>
      <w:r w:rsidRPr="00A90E6A">
        <w:rPr>
          <w:rFonts w:ascii="Times New Roman" w:hAnsi="Times New Roman" w:cs="Times New Roman"/>
          <w:color w:val="000000" w:themeColor="text1"/>
          <w:sz w:val="26"/>
          <w:szCs w:val="26"/>
          <w:lang w:val="vi-VN"/>
        </w:rPr>
        <w:t xml:space="preserve">thường yêu cầu hoạt động từ 6 tháng đến 1 năm trở lên. Thời hạn này giúp ngân hàng đánh giá được kinh nghiệm, tình hình tài chính và sự ổn định của hoạt động kinh doanh. </w:t>
      </w:r>
    </w:p>
    <w:p w14:paraId="18EEB54C" w14:textId="77777777" w:rsidR="002D6DC9" w:rsidRPr="00A90E6A" w:rsidRDefault="002D6DC9" w:rsidP="002D6DC9">
      <w:pPr>
        <w:tabs>
          <w:tab w:val="left" w:pos="6210"/>
        </w:tabs>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b/>
          <w:bCs/>
          <w:i/>
          <w:iCs/>
          <w:color w:val="000000" w:themeColor="text1"/>
          <w:sz w:val="26"/>
          <w:szCs w:val="26"/>
          <w:lang w:val="vi-VN"/>
        </w:rPr>
        <w:t>Tỷ lệ tài trợ</w:t>
      </w:r>
    </w:p>
    <w:p w14:paraId="18ADF516" w14:textId="6455F962" w:rsidR="002D6DC9" w:rsidRPr="00A90E6A" w:rsidRDefault="002D6DC9" w:rsidP="009F575A">
      <w:pPr>
        <w:pStyle w:val="ListParagraph"/>
        <w:spacing w:after="0" w:line="360" w:lineRule="auto"/>
        <w:ind w:left="0" w:firstLine="567"/>
        <w:contextualSpacing w:val="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Ở gói vay này, phía ngân hàng có thể hỗ trợ </w:t>
      </w:r>
      <w:r w:rsidR="009F575A" w:rsidRPr="00A90E6A">
        <w:rPr>
          <w:rFonts w:ascii="Times New Roman" w:hAnsi="Times New Roman" w:cs="Times New Roman"/>
          <w:color w:val="000000" w:themeColor="text1"/>
          <w:sz w:val="26"/>
          <w:szCs w:val="26"/>
          <w:lang w:val="vi-VN"/>
        </w:rPr>
        <w:t xml:space="preserve">với mức tài trợ có thể đạt tối đa 80% giá trị tài sản bảo đảm, 100% nhu cầu vốn, qua đó giúp giảm áp lực vốn tự có và tăng khả năng tiếp cận nguồn vốn. </w:t>
      </w:r>
      <w:r w:rsidRPr="00A90E6A">
        <w:rPr>
          <w:rFonts w:ascii="Times New Roman" w:hAnsi="Times New Roman" w:cs="Times New Roman"/>
          <w:color w:val="000000" w:themeColor="text1"/>
          <w:sz w:val="26"/>
          <w:szCs w:val="26"/>
          <w:lang w:val="vi-VN"/>
        </w:rPr>
        <w:t xml:space="preserve">Cách thức trả nợ gốc và lãi: cuối kỳ/định kỳ (tùy theo khả năng mỗi khách hàng). Kèm theo đó, gói vay này cần yêu cầu khách hàng phải có tài sản đảm bảo (Bất động sản, ô tô, giấy tờ có giá, và các giấy tờ khác,...) </w:t>
      </w:r>
    </w:p>
    <w:p w14:paraId="64A0039D" w14:textId="77777777" w:rsidR="002D6DC9" w:rsidRPr="00A90E6A" w:rsidRDefault="002D6DC9" w:rsidP="002D6DC9">
      <w:pPr>
        <w:tabs>
          <w:tab w:val="left" w:pos="6210"/>
        </w:tabs>
        <w:spacing w:after="0" w:line="360" w:lineRule="auto"/>
        <w:ind w:firstLine="567"/>
        <w:jc w:val="both"/>
        <w:rPr>
          <w:rFonts w:ascii="Times New Roman" w:hAnsi="Times New Roman" w:cs="Times New Roman"/>
          <w:i/>
          <w:iCs/>
          <w:color w:val="000000" w:themeColor="text1"/>
          <w:sz w:val="26"/>
          <w:szCs w:val="26"/>
          <w:lang w:val="vi-VN"/>
        </w:rPr>
      </w:pPr>
      <w:r w:rsidRPr="00A90E6A">
        <w:rPr>
          <w:rFonts w:ascii="Times New Roman" w:hAnsi="Times New Roman" w:cs="Times New Roman"/>
          <w:i/>
          <w:iCs/>
          <w:color w:val="000000" w:themeColor="text1"/>
          <w:sz w:val="26"/>
          <w:szCs w:val="26"/>
          <w:lang w:val="vi-VN"/>
        </w:rPr>
        <w:t xml:space="preserve">Hồ sơ vay vốn bao gồm:  </w:t>
      </w:r>
    </w:p>
    <w:p w14:paraId="69B787D5" w14:textId="77777777"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Hồ sơ pháp lý: Giấy tờ tùy thân, Sổ hộ khẩu, Chứng minh tình trạng hôn nhân (Giấy xác nhận độc thân/Giấy đăng kí kết hôn/Quyết định ly hôn) </w:t>
      </w:r>
    </w:p>
    <w:p w14:paraId="40E2E280" w14:textId="77777777"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Hồ sơ tài chính: Các hồ sơ chứng minh nguồn thu nhập (Hợp đồng, xác định lương, sao kê lương qua tài khoản) </w:t>
      </w:r>
    </w:p>
    <w:p w14:paraId="5B182675" w14:textId="77777777"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Hồ sơ phương án vay: Đăng ký kinh doanh, Giấy phép đủ điều kiện kinh doanh đối với các ngành kinh doanh có điều kiện, Phương án sử dụng vốn, Hợp đồng mua bán, hóa đơn, bảng kê,… </w:t>
      </w:r>
    </w:p>
    <w:p w14:paraId="48884E2A" w14:textId="77777777" w:rsidR="002D6DC9" w:rsidRPr="00A90E6A" w:rsidRDefault="002D6DC9" w:rsidP="002D6DC9">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Hồ sơ TSĐB: Chứng nhận sở hữu tài sản: xác định tài sản hình thành trước hay sau hôn nhân (đứng tên 2 vợ chồng/xác nhận ủy quyền)</w:t>
      </w:r>
    </w:p>
    <w:p w14:paraId="302B7E2C" w14:textId="5D4749BE" w:rsidR="002D6DC9" w:rsidRPr="00A90E6A" w:rsidRDefault="002D6DC9">
      <w:pPr>
        <w:pStyle w:val="ListParagraph"/>
        <w:numPr>
          <w:ilvl w:val="0"/>
          <w:numId w:val="2"/>
        </w:numPr>
        <w:tabs>
          <w:tab w:val="left" w:pos="6210"/>
        </w:tabs>
        <w:spacing w:after="0" w:line="360" w:lineRule="auto"/>
        <w:ind w:left="851" w:hanging="284"/>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Đánh giá </w:t>
      </w:r>
      <w:r w:rsidR="00A5287F" w:rsidRPr="00A90E6A">
        <w:rPr>
          <w:rFonts w:ascii="Times New Roman" w:hAnsi="Times New Roman" w:cs="Times New Roman"/>
          <w:b/>
          <w:bCs/>
          <w:color w:val="000000" w:themeColor="text1"/>
          <w:sz w:val="26"/>
          <w:szCs w:val="26"/>
          <w:lang w:val="vi-VN"/>
        </w:rPr>
        <w:t>chung.</w:t>
      </w:r>
    </w:p>
    <w:p w14:paraId="6BE7C9DE" w14:textId="57D9C04D" w:rsidR="008B627D" w:rsidRPr="00A90E6A" w:rsidRDefault="008B627D" w:rsidP="008B627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Trên cơ sở các quy định về điều kiện khách hàng, năng lực tài chính, phương án vay vốn và tài sản bảo đảm, có thể thấy sản phẩm cho vay </w:t>
      </w:r>
      <w:r w:rsidR="000F71E3" w:rsidRPr="00A90E6A">
        <w:rPr>
          <w:rFonts w:ascii="Times New Roman" w:hAnsi="Times New Roman" w:cs="Times New Roman"/>
          <w:color w:val="000000" w:themeColor="text1"/>
          <w:sz w:val="26"/>
          <w:szCs w:val="26"/>
          <w:lang w:val="vi-VN"/>
        </w:rPr>
        <w:t>SXKD đối với KHCN</w:t>
      </w:r>
      <w:r w:rsidRPr="00A90E6A">
        <w:rPr>
          <w:rFonts w:ascii="Times New Roman" w:hAnsi="Times New Roman" w:cs="Times New Roman"/>
          <w:color w:val="000000" w:themeColor="text1"/>
          <w:sz w:val="26"/>
          <w:szCs w:val="26"/>
          <w:lang w:val="vi-VN"/>
        </w:rPr>
        <w:t xml:space="preserve"> tại Ngân hàng TMCP Quân đội – Chi nhánh Đà Nẵng được xây dựng theo hướng khá toàn diện, phù hợp với đặc điểm của nhóm khách hàng hộ kinh doanh trên địa bàn.</w:t>
      </w:r>
    </w:p>
    <w:p w14:paraId="24B8CD16" w14:textId="6BC2BD9A" w:rsidR="008B627D" w:rsidRPr="00A90E6A" w:rsidRDefault="008B627D" w:rsidP="008B627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Trước hết, sản phẩm tín dụng thể hiện tính đa dạng và linh hoạt cao, khi bao phủ đầy đủ nhu cầu vốn từ ngắn hạn đến trung và dài hạn thông qua các hình thức cho vay </w:t>
      </w:r>
      <w:r w:rsidRPr="00A90E6A">
        <w:rPr>
          <w:rFonts w:ascii="Times New Roman" w:hAnsi="Times New Roman" w:cs="Times New Roman"/>
          <w:color w:val="000000" w:themeColor="text1"/>
          <w:sz w:val="26"/>
          <w:szCs w:val="26"/>
          <w:lang w:val="vi-VN"/>
        </w:rPr>
        <w:lastRenderedPageBreak/>
        <w:t>theo hạn mức và cho vay theo món. Đồng thời, việc triển khai giải ngân qua App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cho thấy chi nhánh đã từng bước ứng dụng chuyển đổi số vào hoạt động tín dụng, góp phần rút ngắn thời gian xử lý hồ sơ và nâng cao trải nghiệm khách hàng.</w:t>
      </w:r>
    </w:p>
    <w:p w14:paraId="07EF7D1F" w14:textId="271B2B37" w:rsidR="008B627D" w:rsidRPr="00A90E6A" w:rsidRDefault="008B627D" w:rsidP="009F575A">
      <w:pPr>
        <w:pStyle w:val="ListParagraph"/>
        <w:spacing w:after="0" w:line="360" w:lineRule="auto"/>
        <w:ind w:left="0" w:firstLine="567"/>
        <w:contextualSpacing w:val="0"/>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Về chính sách tín dụng, tỷ lệ tài trợ ở mức cao </w:t>
      </w:r>
      <w:r w:rsidR="009F575A" w:rsidRPr="00A90E6A">
        <w:rPr>
          <w:rFonts w:ascii="Times New Roman" w:hAnsi="Times New Roman" w:cs="Times New Roman"/>
          <w:color w:val="000000" w:themeColor="text1"/>
          <w:sz w:val="26"/>
          <w:szCs w:val="26"/>
          <w:lang w:val="vi-VN"/>
        </w:rPr>
        <w:t xml:space="preserve">80% giá trị tài sản bảo đảm, 100% nhu cầu vốn, </w:t>
      </w:r>
      <w:r w:rsidRPr="00A90E6A">
        <w:rPr>
          <w:rFonts w:ascii="Times New Roman" w:hAnsi="Times New Roman" w:cs="Times New Roman"/>
          <w:color w:val="000000" w:themeColor="text1"/>
          <w:sz w:val="26"/>
          <w:szCs w:val="26"/>
          <w:lang w:val="vi-VN"/>
        </w:rPr>
        <w:t>phản ánh khả năng cạnh tranh của ngân hàng trên thị trường, đặc biệt đối với nhóm khách hàng hộ kinh doanh có quy mô vốn nhỏ. Cùng với đó, cơ chế thẩm định nguồn thu được thiết kế theo hướng linh hoạt, cho phép sử dụng các chứng từ mang tính định tính như sổ ghi chép tay hoặc hóa đơn lẻ. Cách tiếp cận này phù hợp với thực tế tại địa bàn Đà Nẵng, nơi phần lớn hộ kinh doanh cá thể chưa thực hiện đầy đủ chế độ kế toán, qua đó giúp mở rộng khả năng tiếp cận vốn.</w:t>
      </w:r>
    </w:p>
    <w:p w14:paraId="521D12B8" w14:textId="62C369DD" w:rsidR="008B627D" w:rsidRPr="00A90E6A" w:rsidRDefault="008B627D" w:rsidP="008B627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Bên cạnh đó, việc cộng gộp nhiều nguồn thu nhập như thu nhập từ hoạt động sản xuất kinh doanh, tiền lương, cho thuê tài sản và cổ tức không chỉ góp phần nâng cao khả năng vay vốn mà còn giúp phân tán rủi ro, tránh phụ thuộc vào một nguồn thu duy nhất. Ngoài ra, quy định về địa bàn cư trú (hộ khẩu/KT3 tại Đà Nẵng và khu vực lân cận) cũng hỗ trợ ngân hàng trong việc kiểm soát thông tin khách hàng và theo dõi hoạt động kinh doanh thực tế.</w:t>
      </w:r>
    </w:p>
    <w:p w14:paraId="551E1334" w14:textId="0CCA2D11" w:rsidR="008B627D" w:rsidRPr="00A90E6A" w:rsidRDefault="008B627D" w:rsidP="002B537C">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Tuy nhiên, bên cạnh những kết quả đạt được, một số quy định trong chính sách tín dụng vẫn còn tồn tại những điểm cần tiếp tục hoàn thiện. Cụ thể, điều kiện yêu cầu cơ sở kinh doanh phải hoạt động tối thiểu từ 6 đến 12 tháng phần nào làm hạn chế khả năng tiếp cận vốn của các hộ kinh doanh mới thành lập hoặc các mô hình khởi nghiệp, trong khi đây lại là nhóm khách hàng có nhu cầu vốn ngay từ giai đoạn đầu để duy trì và mở rộng hoạt động.</w:t>
      </w:r>
    </w:p>
    <w:p w14:paraId="3922A568" w14:textId="36429918" w:rsidR="008B627D" w:rsidRPr="00A90E6A" w:rsidRDefault="008B627D" w:rsidP="008B627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ra, các thủ tục pháp lý liên quan đến tình trạng hôn nhân, đặc biệt là yêu cầu xác định tài sản trước và sau hôn nhân cũng như sự đồng thuận của cả hai vợ chồng, mặc dù cần thiết nhằm đảm bảo tính pháp lý và hạn chế rủi ro tranh chấp, nhưng trên thực tế lại có thể kéo dài thời gian xử lý hồ sơ, làm ảnh hưởng đến tiến độ giải ngân, nhất là trong trường hợp một trong hai bên không hợp tác hoặc không có mặt tại địa phương.</w:t>
      </w:r>
    </w:p>
    <w:p w14:paraId="52935FAF" w14:textId="4CA05CE9" w:rsidR="006E480B" w:rsidRPr="00A90E6A" w:rsidRDefault="008B627D" w:rsidP="008B627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Nhìn chung, sản phẩm cho vay sản xuất kinh doanh tại chi nhánh đã được thiết kế tương đối phù hợp với đặc thù khách hàng mục tiêu và điều kiện thị trường, tuy nhiên vẫn cần có sự điều chỉnh linh hoạt hơn ở một số tiêu chí nhằm nâng cao khả năng tiếp cận vốn và cải thiện hiệu quả triển khai trong thời gian tới.</w:t>
      </w:r>
    </w:p>
    <w:p w14:paraId="7C595606" w14:textId="37C65B47" w:rsidR="00765FD1" w:rsidRPr="00A90E6A" w:rsidRDefault="00E20C57" w:rsidP="00030F69">
      <w:pPr>
        <w:pStyle w:val="Heading3"/>
        <w:numPr>
          <w:ilvl w:val="0"/>
          <w:numId w:val="5"/>
        </w:numPr>
        <w:tabs>
          <w:tab w:val="clear" w:pos="6210"/>
          <w:tab w:val="left" w:pos="1276"/>
        </w:tabs>
        <w:ind w:left="0" w:firstLine="567"/>
        <w:rPr>
          <w:i w:val="0"/>
          <w:iCs w:val="0"/>
          <w:color w:val="000000" w:themeColor="text1"/>
          <w:lang w:val="vi-VN"/>
        </w:rPr>
      </w:pPr>
      <w:bookmarkStart w:id="47" w:name="_Toc230962393"/>
      <w:r w:rsidRPr="00A90E6A">
        <w:rPr>
          <w:i w:val="0"/>
          <w:iCs w:val="0"/>
          <w:color w:val="000000" w:themeColor="text1"/>
          <w:lang w:val="vi-VN"/>
        </w:rPr>
        <w:lastRenderedPageBreak/>
        <w:t xml:space="preserve">Quy trình cho vay sản xuất kinh doanh đối với khách hàng cá </w:t>
      </w:r>
      <w:r w:rsidR="006E480B" w:rsidRPr="00A90E6A">
        <w:rPr>
          <w:i w:val="0"/>
          <w:iCs w:val="0"/>
          <w:color w:val="000000" w:themeColor="text1"/>
          <w:lang w:val="vi-VN"/>
        </w:rPr>
        <w:t>nhân.</w:t>
      </w:r>
      <w:bookmarkEnd w:id="47"/>
      <w:r w:rsidRPr="00A90E6A">
        <w:rPr>
          <w:i w:val="0"/>
          <w:iCs w:val="0"/>
          <w:color w:val="000000" w:themeColor="text1"/>
          <w:lang w:val="vi-VN"/>
        </w:rPr>
        <w:t xml:space="preserve"> </w:t>
      </w:r>
    </w:p>
    <w:p w14:paraId="4AAA765B" w14:textId="7A0DCFB5"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Quy trình cho vay SXKD đối với KHCN tại </w:t>
      </w:r>
      <w:r w:rsidR="00AC5EE0" w:rsidRPr="00A90E6A">
        <w:rPr>
          <w:rFonts w:ascii="Times New Roman" w:hAnsi="Times New Roman" w:cs="Times New Roman"/>
          <w:color w:val="000000" w:themeColor="text1"/>
          <w:sz w:val="26"/>
          <w:szCs w:val="26"/>
          <w:lang w:val="vi-VN"/>
        </w:rPr>
        <w:t xml:space="preserve">Ngân hàng TMCP Quân </w:t>
      </w:r>
      <w:r w:rsidR="0043394C" w:rsidRPr="00A90E6A">
        <w:rPr>
          <w:rFonts w:ascii="Times New Roman" w:hAnsi="Times New Roman" w:cs="Times New Roman"/>
          <w:color w:val="000000" w:themeColor="text1"/>
          <w:sz w:val="26"/>
          <w:szCs w:val="26"/>
          <w:lang w:val="vi-VN"/>
        </w:rPr>
        <w:t>đ</w:t>
      </w:r>
      <w:r w:rsidR="00AC5EE0" w:rsidRPr="00A90E6A">
        <w:rPr>
          <w:rFonts w:ascii="Times New Roman" w:hAnsi="Times New Roman" w:cs="Times New Roman"/>
          <w:color w:val="000000" w:themeColor="text1"/>
          <w:sz w:val="26"/>
          <w:szCs w:val="26"/>
          <w:lang w:val="vi-VN"/>
        </w:rPr>
        <w:t xml:space="preserve">ội – Chi nhánh Đà Nẵng </w:t>
      </w:r>
      <w:r w:rsidRPr="00A90E6A">
        <w:rPr>
          <w:rFonts w:ascii="Times New Roman" w:hAnsi="Times New Roman" w:cs="Times New Roman"/>
          <w:color w:val="000000" w:themeColor="text1"/>
          <w:sz w:val="26"/>
          <w:szCs w:val="26"/>
          <w:lang w:val="vi-VN"/>
        </w:rPr>
        <w:t xml:space="preserve">gồm 9 bước dưới đây: </w:t>
      </w:r>
    </w:p>
    <w:p w14:paraId="088B58CE" w14:textId="6F1FF0ED" w:rsidR="0066418D" w:rsidRPr="00A90E6A" w:rsidRDefault="0066418D" w:rsidP="004A7C06">
      <w:pPr>
        <w:tabs>
          <w:tab w:val="left" w:pos="6210"/>
        </w:tabs>
        <w:spacing w:after="0" w:line="360" w:lineRule="auto"/>
        <w:jc w:val="both"/>
        <w:rPr>
          <w:rFonts w:ascii="Times New Roman" w:hAnsi="Times New Roman" w:cs="Times New Roman"/>
          <w:color w:val="000000" w:themeColor="text1"/>
          <w:sz w:val="26"/>
          <w:szCs w:val="26"/>
          <w:lang w:val="vi-VN"/>
        </w:rPr>
      </w:pPr>
      <w:r w:rsidRPr="00A90E6A">
        <w:rPr>
          <w:rFonts w:ascii="Times New Roman" w:hAnsi="Times New Roman" w:cs="Times New Roman"/>
          <w:b/>
          <w:i/>
          <w:noProof/>
          <w:sz w:val="26"/>
          <w:szCs w:val="26"/>
          <w:lang w:eastAsia="ja-JP"/>
        </w:rPr>
        <w:drawing>
          <wp:inline distT="0" distB="0" distL="0" distR="0" wp14:anchorId="2CBE5897" wp14:editId="2D5D4C39">
            <wp:extent cx="5551170" cy="2625437"/>
            <wp:effectExtent l="0" t="0" r="0" b="3810"/>
            <wp:docPr id="164808529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92877" cy="2645163"/>
                    </a:xfrm>
                    <a:prstGeom prst="rect">
                      <a:avLst/>
                    </a:prstGeom>
                    <a:noFill/>
                    <a:ln>
                      <a:noFill/>
                    </a:ln>
                  </pic:spPr>
                </pic:pic>
              </a:graphicData>
            </a:graphic>
          </wp:inline>
        </w:drawing>
      </w:r>
    </w:p>
    <w:p w14:paraId="50669F43" w14:textId="27D2D1C2" w:rsidR="004A7C06" w:rsidRPr="00A90E6A" w:rsidRDefault="004A7C06" w:rsidP="004A7C06">
      <w:pPr>
        <w:tabs>
          <w:tab w:val="left" w:pos="6210"/>
        </w:tabs>
        <w:spacing w:after="0" w:line="360" w:lineRule="auto"/>
        <w:ind w:firstLine="567"/>
        <w:jc w:val="right"/>
        <w:rPr>
          <w:rFonts w:ascii="Times New Roman" w:hAnsi="Times New Roman" w:cs="Times New Roman"/>
          <w:i/>
          <w:iCs/>
          <w:color w:val="000000" w:themeColor="text1"/>
          <w:sz w:val="26"/>
          <w:szCs w:val="26"/>
          <w:lang w:val="vi"/>
        </w:rPr>
      </w:pPr>
      <w:r w:rsidRPr="00A90E6A">
        <w:rPr>
          <w:rFonts w:ascii="Times New Roman" w:hAnsi="Times New Roman" w:cs="Times New Roman"/>
          <w:i/>
          <w:iCs/>
          <w:color w:val="000000" w:themeColor="text1"/>
          <w:sz w:val="26"/>
          <w:szCs w:val="26"/>
          <w:lang w:val="vi"/>
        </w:rPr>
        <w:t>(Nguồn: Ngân hàng TMCP Quân đội - Chi Nhánh Đà Nẵng)</w:t>
      </w:r>
    </w:p>
    <w:p w14:paraId="52C96F30" w14:textId="3A566D20" w:rsidR="003D10F1" w:rsidRPr="00A90E6A" w:rsidRDefault="003A46EC" w:rsidP="00BD243B">
      <w:pPr>
        <w:pStyle w:val="Caption"/>
        <w:jc w:val="center"/>
        <w:rPr>
          <w:rFonts w:ascii="Times New Roman" w:hAnsi="Times New Roman" w:cs="Times New Roman"/>
          <w:b/>
          <w:bCs/>
          <w:color w:val="000000" w:themeColor="text1"/>
          <w:sz w:val="26"/>
          <w:szCs w:val="26"/>
          <w:lang w:val="vi-VN"/>
        </w:rPr>
      </w:pPr>
      <w:bookmarkStart w:id="48" w:name="_Toc229217910"/>
      <w:bookmarkStart w:id="49" w:name="_Toc230367734"/>
      <w:r w:rsidRPr="00A90E6A">
        <w:rPr>
          <w:rFonts w:ascii="Times New Roman" w:hAnsi="Times New Roman" w:cs="Times New Roman"/>
          <w:b/>
          <w:bCs/>
          <w:i w:val="0"/>
          <w:iCs w:val="0"/>
          <w:color w:val="000000" w:themeColor="text1"/>
          <w:sz w:val="26"/>
          <w:szCs w:val="26"/>
          <w:lang w:val="vi"/>
        </w:rPr>
        <w:t>Sơ đồ 2.</w:t>
      </w:r>
      <w:r w:rsidRPr="00A90E6A">
        <w:rPr>
          <w:rFonts w:ascii="Times New Roman" w:hAnsi="Times New Roman" w:cs="Times New Roman"/>
          <w:b/>
          <w:bCs/>
          <w:i w:val="0"/>
          <w:iCs w:val="0"/>
          <w:color w:val="000000" w:themeColor="text1"/>
          <w:sz w:val="26"/>
          <w:szCs w:val="26"/>
        </w:rPr>
        <w:fldChar w:fldCharType="begin"/>
      </w:r>
      <w:r w:rsidRPr="00A90E6A">
        <w:rPr>
          <w:rFonts w:ascii="Times New Roman" w:hAnsi="Times New Roman" w:cs="Times New Roman"/>
          <w:b/>
          <w:bCs/>
          <w:i w:val="0"/>
          <w:iCs w:val="0"/>
          <w:color w:val="000000" w:themeColor="text1"/>
          <w:sz w:val="26"/>
          <w:szCs w:val="26"/>
          <w:lang w:val="vi"/>
        </w:rPr>
        <w:instrText xml:space="preserve"> SEQ Sơ_đồ_2. \* ARABIC </w:instrText>
      </w:r>
      <w:r w:rsidRPr="00A90E6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
        </w:rPr>
        <w:t>2</w:t>
      </w:r>
      <w:r w:rsidRPr="00A90E6A">
        <w:rPr>
          <w:rFonts w:ascii="Times New Roman" w:hAnsi="Times New Roman" w:cs="Times New Roman"/>
          <w:b/>
          <w:bCs/>
          <w:i w:val="0"/>
          <w:iCs w:val="0"/>
          <w:color w:val="000000" w:themeColor="text1"/>
          <w:sz w:val="26"/>
          <w:szCs w:val="26"/>
        </w:rPr>
        <w:fldChar w:fldCharType="end"/>
      </w:r>
      <w:r w:rsidRPr="00A90E6A">
        <w:rPr>
          <w:rFonts w:ascii="Times New Roman" w:hAnsi="Times New Roman" w:cs="Times New Roman"/>
          <w:color w:val="000000" w:themeColor="text1"/>
          <w:sz w:val="26"/>
          <w:szCs w:val="26"/>
          <w:lang w:val="vi-VN"/>
        </w:rPr>
        <w:t xml:space="preserve"> </w:t>
      </w:r>
      <w:r w:rsidR="00AC03FC" w:rsidRPr="00A90E6A">
        <w:rPr>
          <w:rFonts w:ascii="Times New Roman" w:hAnsi="Times New Roman" w:cs="Times New Roman"/>
          <w:b/>
          <w:bCs/>
          <w:i w:val="0"/>
          <w:iCs w:val="0"/>
          <w:color w:val="000000" w:themeColor="text1"/>
          <w:sz w:val="26"/>
          <w:szCs w:val="26"/>
          <w:lang w:val="vi-VN"/>
        </w:rPr>
        <w:t xml:space="preserve">Quy trình cho vay SXKD đối với KHCN tại Ngân hàng TMCP Quân đội – Chi nhánh Đà </w:t>
      </w:r>
      <w:bookmarkEnd w:id="48"/>
      <w:r w:rsidR="006E480B" w:rsidRPr="00A90E6A">
        <w:rPr>
          <w:rFonts w:ascii="Times New Roman" w:hAnsi="Times New Roman" w:cs="Times New Roman"/>
          <w:b/>
          <w:bCs/>
          <w:i w:val="0"/>
          <w:iCs w:val="0"/>
          <w:color w:val="000000" w:themeColor="text1"/>
          <w:sz w:val="26"/>
          <w:szCs w:val="26"/>
          <w:lang w:val="vi-VN"/>
        </w:rPr>
        <w:t>Nẵng.</w:t>
      </w:r>
      <w:bookmarkEnd w:id="49"/>
    </w:p>
    <w:p w14:paraId="722A1B31" w14:textId="624D4F46" w:rsidR="004A7C06" w:rsidRPr="00A90E6A" w:rsidRDefault="0066418D" w:rsidP="00A0762B">
      <w:pPr>
        <w:tabs>
          <w:tab w:val="left" w:pos="6210"/>
        </w:tabs>
        <w:spacing w:after="0" w:line="360" w:lineRule="auto"/>
        <w:ind w:left="851" w:hanging="284"/>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a) Diễn giải và phân tích quy </w:t>
      </w:r>
      <w:r w:rsidR="00123DC4" w:rsidRPr="00A90E6A">
        <w:rPr>
          <w:rFonts w:ascii="Times New Roman" w:hAnsi="Times New Roman" w:cs="Times New Roman"/>
          <w:b/>
          <w:bCs/>
          <w:color w:val="000000" w:themeColor="text1"/>
          <w:sz w:val="26"/>
          <w:szCs w:val="26"/>
          <w:lang w:val="vi-VN"/>
        </w:rPr>
        <w:t>trình.</w:t>
      </w:r>
    </w:p>
    <w:p w14:paraId="51D48023" w14:textId="047DD645" w:rsidR="0066418D" w:rsidRPr="00A90E6A" w:rsidRDefault="0066418D" w:rsidP="0066418D">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Bước 1: Tiếp nhận hồ sơ và sàng lọc sơ </w:t>
      </w:r>
      <w:r w:rsidR="00123DC4" w:rsidRPr="00A90E6A">
        <w:rPr>
          <w:rFonts w:ascii="Times New Roman" w:hAnsi="Times New Roman" w:cs="Times New Roman"/>
          <w:b/>
          <w:bCs/>
          <w:color w:val="000000" w:themeColor="text1"/>
          <w:sz w:val="26"/>
          <w:szCs w:val="26"/>
          <w:lang w:val="vi-VN"/>
        </w:rPr>
        <w:t>bộ.</w:t>
      </w:r>
    </w:p>
    <w:p w14:paraId="6044B28D" w14:textId="16749307"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Đây là giai đoạn đầu tiên và cũng là giai đoạn sàng lọc đầu vào quan trọng. Nhân viên </w:t>
      </w:r>
      <w:r w:rsidR="00D47274" w:rsidRPr="00A90E6A">
        <w:rPr>
          <w:rFonts w:ascii="Times New Roman" w:hAnsi="Times New Roman" w:cs="Times New Roman"/>
          <w:color w:val="000000" w:themeColor="text1"/>
          <w:sz w:val="26"/>
          <w:szCs w:val="26"/>
          <w:lang w:val="vi-VN"/>
        </w:rPr>
        <w:t>chuyên viên quan hệ khách hàng</w:t>
      </w:r>
      <w:r w:rsidRPr="00A90E6A">
        <w:rPr>
          <w:rFonts w:ascii="Times New Roman" w:hAnsi="Times New Roman" w:cs="Times New Roman"/>
          <w:color w:val="000000" w:themeColor="text1"/>
          <w:sz w:val="26"/>
          <w:szCs w:val="26"/>
          <w:lang w:val="vi-VN"/>
        </w:rPr>
        <w:t xml:space="preserve"> gặp gỡ khách hàng để nắm bắt nhu cầu vốn (</w:t>
      </w:r>
      <w:r w:rsidR="001D64A8" w:rsidRPr="00A90E6A">
        <w:rPr>
          <w:rFonts w:ascii="Times New Roman" w:hAnsi="Times New Roman" w:cs="Times New Roman"/>
          <w:color w:val="000000" w:themeColor="text1"/>
          <w:sz w:val="26"/>
          <w:szCs w:val="26"/>
          <w:lang w:val="vi-VN"/>
        </w:rPr>
        <w:t xml:space="preserve">bổ sung </w:t>
      </w:r>
      <w:r w:rsidRPr="00A90E6A">
        <w:rPr>
          <w:rFonts w:ascii="Times New Roman" w:hAnsi="Times New Roman" w:cs="Times New Roman"/>
          <w:color w:val="000000" w:themeColor="text1"/>
          <w:sz w:val="26"/>
          <w:szCs w:val="26"/>
          <w:lang w:val="vi-VN"/>
        </w:rPr>
        <w:t>vốn lưu động hay đầu tư tài sản). Tại địa bàn</w:t>
      </w:r>
      <w:r w:rsidR="00425392" w:rsidRPr="00A90E6A">
        <w:rPr>
          <w:rFonts w:ascii="Times New Roman" w:hAnsi="Times New Roman" w:cs="Times New Roman"/>
          <w:color w:val="000000" w:themeColor="text1"/>
          <w:sz w:val="26"/>
          <w:szCs w:val="26"/>
          <w:lang w:val="vi-VN"/>
        </w:rPr>
        <w:t xml:space="preserve"> Đà Nẵng </w:t>
      </w:r>
      <w:r w:rsidRPr="00A90E6A">
        <w:rPr>
          <w:rFonts w:ascii="Times New Roman" w:hAnsi="Times New Roman" w:cs="Times New Roman"/>
          <w:color w:val="000000" w:themeColor="text1"/>
          <w:sz w:val="26"/>
          <w:szCs w:val="26"/>
          <w:lang w:val="vi-VN"/>
        </w:rPr>
        <w:t xml:space="preserve">với đặc thù nhiều hộ kinh doanh truyền thống, việc tiếp xúc sớm giúp </w:t>
      </w:r>
      <w:r w:rsidR="00D47274" w:rsidRPr="00A90E6A">
        <w:rPr>
          <w:rFonts w:ascii="Times New Roman" w:hAnsi="Times New Roman" w:cs="Times New Roman"/>
          <w:color w:val="000000" w:themeColor="text1"/>
          <w:sz w:val="26"/>
          <w:szCs w:val="26"/>
          <w:lang w:val="vi-VN"/>
        </w:rPr>
        <w:t xml:space="preserve">chuyên viên quan hệ khách hàng </w:t>
      </w:r>
      <w:r w:rsidRPr="00A90E6A">
        <w:rPr>
          <w:rFonts w:ascii="Times New Roman" w:hAnsi="Times New Roman" w:cs="Times New Roman"/>
          <w:color w:val="000000" w:themeColor="text1"/>
          <w:sz w:val="26"/>
          <w:szCs w:val="26"/>
          <w:lang w:val="vi-VN"/>
        </w:rPr>
        <w:t xml:space="preserve">đánh giá trực quan về "thái độ" và "uy tín" của khách hàng. </w:t>
      </w:r>
      <w:r w:rsidR="002B537C" w:rsidRPr="00A90E6A">
        <w:rPr>
          <w:rFonts w:ascii="Times New Roman" w:hAnsi="Times New Roman" w:cs="Times New Roman"/>
          <w:color w:val="000000" w:themeColor="text1"/>
          <w:sz w:val="26"/>
          <w:szCs w:val="26"/>
          <w:lang w:val="vi-VN"/>
        </w:rPr>
        <w:t>V</w:t>
      </w:r>
      <w:r w:rsidRPr="00A90E6A">
        <w:rPr>
          <w:rFonts w:ascii="Times New Roman" w:hAnsi="Times New Roman" w:cs="Times New Roman"/>
          <w:color w:val="000000" w:themeColor="text1"/>
          <w:sz w:val="26"/>
          <w:szCs w:val="26"/>
          <w:lang w:val="vi-VN"/>
        </w:rPr>
        <w:t>iệc kiểm tra nhanh CIC (Trung tâm thông tin tín dụng) giúp loại bỏ hồ sơ nợ xấu ngay từ đầu, tối ưu hóa nguồn lực thời gian cho các bước tiếp theo.</w:t>
      </w:r>
    </w:p>
    <w:p w14:paraId="4682C462" w14:textId="507A8F9A" w:rsidR="0066418D" w:rsidRPr="00A90E6A" w:rsidRDefault="0066418D" w:rsidP="0066418D">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Bước 2: Thu thập thông tin và giảm thiểu bất đối xứng thông </w:t>
      </w:r>
      <w:r w:rsidR="00123DC4" w:rsidRPr="00A90E6A">
        <w:rPr>
          <w:rFonts w:ascii="Times New Roman" w:hAnsi="Times New Roman" w:cs="Times New Roman"/>
          <w:b/>
          <w:bCs/>
          <w:color w:val="000000" w:themeColor="text1"/>
          <w:sz w:val="26"/>
          <w:szCs w:val="26"/>
          <w:lang w:val="vi-VN"/>
        </w:rPr>
        <w:t>tin.</w:t>
      </w:r>
    </w:p>
    <w:p w14:paraId="21B4B26E" w14:textId="67315CD1" w:rsidR="0066418D" w:rsidRDefault="00A47A26" w:rsidP="00A47A2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Chuyên viên quan hệ khách hàng hướng dẫn khách hàng hoàn thiện bộ hồ sơ về pháp lý, tài chính (sổ ghi chép, hóa đơn, dữ liệu App MB) và TSĐB. Do hộ kinh doanh thường thiếu báo cáo tài chính chuẩn mực, ngân hàng áp dụng phương pháp thẩm định hỗn hợp. Việc khai thác dữ liệu từ sao kê App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và sổ tay bán hàng thực tế là chìa khóa để phá vỡ rào cản bất đối xứng thông tin, đảm bảo tính xác thực của năng lực tài chính.</w:t>
      </w:r>
    </w:p>
    <w:p w14:paraId="00F4C426" w14:textId="77777777" w:rsidR="004A0BB7" w:rsidRPr="00A90E6A" w:rsidRDefault="004A0BB7" w:rsidP="00A47A26">
      <w:pPr>
        <w:tabs>
          <w:tab w:val="left" w:pos="6210"/>
        </w:tabs>
        <w:spacing w:after="0" w:line="360" w:lineRule="auto"/>
        <w:ind w:firstLine="567"/>
        <w:jc w:val="both"/>
        <w:rPr>
          <w:rFonts w:ascii="Times New Roman" w:hAnsi="Times New Roman" w:cs="Times New Roman"/>
          <w:color w:val="000000" w:themeColor="text1"/>
          <w:sz w:val="26"/>
          <w:szCs w:val="26"/>
          <w:lang w:val="vi-VN"/>
        </w:rPr>
      </w:pPr>
    </w:p>
    <w:p w14:paraId="2C2DDCBC" w14:textId="3E1841C1" w:rsidR="0066418D" w:rsidRPr="00A90E6A" w:rsidRDefault="0066418D" w:rsidP="0066418D">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lastRenderedPageBreak/>
        <w:t xml:space="preserve">Bước 3: Thẩm định thực địa và định lượng rủi </w:t>
      </w:r>
      <w:r w:rsidR="00123DC4" w:rsidRPr="00A90E6A">
        <w:rPr>
          <w:rFonts w:ascii="Times New Roman" w:hAnsi="Times New Roman" w:cs="Times New Roman"/>
          <w:b/>
          <w:bCs/>
          <w:color w:val="000000" w:themeColor="text1"/>
          <w:sz w:val="26"/>
          <w:szCs w:val="26"/>
          <w:lang w:val="vi-VN"/>
        </w:rPr>
        <w:t>ro.</w:t>
      </w:r>
    </w:p>
    <w:p w14:paraId="7679E9AA" w14:textId="64ECF93C" w:rsidR="0066418D" w:rsidRPr="00A90E6A" w:rsidRDefault="002B537C"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Chuyên viên quan hệ khách hàng</w:t>
      </w:r>
      <w:r w:rsidR="0066418D" w:rsidRPr="00A90E6A">
        <w:rPr>
          <w:rFonts w:ascii="Times New Roman" w:hAnsi="Times New Roman" w:cs="Times New Roman"/>
          <w:color w:val="000000" w:themeColor="text1"/>
          <w:sz w:val="26"/>
          <w:szCs w:val="26"/>
          <w:lang w:val="vi-VN"/>
        </w:rPr>
        <w:t xml:space="preserve"> tiến hành đi thị trường để xác minh quy mô sản xuất kinh doanh, lập báo cáo đề xuất tín dụng, tính toán dòng tiền thu nhập và định giá TSĐB theo giá thị trường. </w:t>
      </w:r>
      <w:r w:rsidR="00EC634A" w:rsidRPr="00A90E6A">
        <w:rPr>
          <w:rFonts w:ascii="Times New Roman" w:hAnsi="Times New Roman" w:cs="Times New Roman"/>
          <w:color w:val="000000" w:themeColor="text1"/>
          <w:sz w:val="26"/>
          <w:szCs w:val="26"/>
          <w:lang w:val="vi-VN"/>
        </w:rPr>
        <w:t>Đây là giai đoạn trọng yếu nhằm nhận diện, đánh giá và kiểm soát rủi ro tín dụng</w:t>
      </w:r>
      <w:r w:rsidR="0066418D" w:rsidRPr="00A90E6A">
        <w:rPr>
          <w:rFonts w:ascii="Times New Roman" w:hAnsi="Times New Roman" w:cs="Times New Roman"/>
          <w:color w:val="000000" w:themeColor="text1"/>
          <w:sz w:val="26"/>
          <w:szCs w:val="26"/>
          <w:lang w:val="vi-VN"/>
        </w:rPr>
        <w:t>.</w:t>
      </w:r>
      <w:r w:rsidR="00367E0C" w:rsidRPr="00A90E6A">
        <w:rPr>
          <w:rFonts w:ascii="Times New Roman" w:hAnsi="Times New Roman" w:cs="Times New Roman"/>
          <w:color w:val="000000" w:themeColor="text1"/>
          <w:sz w:val="26"/>
          <w:szCs w:val="26"/>
          <w:lang w:val="vi-VN"/>
        </w:rPr>
        <w:t xml:space="preserve"> Chuyên viên quan hệ khách hàng</w:t>
      </w:r>
      <w:r w:rsidR="0066418D" w:rsidRPr="00A90E6A">
        <w:rPr>
          <w:rFonts w:ascii="Times New Roman" w:hAnsi="Times New Roman" w:cs="Times New Roman"/>
          <w:color w:val="000000" w:themeColor="text1"/>
          <w:sz w:val="26"/>
          <w:szCs w:val="26"/>
          <w:lang w:val="vi-VN"/>
        </w:rPr>
        <w:t xml:space="preserve"> đóng vai trò là nhà phân tích rủi ro thực địa, tập trung vào khả năng chuyển hóa lợi nhuận thành dòng tiền trả nợ và tính thanh khoản của tài sản thế chấp để bảo vệ nguồn vốn của ngân hàng.</w:t>
      </w:r>
    </w:p>
    <w:p w14:paraId="3E062900" w14:textId="0B29D77C" w:rsidR="0066418D" w:rsidRPr="00A90E6A" w:rsidRDefault="0066418D" w:rsidP="0066418D">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Bước 4: Phê duyệt và kiểm soát quyền </w:t>
      </w:r>
      <w:r w:rsidR="00123DC4" w:rsidRPr="00A90E6A">
        <w:rPr>
          <w:rFonts w:ascii="Times New Roman" w:hAnsi="Times New Roman" w:cs="Times New Roman"/>
          <w:b/>
          <w:bCs/>
          <w:color w:val="000000" w:themeColor="text1"/>
          <w:sz w:val="26"/>
          <w:szCs w:val="26"/>
          <w:lang w:val="vi-VN"/>
        </w:rPr>
        <w:t>lực.</w:t>
      </w:r>
    </w:p>
    <w:p w14:paraId="0D5FC3CA" w14:textId="59E58C6A"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Hồ sơ được bộ phận kiểm soát rà soát trước khi trình hội đồng tín dụng hoặc Giám đốc chi nhánh ra quyết định phê duyệt. Cơ chế phê duyệt độc lập giúp loại bỏ tính cảm tính và rủi ro đạo đức của cá nhân </w:t>
      </w:r>
      <w:r w:rsidR="00367E0C" w:rsidRPr="00A90E6A">
        <w:rPr>
          <w:rFonts w:ascii="Times New Roman" w:hAnsi="Times New Roman" w:cs="Times New Roman"/>
          <w:color w:val="000000" w:themeColor="text1"/>
          <w:sz w:val="26"/>
          <w:szCs w:val="26"/>
          <w:lang w:val="vi-VN"/>
        </w:rPr>
        <w:t>Chuyên viên quan hệ khách hàng</w:t>
      </w:r>
      <w:r w:rsidRPr="00A90E6A">
        <w:rPr>
          <w:rFonts w:ascii="Times New Roman" w:hAnsi="Times New Roman" w:cs="Times New Roman"/>
          <w:color w:val="000000" w:themeColor="text1"/>
          <w:sz w:val="26"/>
          <w:szCs w:val="26"/>
          <w:lang w:val="vi-VN"/>
        </w:rPr>
        <w:t>. Quyết định cho vay được đưa ra dựa trên sự khách quan của các con số và tính tuân thủ quy trình, đảm bảo sự chặt chẽ trong hệ thống quản trị rủi ro của tổ chức.</w:t>
      </w:r>
    </w:p>
    <w:p w14:paraId="2DE6C73E" w14:textId="03AA4BDD" w:rsidR="0066418D" w:rsidRPr="00A90E6A" w:rsidRDefault="0066418D" w:rsidP="0066418D">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Bước 5: Ký kết hợp đồng và xác lập nghĩa vụ pháp </w:t>
      </w:r>
      <w:r w:rsidR="00123DC4" w:rsidRPr="00A90E6A">
        <w:rPr>
          <w:rFonts w:ascii="Times New Roman" w:hAnsi="Times New Roman" w:cs="Times New Roman"/>
          <w:b/>
          <w:bCs/>
          <w:color w:val="000000" w:themeColor="text1"/>
          <w:sz w:val="26"/>
          <w:szCs w:val="26"/>
          <w:lang w:val="vi-VN"/>
        </w:rPr>
        <w:t>lý.</w:t>
      </w:r>
    </w:p>
    <w:p w14:paraId="09766B78" w14:textId="77777777"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Ngân hàng và khách hàng ký kết hợp đồng tín dụng và hợp đồng thế chấp, thống nhất các điều khoản về lãi suất, phí và thời hạn. Đây không chỉ là thủ tục hành chính mà là bước minh bạch hóa thông tin. Việc tư vấn rõ quyền lợi và trách nhiệm giúp khách hàng hiểu đúng nghĩa vụ, từ đó giảm thiểu tối đa các tranh chấp và rủi ro pháp lý về sau.</w:t>
      </w:r>
    </w:p>
    <w:p w14:paraId="1F059B2F" w14:textId="11E2960D" w:rsidR="0066418D" w:rsidRPr="00A90E6A" w:rsidRDefault="0066418D" w:rsidP="0066418D">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Bước 6: Hoàn thiện hồ sơ pháp lý và bảo vệ quyền ưu </w:t>
      </w:r>
      <w:r w:rsidR="00123DC4" w:rsidRPr="00A90E6A">
        <w:rPr>
          <w:rFonts w:ascii="Times New Roman" w:hAnsi="Times New Roman" w:cs="Times New Roman"/>
          <w:b/>
          <w:bCs/>
          <w:color w:val="000000" w:themeColor="text1"/>
          <w:sz w:val="26"/>
          <w:szCs w:val="26"/>
          <w:lang w:val="vi-VN"/>
        </w:rPr>
        <w:t>tiên.</w:t>
      </w:r>
    </w:p>
    <w:p w14:paraId="351F2394" w14:textId="778938CD"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Thực hiện công chứng hợp đồng thế chấp và đăng ký giao dịch bảo đảm tại cơ quan chức năng. Bước này xác lập quyền chủ nợ ưu tiên hàng đầu </w:t>
      </w:r>
      <w:r w:rsidR="002B537C" w:rsidRPr="00A90E6A">
        <w:rPr>
          <w:rFonts w:ascii="Times New Roman" w:hAnsi="Times New Roman" w:cs="Times New Roman"/>
          <w:color w:val="000000" w:themeColor="text1"/>
          <w:sz w:val="26"/>
          <w:szCs w:val="26"/>
          <w:lang w:val="vi-VN"/>
        </w:rPr>
        <w:t xml:space="preserve">cho </w:t>
      </w:r>
      <w:r w:rsidR="001D64A8" w:rsidRPr="00A90E6A">
        <w:rPr>
          <w:rFonts w:ascii="Times New Roman" w:hAnsi="Times New Roman" w:cs="Times New Roman"/>
          <w:color w:val="000000" w:themeColor="text1"/>
          <w:sz w:val="26"/>
          <w:szCs w:val="26"/>
          <w:lang w:val="vi-VN"/>
        </w:rPr>
        <w:t xml:space="preserve">MB. </w:t>
      </w:r>
      <w:r w:rsidRPr="00A90E6A">
        <w:rPr>
          <w:rFonts w:ascii="Times New Roman" w:hAnsi="Times New Roman" w:cs="Times New Roman"/>
          <w:color w:val="000000" w:themeColor="text1"/>
          <w:sz w:val="26"/>
          <w:szCs w:val="26"/>
          <w:lang w:val="vi-VN"/>
        </w:rPr>
        <w:t>Trong quản trị rủi ro, đây là lá chắn pháp lý cuối cùng để ngân hàng có quyền xử lý tài sản xử lý nợ nếu khách hàng mất khả năng thanh toán.</w:t>
      </w:r>
    </w:p>
    <w:p w14:paraId="06A4C5E0" w14:textId="5F03F1EA" w:rsidR="0066418D" w:rsidRPr="00A90E6A" w:rsidRDefault="0066418D" w:rsidP="0066418D">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Bước 7: Giải ngân và hiệu quả vận </w:t>
      </w:r>
      <w:r w:rsidR="00123DC4" w:rsidRPr="00A90E6A">
        <w:rPr>
          <w:rFonts w:ascii="Times New Roman" w:hAnsi="Times New Roman" w:cs="Times New Roman"/>
          <w:b/>
          <w:bCs/>
          <w:color w:val="000000" w:themeColor="text1"/>
          <w:sz w:val="26"/>
          <w:szCs w:val="26"/>
          <w:lang w:val="vi-VN"/>
        </w:rPr>
        <w:t>hành.</w:t>
      </w:r>
    </w:p>
    <w:p w14:paraId="7A47E56F" w14:textId="7E580A6F"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Tiền được giải ngân vào tài khoản khách hàng hoặc bên thụ hưởng. </w:t>
      </w:r>
      <w:r w:rsidR="002B537C" w:rsidRPr="00A90E6A">
        <w:rPr>
          <w:rFonts w:ascii="Times New Roman" w:hAnsi="Times New Roman" w:cs="Times New Roman"/>
          <w:color w:val="000000" w:themeColor="text1"/>
          <w:sz w:val="26"/>
          <w:szCs w:val="26"/>
          <w:lang w:val="vi-VN"/>
        </w:rPr>
        <w:t xml:space="preserve">Tại MB Đà Nẵng </w:t>
      </w:r>
      <w:r w:rsidRPr="00A90E6A">
        <w:rPr>
          <w:rFonts w:ascii="Times New Roman" w:hAnsi="Times New Roman" w:cs="Times New Roman"/>
          <w:color w:val="000000" w:themeColor="text1"/>
          <w:sz w:val="26"/>
          <w:szCs w:val="26"/>
          <w:lang w:val="vi-VN"/>
        </w:rPr>
        <w:t>tốc độ giải ngân qua hệ thống nội bộ và App được ưu tiên hàng đầu. Tốc độ giải ngân là vũ khí cạnh tranh sắc bén giúp khách hàng kịp thời nắm bắt cơ hội kinh doanh. Ngân hàng chuyển dịch từ kiểm soát "trước" sang kiểm soát "trong" bằng cách kết hợp giải ngân nhanh với việc hậu kiểm chứng từ sử dụng vốn (hóa đơn, hợp đồng mua hàng).</w:t>
      </w:r>
    </w:p>
    <w:p w14:paraId="3339C2F8" w14:textId="07A51247" w:rsidR="0066418D" w:rsidRPr="00A90E6A" w:rsidRDefault="0066418D" w:rsidP="0066418D">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Bước 8: Giám sát sau vay và quản trị biến </w:t>
      </w:r>
      <w:r w:rsidR="00123DC4" w:rsidRPr="00A90E6A">
        <w:rPr>
          <w:rFonts w:ascii="Times New Roman" w:hAnsi="Times New Roman" w:cs="Times New Roman"/>
          <w:b/>
          <w:bCs/>
          <w:color w:val="000000" w:themeColor="text1"/>
          <w:sz w:val="26"/>
          <w:szCs w:val="26"/>
          <w:lang w:val="vi-VN"/>
        </w:rPr>
        <w:t>động.</w:t>
      </w:r>
    </w:p>
    <w:p w14:paraId="49F97072" w14:textId="6FB8F334" w:rsidR="0066418D" w:rsidRPr="00A90E6A" w:rsidRDefault="00E03725"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Chuyên viên quan hệ khách hàng</w:t>
      </w:r>
      <w:r w:rsidR="0066418D" w:rsidRPr="00A90E6A">
        <w:rPr>
          <w:rFonts w:ascii="Times New Roman" w:hAnsi="Times New Roman" w:cs="Times New Roman"/>
          <w:color w:val="000000" w:themeColor="text1"/>
          <w:sz w:val="26"/>
          <w:szCs w:val="26"/>
          <w:lang w:val="vi-VN"/>
        </w:rPr>
        <w:t xml:space="preserve"> theo dõi lịch trả nợ và định kỳ kiểm tra tình hình kinh doanh thực tế của khách hàng trong suốt thời hạn vay. </w:t>
      </w:r>
      <w:r w:rsidR="00EC634A" w:rsidRPr="00A90E6A">
        <w:rPr>
          <w:rFonts w:ascii="Times New Roman" w:hAnsi="Times New Roman" w:cs="Times New Roman"/>
          <w:color w:val="000000" w:themeColor="text1"/>
          <w:sz w:val="26"/>
          <w:szCs w:val="26"/>
          <w:lang w:val="vi-VN"/>
        </w:rPr>
        <w:t xml:space="preserve">Rủi ro tín dụng thường phát </w:t>
      </w:r>
      <w:r w:rsidR="00EC634A" w:rsidRPr="00A90E6A">
        <w:rPr>
          <w:rFonts w:ascii="Times New Roman" w:hAnsi="Times New Roman" w:cs="Times New Roman"/>
          <w:color w:val="000000" w:themeColor="text1"/>
          <w:sz w:val="26"/>
          <w:szCs w:val="26"/>
          <w:lang w:val="vi-VN"/>
        </w:rPr>
        <w:lastRenderedPageBreak/>
        <w:t>sinh sau khi khoản vay được giải ngân</w:t>
      </w:r>
      <w:r w:rsidR="0066418D" w:rsidRPr="00A90E6A">
        <w:rPr>
          <w:rFonts w:ascii="Times New Roman" w:hAnsi="Times New Roman" w:cs="Times New Roman"/>
          <w:color w:val="000000" w:themeColor="text1"/>
          <w:sz w:val="26"/>
          <w:szCs w:val="26"/>
          <w:lang w:val="vi-VN"/>
        </w:rPr>
        <w:t>. Việc giám sát liên tục giúp nhận diện sớm các dấu hiệu suy yếu tài chính để có phương án cơ cấu nợ kịp thời, ngăn chặn nợ nhóm nợ xấu trên hệ thống CIC.</w:t>
      </w:r>
    </w:p>
    <w:p w14:paraId="015BA2C7" w14:textId="11FE678D" w:rsidR="0066418D" w:rsidRPr="00A90E6A" w:rsidRDefault="0066418D" w:rsidP="0066418D">
      <w:pPr>
        <w:tabs>
          <w:tab w:val="left" w:pos="6210"/>
        </w:tabs>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Bước 9: Tất toán và tái vòng đời khách </w:t>
      </w:r>
      <w:r w:rsidR="00123DC4" w:rsidRPr="00A90E6A">
        <w:rPr>
          <w:rFonts w:ascii="Times New Roman" w:hAnsi="Times New Roman" w:cs="Times New Roman"/>
          <w:b/>
          <w:bCs/>
          <w:color w:val="000000" w:themeColor="text1"/>
          <w:sz w:val="26"/>
          <w:szCs w:val="26"/>
          <w:lang w:val="vi-VN"/>
        </w:rPr>
        <w:t>hàng.</w:t>
      </w:r>
    </w:p>
    <w:p w14:paraId="33806C35" w14:textId="77777777"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Khi tất toán xong nợ gốc và lãi, ngân hàng đóng khoản vay, giải chấp tài sản và trả lại bản gốc giấy tờ tài sản cho khách hàng. Đây là bước khép kín quy trình và mở ra cơ hội kinh doanh mới. Sự chuyên nghiệp trong khâu tất toán giúp nâng cao uy tín chi nhánh, tạo tiền đề để khai thác thêm các nhu cầu tài chính khác (bảo hiểm, thẻ tín dụng, vay mùa vụ tiếp theo), biến một khách hàng đơn thuần thành khách hàng trung thành.</w:t>
      </w:r>
    </w:p>
    <w:p w14:paraId="60C404C5" w14:textId="56665457" w:rsidR="0066418D" w:rsidRPr="00A90E6A" w:rsidRDefault="00AC5EE0" w:rsidP="00A0762B">
      <w:pPr>
        <w:tabs>
          <w:tab w:val="left" w:pos="6210"/>
        </w:tabs>
        <w:spacing w:after="0" w:line="360" w:lineRule="auto"/>
        <w:ind w:left="851" w:hanging="284"/>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b) </w:t>
      </w:r>
      <w:r w:rsidR="0066418D" w:rsidRPr="00A90E6A">
        <w:rPr>
          <w:rFonts w:ascii="Times New Roman" w:hAnsi="Times New Roman" w:cs="Times New Roman"/>
          <w:b/>
          <w:bCs/>
          <w:color w:val="000000" w:themeColor="text1"/>
          <w:sz w:val="26"/>
          <w:szCs w:val="26"/>
          <w:lang w:val="vi-VN"/>
        </w:rPr>
        <w:t xml:space="preserve">Đánh giá </w:t>
      </w:r>
      <w:r w:rsidR="00367E0C" w:rsidRPr="00A90E6A">
        <w:rPr>
          <w:rFonts w:ascii="Times New Roman" w:hAnsi="Times New Roman" w:cs="Times New Roman"/>
          <w:b/>
          <w:bCs/>
          <w:color w:val="000000" w:themeColor="text1"/>
          <w:sz w:val="26"/>
          <w:szCs w:val="26"/>
          <w:lang w:val="vi-VN"/>
        </w:rPr>
        <w:t xml:space="preserve">quy trình cho </w:t>
      </w:r>
      <w:r w:rsidR="00123DC4" w:rsidRPr="00A90E6A">
        <w:rPr>
          <w:rFonts w:ascii="Times New Roman" w:hAnsi="Times New Roman" w:cs="Times New Roman"/>
          <w:b/>
          <w:bCs/>
          <w:color w:val="000000" w:themeColor="text1"/>
          <w:sz w:val="26"/>
          <w:szCs w:val="26"/>
          <w:lang w:val="vi-VN"/>
        </w:rPr>
        <w:t>vay.</w:t>
      </w:r>
    </w:p>
    <w:p w14:paraId="29C8BF9A" w14:textId="77777777" w:rsidR="00393F1D" w:rsidRPr="00A90E6A" w:rsidRDefault="00393F1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quá trình triển khai quy trình cho vay khách hàng, có thể thấy hoạt động này đã đạt được nhiều kết quả tích cực về tổ chức thực hiện, ứng dụng công nghệ và kiểm soát rủi ro. Những kết quả này góp phần nâng cao hiệu quả hoạt động tín dụng cũng như chất lượng phục vụ khách hàng tại đơn vị.</w:t>
      </w:r>
    </w:p>
    <w:p w14:paraId="7315404A" w14:textId="1735E1B7"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Tính chặt chẽ và chuẩn hóa cao: Quy trình 9 bước thể hiện sự phân định trách nhiệm rõ ràng giữa các bộ phận (</w:t>
      </w:r>
      <w:r w:rsidR="00E03725" w:rsidRPr="00A90E6A">
        <w:rPr>
          <w:rFonts w:ascii="Times New Roman" w:hAnsi="Times New Roman" w:cs="Times New Roman"/>
          <w:color w:val="000000" w:themeColor="text1"/>
          <w:sz w:val="26"/>
          <w:szCs w:val="26"/>
          <w:lang w:val="vi-VN"/>
        </w:rPr>
        <w:t>Chuyên viên quan hệ khách hàng</w:t>
      </w:r>
      <w:r w:rsidRPr="00A90E6A">
        <w:rPr>
          <w:rFonts w:ascii="Times New Roman" w:hAnsi="Times New Roman" w:cs="Times New Roman"/>
          <w:color w:val="000000" w:themeColor="text1"/>
          <w:sz w:val="26"/>
          <w:szCs w:val="26"/>
          <w:lang w:val="vi-VN"/>
        </w:rPr>
        <w:t xml:space="preserve"> thẩm định - Hội đồng phê duyệt - Bộ phận hỗ trợ hoàn thiện hồ sơ). Điều này giúp giảm thiểu tối đa rủi ro đạo đức và sai sót tác nghiệp.</w:t>
      </w:r>
    </w:p>
    <w:p w14:paraId="115056F0" w14:textId="0D973FC4"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Ứng dụng công nghệ vượt trội: Việc tích hợp giải ngân (Bước 7) qua App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và các bước phê duyệt trên hệ thống tập trung giúp rút ngắn thời gian xử lý hồ sơ đáng kể so với các ngân hàng truyền thống. Đây là điểm cộng lớn cho khách hàng cần vốn gấp.</w:t>
      </w:r>
    </w:p>
    <w:p w14:paraId="5223F8FF" w14:textId="77777777"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Quản trị rủi ro đa tầng: Quy trình bảo đảm an toàn vốn từ khâu lọc CIC (Bước 1), thẩm định thực địa (Bước 3) cho đến biện pháp kỹ thuật là đăng ký giao dịch bảo đảm (Bước 6). Điều này giúp kiếm tra và đánh giá nợ xấu rất hiệu quả.</w:t>
      </w:r>
    </w:p>
    <w:p w14:paraId="4D68650C" w14:textId="2099EC66" w:rsidR="00393F1D" w:rsidRPr="00A90E6A" w:rsidRDefault="00393F1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Tuy nhiên, bên cạnh những kết quả đạt được, quy trình cho vay vẫn còn một số hạn chế cần khắc phục sau đây:</w:t>
      </w:r>
    </w:p>
    <w:p w14:paraId="2797E884" w14:textId="12FEA0B8"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Thời gian xử lý tại các khâu trung gian còn chậm: Dù giải ngân nhanh (Bước 7), nhưng các khâu như Bước 4 (Trình hội đồng) và Bước 6 (Hoàn thiện hồ sơ pháp lý) thường phụ thuộc vào các bên thứ ba. Điều này đôi khi làm kéo dài tổng thời gian từ lúc tiếp nhận đến lúc khách hàng nhận được tiền. Thời gian xử lí hồ sơ </w:t>
      </w:r>
      <w:r w:rsidR="00EC634A" w:rsidRPr="00A90E6A">
        <w:rPr>
          <w:rFonts w:ascii="Times New Roman" w:hAnsi="Times New Roman" w:cs="Times New Roman"/>
          <w:color w:val="000000" w:themeColor="text1"/>
          <w:sz w:val="26"/>
          <w:szCs w:val="26"/>
          <w:lang w:val="vi-VN"/>
        </w:rPr>
        <w:t xml:space="preserve">Chi nhánh Đà Nẵng </w:t>
      </w:r>
      <w:r w:rsidRPr="00A90E6A">
        <w:rPr>
          <w:rFonts w:ascii="Times New Roman" w:hAnsi="Times New Roman" w:cs="Times New Roman"/>
          <w:color w:val="000000" w:themeColor="text1"/>
          <w:sz w:val="26"/>
          <w:szCs w:val="26"/>
          <w:lang w:val="vi-VN"/>
        </w:rPr>
        <w:t>từ 2 đến 4 ngày.</w:t>
      </w:r>
    </w:p>
    <w:p w14:paraId="09BFE321" w14:textId="6202B781"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 xml:space="preserve">Áp lực lên </w:t>
      </w:r>
      <w:r w:rsidR="00D47274" w:rsidRPr="00A90E6A">
        <w:rPr>
          <w:rFonts w:ascii="Times New Roman" w:hAnsi="Times New Roman" w:cs="Times New Roman"/>
          <w:color w:val="000000" w:themeColor="text1"/>
          <w:sz w:val="26"/>
          <w:szCs w:val="26"/>
          <w:lang w:val="vi-VN"/>
        </w:rPr>
        <w:t xml:space="preserve">chuyên viên quan hệ khách hàng </w:t>
      </w:r>
      <w:r w:rsidRPr="00A90E6A">
        <w:rPr>
          <w:rFonts w:ascii="Times New Roman" w:hAnsi="Times New Roman" w:cs="Times New Roman"/>
          <w:color w:val="000000" w:themeColor="text1"/>
          <w:sz w:val="26"/>
          <w:szCs w:val="26"/>
          <w:lang w:val="vi-VN"/>
        </w:rPr>
        <w:t xml:space="preserve">quá lớn: Trong quy trình này, </w:t>
      </w:r>
      <w:r w:rsidR="00D47274" w:rsidRPr="00A90E6A">
        <w:rPr>
          <w:rFonts w:ascii="Times New Roman" w:hAnsi="Times New Roman" w:cs="Times New Roman"/>
          <w:color w:val="000000" w:themeColor="text1"/>
          <w:sz w:val="26"/>
          <w:szCs w:val="26"/>
          <w:lang w:val="vi-VN"/>
        </w:rPr>
        <w:t>chuyên viên quan hệ khách hàng</w:t>
      </w:r>
      <w:r w:rsidRPr="00A90E6A">
        <w:rPr>
          <w:rFonts w:ascii="Times New Roman" w:hAnsi="Times New Roman" w:cs="Times New Roman"/>
          <w:color w:val="000000" w:themeColor="text1"/>
          <w:sz w:val="26"/>
          <w:szCs w:val="26"/>
          <w:lang w:val="vi-VN"/>
        </w:rPr>
        <w:t xml:space="preserve"> đóng vai trò chủ chốt từ Bước 1 đến Bước 8. Việc vừa phải đi tìm khách hàng, vừa thẩm định thực địa, vừa hoàn thiện hồ sơ pháp lý dễ dẫn đến tình trạng quá tải, gây ra sai sót trong khâu đánh giá khách hàng (Bước 3).</w:t>
      </w:r>
    </w:p>
    <w:p w14:paraId="21790DEE" w14:textId="77777777" w:rsidR="0066418D" w:rsidRPr="00A90E6A" w:rsidRDefault="0066418D" w:rsidP="0066418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Khó khăn trong việc kiểm soát mục đích sử dụng vốn: Đối với hộ kinh doanh cá thể, tiền túi và tiền kinh doanh thường trộn lẫn. Việc quản lý sau cho vay để đảm bảo 100% vốn dùng đúng cho SXKD là cực kỳ khó khăn. Ngân hàng chủ yếu quản lý trên "hồ sơ" hơn là kiểm soát được dòng tiền thực tế sau khi giải ngân.</w:t>
      </w:r>
    </w:p>
    <w:p w14:paraId="30E1483A" w14:textId="4715E6B7" w:rsidR="00920989" w:rsidRPr="00A90E6A" w:rsidRDefault="00920989" w:rsidP="00030F69">
      <w:pPr>
        <w:pStyle w:val="Heading3"/>
        <w:numPr>
          <w:ilvl w:val="0"/>
          <w:numId w:val="5"/>
        </w:numPr>
        <w:tabs>
          <w:tab w:val="clear" w:pos="6210"/>
          <w:tab w:val="left" w:pos="1276"/>
        </w:tabs>
        <w:ind w:left="0" w:firstLine="567"/>
        <w:rPr>
          <w:i w:val="0"/>
          <w:iCs w:val="0"/>
          <w:color w:val="000000" w:themeColor="text1"/>
          <w:lang w:val="vi-VN"/>
        </w:rPr>
      </w:pPr>
      <w:bookmarkStart w:id="50" w:name="_Toc230962394"/>
      <w:r w:rsidRPr="00A90E6A">
        <w:rPr>
          <w:i w:val="0"/>
          <w:iCs w:val="0"/>
          <w:color w:val="000000" w:themeColor="text1"/>
          <w:lang w:val="vi-VN"/>
        </w:rPr>
        <w:t xml:space="preserve">So sánh sự khác nhau giữa </w:t>
      </w:r>
      <w:r w:rsidR="00123DC4" w:rsidRPr="00A90E6A">
        <w:rPr>
          <w:i w:val="0"/>
          <w:iCs w:val="0"/>
          <w:color w:val="000000" w:themeColor="text1"/>
          <w:lang w:val="vi-VN"/>
        </w:rPr>
        <w:t>quy định</w:t>
      </w:r>
      <w:r w:rsidRPr="00A90E6A">
        <w:rPr>
          <w:i w:val="0"/>
          <w:iCs w:val="0"/>
          <w:color w:val="000000" w:themeColor="text1"/>
          <w:lang w:val="vi-VN"/>
        </w:rPr>
        <w:t xml:space="preserve"> cho vay sản xuất kinh doanh đối với khách hàng cá nhân</w:t>
      </w:r>
      <w:r w:rsidR="00123DC4" w:rsidRPr="00A90E6A">
        <w:rPr>
          <w:i w:val="0"/>
          <w:iCs w:val="0"/>
          <w:color w:val="000000" w:themeColor="text1"/>
          <w:lang w:val="vi-VN"/>
        </w:rPr>
        <w:t xml:space="preserve"> của MB</w:t>
      </w:r>
      <w:r w:rsidRPr="00A90E6A">
        <w:rPr>
          <w:i w:val="0"/>
          <w:iCs w:val="0"/>
          <w:color w:val="000000" w:themeColor="text1"/>
          <w:lang w:val="vi-VN"/>
        </w:rPr>
        <w:t xml:space="preserve"> với các ngân hàng </w:t>
      </w:r>
      <w:r w:rsidR="00123DC4" w:rsidRPr="00A90E6A">
        <w:rPr>
          <w:i w:val="0"/>
          <w:iCs w:val="0"/>
          <w:color w:val="000000" w:themeColor="text1"/>
          <w:lang w:val="vi-VN"/>
        </w:rPr>
        <w:t>khác.</w:t>
      </w:r>
      <w:bookmarkEnd w:id="50"/>
    </w:p>
    <w:p w14:paraId="5477E8BE" w14:textId="0A9EEA82" w:rsidR="00384A23" w:rsidRPr="00A90E6A" w:rsidRDefault="00384A23" w:rsidP="004851C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Để làm rõ vị thế cạnh tranh của sản phẩm cho vay SXKD đối với KHCN tại</w:t>
      </w:r>
      <w:r w:rsidR="00A47A26" w:rsidRPr="00A90E6A">
        <w:rPr>
          <w:rFonts w:ascii="Times New Roman" w:hAnsi="Times New Roman" w:cs="Times New Roman"/>
          <w:color w:val="000000" w:themeColor="text1"/>
          <w:sz w:val="26"/>
          <w:szCs w:val="26"/>
          <w:lang w:val="vi-VN"/>
        </w:rPr>
        <w:t xml:space="preserve"> MB</w:t>
      </w:r>
      <w:r w:rsidRPr="00A90E6A">
        <w:rPr>
          <w:rFonts w:ascii="Times New Roman" w:hAnsi="Times New Roman" w:cs="Times New Roman"/>
          <w:color w:val="000000" w:themeColor="text1"/>
          <w:sz w:val="26"/>
          <w:szCs w:val="26"/>
          <w:lang w:val="vi-VN"/>
        </w:rPr>
        <w:t>, cần đặt sản phẩm này trong mối tương quan so sánh với nhóm ngân hàng các ngân hàng quốc doanh gồm V</w:t>
      </w:r>
      <w:r w:rsidR="00741F94" w:rsidRPr="00A90E6A">
        <w:rPr>
          <w:rFonts w:ascii="Times New Roman" w:hAnsi="Times New Roman" w:cs="Times New Roman"/>
          <w:color w:val="000000" w:themeColor="text1"/>
          <w:sz w:val="26"/>
          <w:szCs w:val="26"/>
          <w:lang w:val="vi-VN"/>
        </w:rPr>
        <w:t xml:space="preserve">ietcombank, </w:t>
      </w:r>
      <w:r w:rsidRPr="00A90E6A">
        <w:rPr>
          <w:rFonts w:ascii="Times New Roman" w:hAnsi="Times New Roman" w:cs="Times New Roman"/>
          <w:color w:val="000000" w:themeColor="text1"/>
          <w:sz w:val="26"/>
          <w:szCs w:val="26"/>
          <w:lang w:val="vi-VN"/>
        </w:rPr>
        <w:t>BIDV, Agribank thông qua các tiêu chí như hạn mức cho vay, lãi suất, điều kiện vay vốn, phương thức cho vay, tài sản bảo đảm, quy trình xử lý hồ sơ và mức độ linh hoạt trong chính sách tín dụng.</w:t>
      </w:r>
    </w:p>
    <w:p w14:paraId="1061ADDB" w14:textId="37607616" w:rsidR="00384A23" w:rsidRPr="00A90E6A" w:rsidRDefault="00384A23" w:rsidP="004851C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Xét về hạn mức và khả năng đáp ứng vốn, MB có tính linh hoạt cao hơn khi có thể tài trợ đến 80% giá trị tài sản bảo đảm và trong một số trường hợp có thể đáp ứng đến 100% nhu cầu vốn nếu khách hàng có dòng tiền tốt và lịch sử tín dụng tích cực. Trong khi đó, các ngân hàng Big4 thường kiểm soát hạn mức chặt chẽ hơn, chủ yếu dao động khoảng 70–80% giá trị tài sản bảo đảm và ít khi tài trợ toàn bộ nhu cầu vốn của khách hàng.</w:t>
      </w:r>
    </w:p>
    <w:p w14:paraId="4B48F3B7" w14:textId="15C16586" w:rsidR="00384A23" w:rsidRPr="00A90E6A" w:rsidRDefault="00384A23" w:rsidP="004851C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Về lãi suất, MB thường triển khai các gói vay ưu đãi với mức lãi suất khởi điểm khoảng 5,5%/năm trong giai đoạn ưu đãi, cạnh tranh tương đương hoặc thấp hơn so với Vietcombank và BIDV. Tuy nhiên, sau thời gian ưu đãi, lãi suất tại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có xu hướng điều chỉnh linh hoạt theo thị trường và mức độ rủi ro của khách hàng. Trong khi đó, các ngân hàng quốc doanh thường có mức lãi suất ổn định hơn nhưng điều kiện tiếp cận tín dụng lại tương đối chặt chẽ.</w:t>
      </w:r>
    </w:p>
    <w:p w14:paraId="3622E79A" w14:textId="2EC180A4" w:rsidR="00384A23" w:rsidRPr="00A90E6A" w:rsidRDefault="00384A23" w:rsidP="004851C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Xét về điều kiện vay vốn, MB có xu hướng linh hoạt hơn khi chấp nhận đa dạng nguồn thu nhập và đánh giá dựa trên dòng tiền thực tế từ hoạt động kinh doanh, kể cả đối với các hộ kinh doanh nhỏ lẻ chưa có hệ thống sổ sách kế toán đầy đủ. Đồng thời,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cũng đẩy mạnh ứng dụng công nghệ số trong tiếp nhận và xử lý hồ sơ vay vốn, giúp rút ngắn thời gian phê duyệt và giải ngân so với nhiều ngân hàng truyền thống.</w:t>
      </w:r>
    </w:p>
    <w:p w14:paraId="6AB1B031" w14:textId="1CD8BF08" w:rsidR="00384A23" w:rsidRPr="00A90E6A" w:rsidRDefault="00384A23" w:rsidP="004851C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 xml:space="preserve">Nhìn chung, so với </w:t>
      </w:r>
      <w:r w:rsidR="00741F94" w:rsidRPr="00A90E6A">
        <w:rPr>
          <w:rFonts w:ascii="Times New Roman" w:hAnsi="Times New Roman" w:cs="Times New Roman"/>
          <w:color w:val="000000" w:themeColor="text1"/>
          <w:sz w:val="26"/>
          <w:szCs w:val="26"/>
          <w:lang w:val="vi-VN"/>
        </w:rPr>
        <w:t>ngân hàng quốc doanh</w:t>
      </w:r>
      <w:r w:rsidRPr="00A90E6A">
        <w:rPr>
          <w:rFonts w:ascii="Times New Roman" w:hAnsi="Times New Roman" w:cs="Times New Roman"/>
          <w:color w:val="000000" w:themeColor="text1"/>
          <w:sz w:val="26"/>
          <w:szCs w:val="26"/>
          <w:lang w:val="vi-VN"/>
        </w:rPr>
        <w:t>, sản phẩm cho vay SXKD đối với KHCN tại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có lợi thế về tính linh hoạt trong chính sách tín dụng, khả năng tiếp cận vốn và tốc độ xử lý hồ sơ. Tuy nhiên, mức độ linh hoạt cao cũng đặt ra yêu cầu lớn hơn đối với công tác quản trị và kiểm soát rủi ro tín dụng.</w:t>
      </w:r>
    </w:p>
    <w:p w14:paraId="6C3D3433" w14:textId="2DB53C58" w:rsidR="00741F94" w:rsidRPr="00A90E6A" w:rsidRDefault="00741F94" w:rsidP="004851CA">
      <w:pPr>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color w:val="000000" w:themeColor="text1"/>
          <w:sz w:val="26"/>
          <w:szCs w:val="26"/>
          <w:lang w:val="vi-VN"/>
        </w:rPr>
        <w:t>Bên cạnh việc so sánh với các ngân hàng quốc doanh, sản phẩm cho vay SXKD đối với KHCN tại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cũng được đặt trong mối tương quan với một số ngân hàng TMCP có thế mạnh về khách hàng bán lẻ như ACB</w:t>
      </w:r>
      <w:r w:rsidRPr="00A90E6A">
        <w:rPr>
          <w:rFonts w:ascii="Times New Roman" w:hAnsi="Times New Roman" w:cs="Times New Roman"/>
          <w:b/>
          <w:bCs/>
          <w:i/>
          <w:iCs/>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và</w:t>
      </w:r>
      <w:r w:rsidRPr="00A90E6A">
        <w:rPr>
          <w:rFonts w:ascii="Times New Roman" w:hAnsi="Times New Roman" w:cs="Times New Roman"/>
          <w:b/>
          <w:bCs/>
          <w:i/>
          <w:iCs/>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Sacombank. Việc so sánh này giúp làm rõ sự khác biệt về mục đích cho vay, tỷ lệ đáp ứng nhu cầu vốn, tài sản bảo đảm, thời hạn cho vay và phương thức thu nợ giữa các ngân hàng, từ đó phản ánh rõ hơn mức độ linh hoạt cũng như khả năng cạnh tranh của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 xml:space="preserve">trong phân </w:t>
      </w:r>
      <w:r w:rsidR="00A63019" w:rsidRPr="00A90E6A">
        <w:rPr>
          <w:rFonts w:ascii="Times New Roman" w:hAnsi="Times New Roman" w:cs="Times New Roman"/>
          <w:color w:val="000000" w:themeColor="text1"/>
          <w:sz w:val="26"/>
          <w:szCs w:val="26"/>
          <w:lang w:val="vi-VN"/>
        </w:rPr>
        <w:t>khúc cho vay SXKD đối với KHCN</w:t>
      </w:r>
    </w:p>
    <w:p w14:paraId="0C11CF5C" w14:textId="133439E7" w:rsidR="00384A23" w:rsidRPr="00A90E6A" w:rsidRDefault="00384A23" w:rsidP="004851C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Xét về mục đích cho vay, MB và ACB tập trung chủ yếu vào nhu cầu bổ sung vốn lưu động và đầu tư tài sản cố định phục vụ hoạt động sản xuất kinh doanh. Trong khi đó, Sacombank triển khai phạm vi tài trợ rộng hơn khi ngoài bổ sung vốn lưu động còn hỗ trợ đầu tư máy móc thiết bị, cải tiến công nghệ và mở rộng nhà xưởng.</w:t>
      </w:r>
    </w:p>
    <w:p w14:paraId="7105333E" w14:textId="20D12990" w:rsidR="00384A23" w:rsidRPr="00A90E6A" w:rsidRDefault="00384A23" w:rsidP="004851C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Về khả năng đáp ứng vốn, MB có mức hỗ trợ vốn khá cao khi tài trợ tối đa 90% nhu cầu vốn và khoảng 80% giá trị tài sản bảo đảm. Trong khi đó, ACB chủ yếu căn cứ vào tài sản bảo đảm với mức tối đa khoảng 75% giá trị tài sản, còn Sacombank linh hoạt theo khả năng trả nợ và tài sản bảo đảm của khách hàng.</w:t>
      </w:r>
    </w:p>
    <w:p w14:paraId="629A9713" w14:textId="38F16C36" w:rsidR="00384A23" w:rsidRPr="00A90E6A" w:rsidRDefault="00384A23" w:rsidP="004851C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Xét về tài sản bảo đảm, Sacombank có danh mục tài sản bảo đảm đa dạng hơn khi chấp nhận cả hàng hóa, nguyên vật liệu, bán thành phẩm và thành phẩm bên cạnh bất động sản và máy móc thiết bị. Tuy nhiên, việc chấp nhận các tài sản có giá trị biến động mạnh cũng làm gia tăng rủi ro tín dụng. Trong khi đó, MB và ACB chủ yếu ưu tiên các tài sản có tính ổn định nhằm đảm bảo an toàn trong hoạt động tín dụng.</w:t>
      </w:r>
    </w:p>
    <w:p w14:paraId="7B0A7959" w14:textId="7745E442" w:rsidR="00384A23" w:rsidRPr="00A90E6A" w:rsidRDefault="00384A23" w:rsidP="004851C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Về thời hạn cho vay, MB quy định thời hạn ngắn hạn tối đa 24 tháng và trung dài hạn tối đa 15 năm, trong khi ACB có thời hạn cho vay tối đa khoảng 60 tháng, còn Sacombank áp dụng linh hoạt tùy thuộc vào từng phương án kinh doanh. Đồng thời, MB cũng áp dụng cơ chế thu nợ khá linh hoạt theo từng loại khoản vay, giúp khách hàng chủ động hơn trong quá trình sử dụng và hoàn trả vốn vay.</w:t>
      </w:r>
    </w:p>
    <w:p w14:paraId="3F45F673" w14:textId="34F1BD21" w:rsidR="00384A23" w:rsidRPr="00A90E6A" w:rsidRDefault="00384A23" w:rsidP="004851CA">
      <w:pPr>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color w:val="000000" w:themeColor="text1"/>
          <w:sz w:val="26"/>
          <w:szCs w:val="26"/>
          <w:lang w:val="vi-VN"/>
        </w:rPr>
        <w:t>Nhìn chung, so với ACB và Sacombank, sản phẩm cho vay SXKD đối với KHCN tại MB</w:t>
      </w:r>
      <w:r w:rsidR="0043394C" w:rsidRPr="00A90E6A">
        <w:rPr>
          <w:rFonts w:ascii="Times New Roman" w:hAnsi="Times New Roman" w:cs="Times New Roman"/>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 xml:space="preserve">có tính cạnh tranh khá tốt nhờ chính sách tín dụng rõ ràng, khả năng hỗ trợ vốn </w:t>
      </w:r>
      <w:r w:rsidRPr="00A90E6A">
        <w:rPr>
          <w:rFonts w:ascii="Times New Roman" w:hAnsi="Times New Roman" w:cs="Times New Roman"/>
          <w:color w:val="000000" w:themeColor="text1"/>
          <w:sz w:val="26"/>
          <w:szCs w:val="26"/>
          <w:lang w:val="vi-VN"/>
        </w:rPr>
        <w:lastRenderedPageBreak/>
        <w:t xml:space="preserve">cao và quy trình cho vay linh hoạt. Đây là cơ sở giúp MB nâng cao khả năng thu hút </w:t>
      </w:r>
      <w:r w:rsidR="00A63019" w:rsidRPr="00A90E6A">
        <w:rPr>
          <w:rFonts w:ascii="Times New Roman" w:hAnsi="Times New Roman" w:cs="Times New Roman"/>
          <w:color w:val="000000" w:themeColor="text1"/>
          <w:sz w:val="26"/>
          <w:szCs w:val="26"/>
          <w:lang w:val="vi-VN"/>
        </w:rPr>
        <w:t xml:space="preserve">KHCN </w:t>
      </w:r>
      <w:r w:rsidRPr="00A90E6A">
        <w:rPr>
          <w:rFonts w:ascii="Times New Roman" w:hAnsi="Times New Roman" w:cs="Times New Roman"/>
          <w:color w:val="000000" w:themeColor="text1"/>
          <w:sz w:val="26"/>
          <w:szCs w:val="26"/>
          <w:lang w:val="vi-VN"/>
        </w:rPr>
        <w:t>và mở rộng hoạt động tín dụng trong lĩnh vực sản xuất kinh doanh.</w:t>
      </w:r>
    </w:p>
    <w:p w14:paraId="748906BA" w14:textId="64B8A8FB" w:rsidR="00EE257B" w:rsidRPr="00A90E6A" w:rsidRDefault="00EE3755" w:rsidP="00030F69">
      <w:pPr>
        <w:pStyle w:val="Heading3"/>
        <w:numPr>
          <w:ilvl w:val="0"/>
          <w:numId w:val="5"/>
        </w:numPr>
        <w:tabs>
          <w:tab w:val="clear" w:pos="6210"/>
          <w:tab w:val="left" w:pos="1276"/>
        </w:tabs>
        <w:ind w:left="0" w:firstLine="567"/>
        <w:rPr>
          <w:i w:val="0"/>
          <w:iCs w:val="0"/>
          <w:color w:val="000000" w:themeColor="text1"/>
          <w:lang w:val="vi-VN"/>
        </w:rPr>
      </w:pPr>
      <w:bookmarkStart w:id="51" w:name="_Toc230962395"/>
      <w:r w:rsidRPr="00A90E6A">
        <w:rPr>
          <w:i w:val="0"/>
          <w:iCs w:val="0"/>
          <w:color w:val="000000" w:themeColor="text1"/>
          <w:lang w:val="vi-VN"/>
        </w:rPr>
        <w:t xml:space="preserve">Hiệu </w:t>
      </w:r>
      <w:r w:rsidR="00EE257B" w:rsidRPr="00A90E6A">
        <w:rPr>
          <w:i w:val="0"/>
          <w:iCs w:val="0"/>
          <w:color w:val="000000" w:themeColor="text1"/>
          <w:lang w:val="vi-VN"/>
        </w:rPr>
        <w:t xml:space="preserve">quả cho vay sản xuất kinh doanh đối với khách hàng cá nhân tại ngân hàng TMCP Quân đội – Chi nhánh Đà Nẵng </w:t>
      </w:r>
      <w:r w:rsidR="006555D9" w:rsidRPr="00A90E6A">
        <w:rPr>
          <w:i w:val="0"/>
          <w:iCs w:val="0"/>
          <w:color w:val="000000" w:themeColor="text1"/>
          <w:lang w:val="vi-VN"/>
        </w:rPr>
        <w:t xml:space="preserve">giai đoạn 2023 – </w:t>
      </w:r>
      <w:r w:rsidR="00BE2DA5" w:rsidRPr="00A90E6A">
        <w:rPr>
          <w:i w:val="0"/>
          <w:iCs w:val="0"/>
          <w:color w:val="000000" w:themeColor="text1"/>
          <w:lang w:val="vi-VN"/>
        </w:rPr>
        <w:t>2025.</w:t>
      </w:r>
      <w:bookmarkEnd w:id="51"/>
    </w:p>
    <w:p w14:paraId="0EAAC221" w14:textId="24FA4B84" w:rsidR="00FE1CD9" w:rsidRPr="00A90E6A" w:rsidRDefault="0006229F" w:rsidP="004E66A4">
      <w:pPr>
        <w:pStyle w:val="ListParagraph"/>
        <w:numPr>
          <w:ilvl w:val="0"/>
          <w:numId w:val="4"/>
        </w:numPr>
        <w:tabs>
          <w:tab w:val="left" w:pos="851"/>
        </w:tabs>
        <w:spacing w:after="0" w:line="360" w:lineRule="auto"/>
        <w:ind w:left="0"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Tình hình hoạt động </w:t>
      </w:r>
      <w:r w:rsidR="00EE257B" w:rsidRPr="00A90E6A">
        <w:rPr>
          <w:rFonts w:ascii="Times New Roman" w:hAnsi="Times New Roman" w:cs="Times New Roman"/>
          <w:b/>
          <w:bCs/>
          <w:color w:val="000000" w:themeColor="text1"/>
          <w:sz w:val="26"/>
          <w:szCs w:val="26"/>
          <w:lang w:val="vi-VN"/>
        </w:rPr>
        <w:t xml:space="preserve">cho vay </w:t>
      </w:r>
      <w:r w:rsidR="00A35895" w:rsidRPr="00A90E6A">
        <w:rPr>
          <w:rFonts w:ascii="Times New Roman" w:hAnsi="Times New Roman" w:cs="Times New Roman"/>
          <w:b/>
          <w:bCs/>
          <w:color w:val="000000" w:themeColor="text1"/>
          <w:sz w:val="26"/>
          <w:szCs w:val="26"/>
          <w:lang w:val="vi-VN"/>
        </w:rPr>
        <w:t xml:space="preserve">sản xuất kinh doanh đối với khách hàng cá nhân tại ngân hàng TMCP Quân đội – Chi nhánh Đà </w:t>
      </w:r>
      <w:r w:rsidR="00BE2DA5" w:rsidRPr="00A90E6A">
        <w:rPr>
          <w:rFonts w:ascii="Times New Roman" w:hAnsi="Times New Roman" w:cs="Times New Roman"/>
          <w:b/>
          <w:bCs/>
          <w:color w:val="000000" w:themeColor="text1"/>
          <w:sz w:val="26"/>
          <w:szCs w:val="26"/>
          <w:lang w:val="vi-VN"/>
        </w:rPr>
        <w:t>Nẵng.</w:t>
      </w:r>
    </w:p>
    <w:p w14:paraId="4A1DE7C4" w14:textId="780681B3" w:rsidR="00A35895" w:rsidRPr="00A90E6A" w:rsidRDefault="00B9762C" w:rsidP="00A35895">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Để đánh giá hoạt động cho vay SXKD đối với KHCN tại Ngân hàng TMCP Quân </w:t>
      </w:r>
      <w:r w:rsidR="0043394C" w:rsidRPr="00A90E6A">
        <w:rPr>
          <w:rFonts w:ascii="Times New Roman" w:hAnsi="Times New Roman" w:cs="Times New Roman"/>
          <w:color w:val="000000" w:themeColor="text1"/>
          <w:sz w:val="26"/>
          <w:szCs w:val="26"/>
          <w:lang w:val="vi-VN"/>
        </w:rPr>
        <w:t>đ</w:t>
      </w:r>
      <w:r w:rsidRPr="00A90E6A">
        <w:rPr>
          <w:rFonts w:ascii="Times New Roman" w:hAnsi="Times New Roman" w:cs="Times New Roman"/>
          <w:color w:val="000000" w:themeColor="text1"/>
          <w:sz w:val="26"/>
          <w:szCs w:val="26"/>
          <w:lang w:val="vi-VN"/>
        </w:rPr>
        <w:t>ội – Chi nhánh Đà Nẵng, cần xem xét các chỉ tiêu như doanh số cho vay, doanh số thu nợ, dư nợ và tỷ lệ nợ xấu. Những chỉ tiêu này phản ánh quy mô tăng trưởng và khả năng kiểm soát rủi ro tín dụng của ngân hàng. Trên cơ sở đó, Bảng 2.</w:t>
      </w:r>
      <w:r w:rsidR="00AF3CEE" w:rsidRPr="00A90E6A">
        <w:rPr>
          <w:rFonts w:ascii="Times New Roman" w:hAnsi="Times New Roman" w:cs="Times New Roman"/>
          <w:color w:val="000000" w:themeColor="text1"/>
          <w:sz w:val="26"/>
          <w:szCs w:val="26"/>
          <w:lang w:val="vi-VN"/>
        </w:rPr>
        <w:t>4</w:t>
      </w:r>
      <w:r w:rsidRPr="00A90E6A">
        <w:rPr>
          <w:rFonts w:ascii="Times New Roman" w:hAnsi="Times New Roman" w:cs="Times New Roman"/>
          <w:color w:val="000000" w:themeColor="text1"/>
          <w:sz w:val="26"/>
          <w:szCs w:val="26"/>
          <w:lang w:val="vi-VN"/>
        </w:rPr>
        <w:t xml:space="preserve"> được xây dựng nhằm tổng hợp tình hình cho vay SXKD đối với KHCN tại chi nhánh giai đoạn 2023–2025, làm cơ sở cho việc phân tích ở phần tiếp theo.</w:t>
      </w:r>
    </w:p>
    <w:p w14:paraId="7CD5B625" w14:textId="5640D4DF" w:rsidR="00A35895" w:rsidRPr="002B008A" w:rsidRDefault="00A35895" w:rsidP="00A35895">
      <w:pPr>
        <w:rPr>
          <w:rFonts w:ascii="Times New Roman" w:hAnsi="Times New Roman" w:cs="Times New Roman"/>
          <w:sz w:val="26"/>
          <w:szCs w:val="26"/>
          <w:lang w:val="vi-VN"/>
        </w:rPr>
        <w:sectPr w:rsidR="00A35895" w:rsidRPr="002B008A" w:rsidSect="009E0361">
          <w:pgSz w:w="11906" w:h="16838" w:code="9"/>
          <w:pgMar w:top="1134" w:right="1134" w:bottom="1134" w:left="1701" w:header="720" w:footer="720" w:gutter="0"/>
          <w:cols w:space="720"/>
          <w:docGrid w:linePitch="360"/>
        </w:sectPr>
      </w:pPr>
    </w:p>
    <w:p w14:paraId="0D985574" w14:textId="3193EDC9" w:rsidR="00FE1CD9" w:rsidRPr="002B008A" w:rsidRDefault="00EB0E27" w:rsidP="00237B80">
      <w:pPr>
        <w:pStyle w:val="Caption"/>
        <w:spacing w:after="0"/>
        <w:jc w:val="center"/>
        <w:rPr>
          <w:rFonts w:ascii="Times New Roman" w:hAnsi="Times New Roman" w:cs="Times New Roman"/>
          <w:b/>
          <w:bCs/>
          <w:color w:val="000000" w:themeColor="text1"/>
          <w:sz w:val="26"/>
          <w:szCs w:val="26"/>
          <w:lang w:val="vi-VN"/>
        </w:rPr>
      </w:pPr>
      <w:bookmarkStart w:id="52" w:name="_Toc230367580"/>
      <w:r w:rsidRPr="002B008A">
        <w:rPr>
          <w:rFonts w:ascii="Times New Roman" w:hAnsi="Times New Roman" w:cs="Times New Roman"/>
          <w:b/>
          <w:bCs/>
          <w:i w:val="0"/>
          <w:iCs w:val="0"/>
          <w:color w:val="000000" w:themeColor="text1"/>
          <w:sz w:val="26"/>
          <w:szCs w:val="26"/>
          <w:lang w:val="vi-VN"/>
        </w:rPr>
        <w:lastRenderedPageBreak/>
        <w:t>Bảng 2.</w:t>
      </w:r>
      <w:r w:rsidRPr="002B008A">
        <w:rPr>
          <w:rFonts w:ascii="Times New Roman" w:hAnsi="Times New Roman" w:cs="Times New Roman"/>
          <w:b/>
          <w:bCs/>
          <w:i w:val="0"/>
          <w:iCs w:val="0"/>
          <w:color w:val="000000" w:themeColor="text1"/>
          <w:sz w:val="26"/>
          <w:szCs w:val="26"/>
        </w:rPr>
        <w:fldChar w:fldCharType="begin"/>
      </w:r>
      <w:r w:rsidRPr="002B008A">
        <w:rPr>
          <w:rFonts w:ascii="Times New Roman" w:hAnsi="Times New Roman" w:cs="Times New Roman"/>
          <w:b/>
          <w:bCs/>
          <w:i w:val="0"/>
          <w:iCs w:val="0"/>
          <w:color w:val="000000" w:themeColor="text1"/>
          <w:sz w:val="26"/>
          <w:szCs w:val="26"/>
          <w:lang w:val="vi-VN"/>
        </w:rPr>
        <w:instrText xml:space="preserve"> SEQ Bảng_2. \* ARABIC </w:instrText>
      </w:r>
      <w:r w:rsidRPr="002B008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4</w:t>
      </w:r>
      <w:r w:rsidRPr="002B008A">
        <w:rPr>
          <w:rFonts w:ascii="Times New Roman" w:hAnsi="Times New Roman" w:cs="Times New Roman"/>
          <w:b/>
          <w:bCs/>
          <w:i w:val="0"/>
          <w:iCs w:val="0"/>
          <w:color w:val="000000" w:themeColor="text1"/>
          <w:sz w:val="26"/>
          <w:szCs w:val="26"/>
        </w:rPr>
        <w:fldChar w:fldCharType="end"/>
      </w:r>
      <w:r w:rsidRPr="002B008A">
        <w:rPr>
          <w:rFonts w:ascii="Times New Roman" w:hAnsi="Times New Roman" w:cs="Times New Roman"/>
          <w:b/>
          <w:bCs/>
          <w:color w:val="000000" w:themeColor="text1"/>
          <w:sz w:val="26"/>
          <w:szCs w:val="26"/>
          <w:lang w:val="vi-VN"/>
        </w:rPr>
        <w:t xml:space="preserve"> </w:t>
      </w:r>
      <w:r w:rsidR="00FE1CD9" w:rsidRPr="002B008A">
        <w:rPr>
          <w:rFonts w:ascii="Times New Roman" w:hAnsi="Times New Roman" w:cs="Times New Roman"/>
          <w:b/>
          <w:bCs/>
          <w:i w:val="0"/>
          <w:iCs w:val="0"/>
          <w:color w:val="000000" w:themeColor="text1"/>
          <w:sz w:val="26"/>
          <w:szCs w:val="26"/>
          <w:lang w:val="vi-VN"/>
        </w:rPr>
        <w:t xml:space="preserve">Tình hình hoạt động cho vay sản xuất kinh doanh đối với khách hàng cá nhân tại Ngân hàng TMCP Quân đội – Chi nhánh Đà </w:t>
      </w:r>
      <w:r w:rsidR="00BE2DA5" w:rsidRPr="002B008A">
        <w:rPr>
          <w:rFonts w:ascii="Times New Roman" w:hAnsi="Times New Roman" w:cs="Times New Roman"/>
          <w:b/>
          <w:bCs/>
          <w:i w:val="0"/>
          <w:iCs w:val="0"/>
          <w:color w:val="000000" w:themeColor="text1"/>
          <w:sz w:val="26"/>
          <w:szCs w:val="26"/>
          <w:lang w:val="vi-VN"/>
        </w:rPr>
        <w:t>Nẵng.</w:t>
      </w:r>
      <w:bookmarkEnd w:id="52"/>
    </w:p>
    <w:p w14:paraId="1D283447" w14:textId="06EB8C7C" w:rsidR="00FE1CD9" w:rsidRPr="002B008A" w:rsidRDefault="00FE1CD9" w:rsidP="00237B80">
      <w:pPr>
        <w:tabs>
          <w:tab w:val="left" w:pos="6210"/>
        </w:tabs>
        <w:spacing w:after="0" w:line="240" w:lineRule="auto"/>
        <w:ind w:firstLine="567"/>
        <w:jc w:val="right"/>
        <w:rPr>
          <w:rFonts w:ascii="Times New Roman" w:hAnsi="Times New Roman" w:cs="Times New Roman"/>
          <w:i/>
          <w:iCs/>
          <w:color w:val="000000" w:themeColor="text1"/>
          <w:sz w:val="26"/>
          <w:szCs w:val="26"/>
          <w:lang w:val="vi-VN"/>
        </w:rPr>
      </w:pPr>
      <w:r w:rsidRPr="002B008A">
        <w:rPr>
          <w:rFonts w:ascii="Times New Roman" w:hAnsi="Times New Roman" w:cs="Times New Roman"/>
          <w:i/>
          <w:iCs/>
          <w:color w:val="000000" w:themeColor="text1"/>
          <w:sz w:val="26"/>
          <w:szCs w:val="26"/>
          <w:lang w:val="vi-VN"/>
        </w:rPr>
        <w:t>Đ</w:t>
      </w:r>
      <w:r w:rsidR="00F01711" w:rsidRPr="002B008A">
        <w:rPr>
          <w:rFonts w:ascii="Times New Roman" w:hAnsi="Times New Roman" w:cs="Times New Roman"/>
          <w:i/>
          <w:iCs/>
          <w:color w:val="000000" w:themeColor="text1"/>
          <w:sz w:val="26"/>
          <w:szCs w:val="26"/>
        </w:rPr>
        <w:t>ơn vị tính</w:t>
      </w:r>
      <w:r w:rsidRPr="002B008A">
        <w:rPr>
          <w:rFonts w:ascii="Times New Roman" w:hAnsi="Times New Roman" w:cs="Times New Roman"/>
          <w:i/>
          <w:iCs/>
          <w:color w:val="000000" w:themeColor="text1"/>
          <w:sz w:val="26"/>
          <w:szCs w:val="26"/>
          <w:lang w:val="vi-VN"/>
        </w:rPr>
        <w:t>: Tỷ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3"/>
        <w:gridCol w:w="1063"/>
        <w:gridCol w:w="1206"/>
        <w:gridCol w:w="1030"/>
        <w:gridCol w:w="1094"/>
        <w:gridCol w:w="1131"/>
        <w:gridCol w:w="1170"/>
        <w:gridCol w:w="1198"/>
        <w:gridCol w:w="971"/>
        <w:gridCol w:w="1119"/>
        <w:gridCol w:w="1038"/>
      </w:tblGrid>
      <w:tr w:rsidR="00FE1CD9" w:rsidRPr="00237B80" w14:paraId="7A0D14DA" w14:textId="77777777" w:rsidTr="006E7480">
        <w:trPr>
          <w:trHeight w:val="20"/>
        </w:trPr>
        <w:tc>
          <w:tcPr>
            <w:tcW w:w="1062" w:type="pct"/>
            <w:vMerge w:val="restart"/>
            <w:shd w:val="clear" w:color="000000" w:fill="DDEBF7"/>
            <w:noWrap/>
            <w:vAlign w:val="center"/>
            <w:hideMark/>
          </w:tcPr>
          <w:p w14:paraId="282EB33E"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Chỉ tiêu</w:t>
            </w:r>
          </w:p>
        </w:tc>
        <w:tc>
          <w:tcPr>
            <w:tcW w:w="811" w:type="pct"/>
            <w:gridSpan w:val="2"/>
            <w:shd w:val="clear" w:color="000000" w:fill="DDEBF7"/>
            <w:noWrap/>
            <w:vAlign w:val="center"/>
            <w:hideMark/>
          </w:tcPr>
          <w:p w14:paraId="229F21D9"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Năm 2023</w:t>
            </w:r>
          </w:p>
        </w:tc>
        <w:tc>
          <w:tcPr>
            <w:tcW w:w="759" w:type="pct"/>
            <w:gridSpan w:val="2"/>
            <w:shd w:val="clear" w:color="000000" w:fill="DDEBF7"/>
            <w:noWrap/>
            <w:vAlign w:val="center"/>
            <w:hideMark/>
          </w:tcPr>
          <w:p w14:paraId="4DE250E1"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Năm 2024</w:t>
            </w:r>
          </w:p>
        </w:tc>
        <w:tc>
          <w:tcPr>
            <w:tcW w:w="822" w:type="pct"/>
            <w:gridSpan w:val="2"/>
            <w:shd w:val="clear" w:color="000000" w:fill="DDEBF7"/>
            <w:noWrap/>
            <w:vAlign w:val="center"/>
            <w:hideMark/>
          </w:tcPr>
          <w:p w14:paraId="7E45B9C7"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Năm 2025</w:t>
            </w:r>
          </w:p>
        </w:tc>
        <w:tc>
          <w:tcPr>
            <w:tcW w:w="775" w:type="pct"/>
            <w:gridSpan w:val="2"/>
            <w:shd w:val="clear" w:color="000000" w:fill="DDEBF7"/>
            <w:noWrap/>
            <w:vAlign w:val="center"/>
            <w:hideMark/>
          </w:tcPr>
          <w:p w14:paraId="53F4F2AA"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Chênh lệch 2024/2023</w:t>
            </w:r>
          </w:p>
        </w:tc>
        <w:tc>
          <w:tcPr>
            <w:tcW w:w="771" w:type="pct"/>
            <w:gridSpan w:val="2"/>
            <w:shd w:val="clear" w:color="000000" w:fill="DDEBF7"/>
            <w:noWrap/>
            <w:vAlign w:val="center"/>
            <w:hideMark/>
          </w:tcPr>
          <w:p w14:paraId="770E48D5"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Chênh lệch 2025/2024</w:t>
            </w:r>
          </w:p>
        </w:tc>
      </w:tr>
      <w:tr w:rsidR="00FE1CD9" w:rsidRPr="00237B80" w14:paraId="4DA5E6B3" w14:textId="77777777" w:rsidTr="006E7480">
        <w:trPr>
          <w:trHeight w:val="20"/>
        </w:trPr>
        <w:tc>
          <w:tcPr>
            <w:tcW w:w="1062" w:type="pct"/>
            <w:vMerge/>
            <w:vAlign w:val="center"/>
            <w:hideMark/>
          </w:tcPr>
          <w:p w14:paraId="62E5EA9A"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p>
        </w:tc>
        <w:tc>
          <w:tcPr>
            <w:tcW w:w="380" w:type="pct"/>
            <w:shd w:val="clear" w:color="000000" w:fill="DDEBF7"/>
            <w:noWrap/>
            <w:vAlign w:val="center"/>
            <w:hideMark/>
          </w:tcPr>
          <w:p w14:paraId="2965F614"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Số tiền</w:t>
            </w:r>
          </w:p>
        </w:tc>
        <w:tc>
          <w:tcPr>
            <w:tcW w:w="431" w:type="pct"/>
            <w:shd w:val="clear" w:color="000000" w:fill="DDEBF7"/>
            <w:noWrap/>
            <w:vAlign w:val="center"/>
            <w:hideMark/>
          </w:tcPr>
          <w:p w14:paraId="479E38D4"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Tỷ trọng (%)</w:t>
            </w:r>
          </w:p>
        </w:tc>
        <w:tc>
          <w:tcPr>
            <w:tcW w:w="368" w:type="pct"/>
            <w:shd w:val="clear" w:color="000000" w:fill="DDEBF7"/>
            <w:noWrap/>
            <w:vAlign w:val="center"/>
            <w:hideMark/>
          </w:tcPr>
          <w:p w14:paraId="1BF6F582"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 xml:space="preserve">Số tiền </w:t>
            </w:r>
          </w:p>
        </w:tc>
        <w:tc>
          <w:tcPr>
            <w:tcW w:w="391" w:type="pct"/>
            <w:shd w:val="clear" w:color="000000" w:fill="DDEBF7"/>
            <w:noWrap/>
            <w:vAlign w:val="center"/>
            <w:hideMark/>
          </w:tcPr>
          <w:p w14:paraId="6C35438E"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Tỷ trọng (%)</w:t>
            </w:r>
          </w:p>
        </w:tc>
        <w:tc>
          <w:tcPr>
            <w:tcW w:w="404" w:type="pct"/>
            <w:shd w:val="clear" w:color="000000" w:fill="DDEBF7"/>
            <w:noWrap/>
            <w:vAlign w:val="center"/>
            <w:hideMark/>
          </w:tcPr>
          <w:p w14:paraId="526D9BCA"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Số tiền</w:t>
            </w:r>
          </w:p>
        </w:tc>
        <w:tc>
          <w:tcPr>
            <w:tcW w:w="418" w:type="pct"/>
            <w:shd w:val="clear" w:color="000000" w:fill="DDEBF7"/>
            <w:noWrap/>
            <w:vAlign w:val="center"/>
            <w:hideMark/>
          </w:tcPr>
          <w:p w14:paraId="51FE824D"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Tỷ trọng (%)</w:t>
            </w:r>
          </w:p>
        </w:tc>
        <w:tc>
          <w:tcPr>
            <w:tcW w:w="428" w:type="pct"/>
            <w:shd w:val="clear" w:color="000000" w:fill="DDEBF7"/>
            <w:noWrap/>
            <w:vAlign w:val="center"/>
            <w:hideMark/>
          </w:tcPr>
          <w:p w14:paraId="2BD9AFB9"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Số tiền</w:t>
            </w:r>
          </w:p>
        </w:tc>
        <w:tc>
          <w:tcPr>
            <w:tcW w:w="347" w:type="pct"/>
            <w:shd w:val="clear" w:color="000000" w:fill="DDEBF7"/>
            <w:noWrap/>
            <w:vAlign w:val="center"/>
            <w:hideMark/>
          </w:tcPr>
          <w:p w14:paraId="59370753"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Tỷ lệ (%)</w:t>
            </w:r>
          </w:p>
        </w:tc>
        <w:tc>
          <w:tcPr>
            <w:tcW w:w="400" w:type="pct"/>
            <w:shd w:val="clear" w:color="000000" w:fill="DDEBF7"/>
            <w:noWrap/>
            <w:vAlign w:val="center"/>
            <w:hideMark/>
          </w:tcPr>
          <w:p w14:paraId="2F20E10E"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Số tiền</w:t>
            </w:r>
          </w:p>
        </w:tc>
        <w:tc>
          <w:tcPr>
            <w:tcW w:w="371" w:type="pct"/>
            <w:shd w:val="clear" w:color="000000" w:fill="DDEBF7"/>
            <w:noWrap/>
            <w:vAlign w:val="center"/>
            <w:hideMark/>
          </w:tcPr>
          <w:p w14:paraId="1B66B120"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Tỷ lệ (%)</w:t>
            </w:r>
          </w:p>
        </w:tc>
      </w:tr>
      <w:tr w:rsidR="00FE1CD9" w:rsidRPr="00237B80" w14:paraId="3E71D928" w14:textId="77777777" w:rsidTr="006E7480">
        <w:trPr>
          <w:trHeight w:val="20"/>
        </w:trPr>
        <w:tc>
          <w:tcPr>
            <w:tcW w:w="1062" w:type="pct"/>
            <w:noWrap/>
            <w:vAlign w:val="center"/>
            <w:hideMark/>
          </w:tcPr>
          <w:p w14:paraId="70904534"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 Doanh số cho vay</w:t>
            </w:r>
          </w:p>
        </w:tc>
        <w:tc>
          <w:tcPr>
            <w:tcW w:w="380" w:type="pct"/>
            <w:noWrap/>
            <w:vAlign w:val="center"/>
            <w:hideMark/>
          </w:tcPr>
          <w:p w14:paraId="69BBD679"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1.773</w:t>
            </w:r>
          </w:p>
        </w:tc>
        <w:tc>
          <w:tcPr>
            <w:tcW w:w="431" w:type="pct"/>
            <w:noWrap/>
            <w:vAlign w:val="center"/>
            <w:hideMark/>
          </w:tcPr>
          <w:p w14:paraId="661FC017"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368" w:type="pct"/>
            <w:noWrap/>
            <w:vAlign w:val="center"/>
            <w:hideMark/>
          </w:tcPr>
          <w:p w14:paraId="6B190DEA"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2.088</w:t>
            </w:r>
          </w:p>
        </w:tc>
        <w:tc>
          <w:tcPr>
            <w:tcW w:w="391" w:type="pct"/>
            <w:noWrap/>
            <w:vAlign w:val="center"/>
            <w:hideMark/>
          </w:tcPr>
          <w:p w14:paraId="3B37C8DD"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404" w:type="pct"/>
            <w:noWrap/>
            <w:vAlign w:val="center"/>
            <w:hideMark/>
          </w:tcPr>
          <w:p w14:paraId="66218DB1"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2.460</w:t>
            </w:r>
          </w:p>
        </w:tc>
        <w:tc>
          <w:tcPr>
            <w:tcW w:w="418" w:type="pct"/>
            <w:noWrap/>
            <w:vAlign w:val="center"/>
            <w:hideMark/>
          </w:tcPr>
          <w:p w14:paraId="30459D1D"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428" w:type="pct"/>
            <w:noWrap/>
            <w:vAlign w:val="center"/>
            <w:hideMark/>
          </w:tcPr>
          <w:p w14:paraId="79A924E4"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val="vi-VN"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315</w:t>
            </w:r>
          </w:p>
        </w:tc>
        <w:tc>
          <w:tcPr>
            <w:tcW w:w="347" w:type="pct"/>
            <w:noWrap/>
            <w:vAlign w:val="center"/>
            <w:hideMark/>
          </w:tcPr>
          <w:p w14:paraId="68F94A58"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17,77</w:t>
            </w:r>
          </w:p>
        </w:tc>
        <w:tc>
          <w:tcPr>
            <w:tcW w:w="400" w:type="pct"/>
            <w:noWrap/>
            <w:vAlign w:val="center"/>
            <w:hideMark/>
          </w:tcPr>
          <w:p w14:paraId="3EA5F43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val="vi-VN"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372</w:t>
            </w:r>
          </w:p>
        </w:tc>
        <w:tc>
          <w:tcPr>
            <w:tcW w:w="371" w:type="pct"/>
            <w:noWrap/>
            <w:vAlign w:val="center"/>
            <w:hideMark/>
          </w:tcPr>
          <w:p w14:paraId="7F962762"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17,82</w:t>
            </w:r>
          </w:p>
        </w:tc>
      </w:tr>
      <w:tr w:rsidR="00FE1CD9" w:rsidRPr="00237B80" w14:paraId="62B4939A" w14:textId="77777777" w:rsidTr="006E7480">
        <w:trPr>
          <w:trHeight w:val="20"/>
        </w:trPr>
        <w:tc>
          <w:tcPr>
            <w:tcW w:w="1062" w:type="pct"/>
            <w:noWrap/>
            <w:vAlign w:val="bottom"/>
            <w:hideMark/>
          </w:tcPr>
          <w:p w14:paraId="30A4A56E"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Khách hàng cá nhân</w:t>
            </w:r>
          </w:p>
        </w:tc>
        <w:tc>
          <w:tcPr>
            <w:tcW w:w="380" w:type="pct"/>
            <w:vAlign w:val="center"/>
            <w:hideMark/>
          </w:tcPr>
          <w:p w14:paraId="376B34E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838,77</w:t>
            </w:r>
          </w:p>
        </w:tc>
        <w:tc>
          <w:tcPr>
            <w:tcW w:w="431" w:type="pct"/>
            <w:noWrap/>
            <w:vAlign w:val="center"/>
            <w:hideMark/>
          </w:tcPr>
          <w:p w14:paraId="26D8F70E"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47,31</w:t>
            </w:r>
          </w:p>
        </w:tc>
        <w:tc>
          <w:tcPr>
            <w:tcW w:w="368" w:type="pct"/>
            <w:vAlign w:val="center"/>
            <w:hideMark/>
          </w:tcPr>
          <w:p w14:paraId="6C8AA0F6"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1.116,76</w:t>
            </w:r>
          </w:p>
        </w:tc>
        <w:tc>
          <w:tcPr>
            <w:tcW w:w="391" w:type="pct"/>
            <w:noWrap/>
            <w:vAlign w:val="center"/>
            <w:hideMark/>
          </w:tcPr>
          <w:p w14:paraId="1D4DE52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53,48</w:t>
            </w:r>
          </w:p>
        </w:tc>
        <w:tc>
          <w:tcPr>
            <w:tcW w:w="404" w:type="pct"/>
            <w:vAlign w:val="center"/>
            <w:hideMark/>
          </w:tcPr>
          <w:p w14:paraId="505C85F2"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1.378,65</w:t>
            </w:r>
          </w:p>
        </w:tc>
        <w:tc>
          <w:tcPr>
            <w:tcW w:w="418" w:type="pct"/>
            <w:noWrap/>
            <w:vAlign w:val="center"/>
            <w:hideMark/>
          </w:tcPr>
          <w:p w14:paraId="088B7606"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56,04</w:t>
            </w:r>
          </w:p>
        </w:tc>
        <w:tc>
          <w:tcPr>
            <w:tcW w:w="428" w:type="pct"/>
            <w:noWrap/>
            <w:vAlign w:val="center"/>
            <w:hideMark/>
          </w:tcPr>
          <w:p w14:paraId="693B873D"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277,99</w:t>
            </w:r>
          </w:p>
        </w:tc>
        <w:tc>
          <w:tcPr>
            <w:tcW w:w="347" w:type="pct"/>
            <w:noWrap/>
            <w:vAlign w:val="center"/>
            <w:hideMark/>
          </w:tcPr>
          <w:p w14:paraId="2BC01ECE"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33,14</w:t>
            </w:r>
          </w:p>
        </w:tc>
        <w:tc>
          <w:tcPr>
            <w:tcW w:w="400" w:type="pct"/>
            <w:noWrap/>
            <w:vAlign w:val="center"/>
            <w:hideMark/>
          </w:tcPr>
          <w:p w14:paraId="046A910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261,89</w:t>
            </w:r>
          </w:p>
        </w:tc>
        <w:tc>
          <w:tcPr>
            <w:tcW w:w="371" w:type="pct"/>
            <w:noWrap/>
            <w:vAlign w:val="center"/>
            <w:hideMark/>
          </w:tcPr>
          <w:p w14:paraId="074AFC10"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23,45</w:t>
            </w:r>
          </w:p>
        </w:tc>
      </w:tr>
      <w:tr w:rsidR="00FE1CD9" w:rsidRPr="00237B80" w14:paraId="7EE51C09" w14:textId="77777777" w:rsidTr="006E7480">
        <w:trPr>
          <w:trHeight w:val="20"/>
        </w:trPr>
        <w:tc>
          <w:tcPr>
            <w:tcW w:w="1062" w:type="pct"/>
            <w:noWrap/>
            <w:vAlign w:val="center"/>
            <w:hideMark/>
          </w:tcPr>
          <w:p w14:paraId="448F7813"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sản xuất kinh doanh</w:t>
            </w:r>
          </w:p>
        </w:tc>
        <w:tc>
          <w:tcPr>
            <w:tcW w:w="380" w:type="pct"/>
            <w:vAlign w:val="center"/>
            <w:hideMark/>
          </w:tcPr>
          <w:p w14:paraId="4EFE57C7"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308,64</w:t>
            </w:r>
          </w:p>
        </w:tc>
        <w:tc>
          <w:tcPr>
            <w:tcW w:w="431" w:type="pct"/>
            <w:noWrap/>
            <w:vAlign w:val="center"/>
            <w:hideMark/>
          </w:tcPr>
          <w:p w14:paraId="0E7A5632"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36,80</w:t>
            </w:r>
          </w:p>
        </w:tc>
        <w:tc>
          <w:tcPr>
            <w:tcW w:w="368" w:type="pct"/>
            <w:vAlign w:val="center"/>
            <w:hideMark/>
          </w:tcPr>
          <w:p w14:paraId="06497B08"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417,28</w:t>
            </w:r>
          </w:p>
        </w:tc>
        <w:tc>
          <w:tcPr>
            <w:tcW w:w="391" w:type="pct"/>
            <w:noWrap/>
            <w:vAlign w:val="center"/>
            <w:hideMark/>
          </w:tcPr>
          <w:p w14:paraId="4C01A498"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37,37</w:t>
            </w:r>
          </w:p>
        </w:tc>
        <w:tc>
          <w:tcPr>
            <w:tcW w:w="404" w:type="pct"/>
            <w:vAlign w:val="center"/>
            <w:hideMark/>
          </w:tcPr>
          <w:p w14:paraId="76142804"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512,73</w:t>
            </w:r>
          </w:p>
        </w:tc>
        <w:tc>
          <w:tcPr>
            <w:tcW w:w="418" w:type="pct"/>
            <w:noWrap/>
            <w:vAlign w:val="center"/>
            <w:hideMark/>
          </w:tcPr>
          <w:p w14:paraId="7E50289F"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37,19</w:t>
            </w:r>
          </w:p>
        </w:tc>
        <w:tc>
          <w:tcPr>
            <w:tcW w:w="428" w:type="pct"/>
            <w:noWrap/>
            <w:vAlign w:val="center"/>
            <w:hideMark/>
          </w:tcPr>
          <w:p w14:paraId="64334FAD"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108,64</w:t>
            </w:r>
          </w:p>
        </w:tc>
        <w:tc>
          <w:tcPr>
            <w:tcW w:w="347" w:type="pct"/>
            <w:noWrap/>
            <w:vAlign w:val="center"/>
            <w:hideMark/>
          </w:tcPr>
          <w:p w14:paraId="1F8479B0"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35,20</w:t>
            </w:r>
          </w:p>
        </w:tc>
        <w:tc>
          <w:tcPr>
            <w:tcW w:w="400" w:type="pct"/>
            <w:noWrap/>
            <w:vAlign w:val="center"/>
            <w:hideMark/>
          </w:tcPr>
          <w:p w14:paraId="383D269C"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95,45</w:t>
            </w:r>
          </w:p>
        </w:tc>
        <w:tc>
          <w:tcPr>
            <w:tcW w:w="371" w:type="pct"/>
            <w:noWrap/>
            <w:vAlign w:val="center"/>
            <w:hideMark/>
          </w:tcPr>
          <w:p w14:paraId="1CFF0810"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22,87</w:t>
            </w:r>
          </w:p>
        </w:tc>
      </w:tr>
      <w:tr w:rsidR="00FE1CD9" w:rsidRPr="00237B80" w14:paraId="3853D8F0" w14:textId="77777777" w:rsidTr="006E7480">
        <w:trPr>
          <w:trHeight w:val="20"/>
        </w:trPr>
        <w:tc>
          <w:tcPr>
            <w:tcW w:w="1062" w:type="pct"/>
            <w:noWrap/>
            <w:vAlign w:val="center"/>
            <w:hideMark/>
          </w:tcPr>
          <w:p w14:paraId="36717763"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tiêu dùng</w:t>
            </w:r>
          </w:p>
        </w:tc>
        <w:tc>
          <w:tcPr>
            <w:tcW w:w="380" w:type="pct"/>
            <w:shd w:val="clear" w:color="000000" w:fill="FFFFFF"/>
            <w:noWrap/>
            <w:vAlign w:val="center"/>
            <w:hideMark/>
          </w:tcPr>
          <w:p w14:paraId="39FDDD05"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530,13</w:t>
            </w:r>
          </w:p>
        </w:tc>
        <w:tc>
          <w:tcPr>
            <w:tcW w:w="431" w:type="pct"/>
            <w:noWrap/>
            <w:vAlign w:val="center"/>
            <w:hideMark/>
          </w:tcPr>
          <w:p w14:paraId="5B14CA4D"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63,20</w:t>
            </w:r>
          </w:p>
        </w:tc>
        <w:tc>
          <w:tcPr>
            <w:tcW w:w="368" w:type="pct"/>
            <w:noWrap/>
            <w:vAlign w:val="center"/>
            <w:hideMark/>
          </w:tcPr>
          <w:p w14:paraId="47A1E2BC"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699,48</w:t>
            </w:r>
          </w:p>
        </w:tc>
        <w:tc>
          <w:tcPr>
            <w:tcW w:w="391" w:type="pct"/>
            <w:noWrap/>
            <w:vAlign w:val="center"/>
            <w:hideMark/>
          </w:tcPr>
          <w:p w14:paraId="28841C51"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62,63</w:t>
            </w:r>
          </w:p>
        </w:tc>
        <w:tc>
          <w:tcPr>
            <w:tcW w:w="404" w:type="pct"/>
            <w:noWrap/>
            <w:vAlign w:val="center"/>
            <w:hideMark/>
          </w:tcPr>
          <w:p w14:paraId="6F3F16FB"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865,92</w:t>
            </w:r>
          </w:p>
        </w:tc>
        <w:tc>
          <w:tcPr>
            <w:tcW w:w="418" w:type="pct"/>
            <w:noWrap/>
            <w:vAlign w:val="center"/>
            <w:hideMark/>
          </w:tcPr>
          <w:p w14:paraId="626186EE"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62,81</w:t>
            </w:r>
          </w:p>
        </w:tc>
        <w:tc>
          <w:tcPr>
            <w:tcW w:w="428" w:type="pct"/>
            <w:noWrap/>
            <w:vAlign w:val="center"/>
            <w:hideMark/>
          </w:tcPr>
          <w:p w14:paraId="52823A17"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169,35</w:t>
            </w:r>
          </w:p>
        </w:tc>
        <w:tc>
          <w:tcPr>
            <w:tcW w:w="347" w:type="pct"/>
            <w:noWrap/>
            <w:vAlign w:val="center"/>
            <w:hideMark/>
          </w:tcPr>
          <w:p w14:paraId="68FB7831"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31,94</w:t>
            </w:r>
          </w:p>
        </w:tc>
        <w:tc>
          <w:tcPr>
            <w:tcW w:w="400" w:type="pct"/>
            <w:noWrap/>
            <w:vAlign w:val="center"/>
            <w:hideMark/>
          </w:tcPr>
          <w:p w14:paraId="123EE8F7"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166,44</w:t>
            </w:r>
          </w:p>
        </w:tc>
        <w:tc>
          <w:tcPr>
            <w:tcW w:w="371" w:type="pct"/>
            <w:noWrap/>
            <w:vAlign w:val="center"/>
            <w:hideMark/>
          </w:tcPr>
          <w:p w14:paraId="127BF432"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23,79</w:t>
            </w:r>
          </w:p>
        </w:tc>
      </w:tr>
      <w:tr w:rsidR="00FE1CD9" w:rsidRPr="00237B80" w14:paraId="428BB0E7" w14:textId="77777777" w:rsidTr="006E7480">
        <w:trPr>
          <w:trHeight w:val="20"/>
        </w:trPr>
        <w:tc>
          <w:tcPr>
            <w:tcW w:w="1062" w:type="pct"/>
            <w:noWrap/>
            <w:vAlign w:val="bottom"/>
            <w:hideMark/>
          </w:tcPr>
          <w:p w14:paraId="03B64090"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 xml:space="preserve">Khách hàng doanh nghiệp </w:t>
            </w:r>
          </w:p>
        </w:tc>
        <w:tc>
          <w:tcPr>
            <w:tcW w:w="380" w:type="pct"/>
            <w:noWrap/>
            <w:vAlign w:val="center"/>
            <w:hideMark/>
          </w:tcPr>
          <w:p w14:paraId="01D791D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934,23</w:t>
            </w:r>
          </w:p>
        </w:tc>
        <w:tc>
          <w:tcPr>
            <w:tcW w:w="431" w:type="pct"/>
            <w:noWrap/>
            <w:vAlign w:val="center"/>
            <w:hideMark/>
          </w:tcPr>
          <w:p w14:paraId="460250BA"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52,69</w:t>
            </w:r>
          </w:p>
        </w:tc>
        <w:tc>
          <w:tcPr>
            <w:tcW w:w="368" w:type="pct"/>
            <w:noWrap/>
            <w:vAlign w:val="center"/>
            <w:hideMark/>
          </w:tcPr>
          <w:p w14:paraId="61DFB9D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971,24</w:t>
            </w:r>
          </w:p>
        </w:tc>
        <w:tc>
          <w:tcPr>
            <w:tcW w:w="391" w:type="pct"/>
            <w:noWrap/>
            <w:vAlign w:val="center"/>
            <w:hideMark/>
          </w:tcPr>
          <w:p w14:paraId="5EE8C4B8"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46,52</w:t>
            </w:r>
          </w:p>
        </w:tc>
        <w:tc>
          <w:tcPr>
            <w:tcW w:w="404" w:type="pct"/>
            <w:noWrap/>
            <w:vAlign w:val="center"/>
            <w:hideMark/>
          </w:tcPr>
          <w:p w14:paraId="22CFA45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1.081</w:t>
            </w:r>
          </w:p>
        </w:tc>
        <w:tc>
          <w:tcPr>
            <w:tcW w:w="418" w:type="pct"/>
            <w:noWrap/>
            <w:vAlign w:val="center"/>
            <w:hideMark/>
          </w:tcPr>
          <w:p w14:paraId="12E104EA"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43,94</w:t>
            </w:r>
          </w:p>
        </w:tc>
        <w:tc>
          <w:tcPr>
            <w:tcW w:w="428" w:type="pct"/>
            <w:noWrap/>
            <w:vAlign w:val="center"/>
            <w:hideMark/>
          </w:tcPr>
          <w:p w14:paraId="5D862DE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37,01</w:t>
            </w:r>
          </w:p>
        </w:tc>
        <w:tc>
          <w:tcPr>
            <w:tcW w:w="347" w:type="pct"/>
            <w:noWrap/>
            <w:vAlign w:val="center"/>
            <w:hideMark/>
          </w:tcPr>
          <w:p w14:paraId="7F9C70F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3,96</w:t>
            </w:r>
          </w:p>
        </w:tc>
        <w:tc>
          <w:tcPr>
            <w:tcW w:w="400" w:type="pct"/>
            <w:noWrap/>
            <w:vAlign w:val="center"/>
            <w:hideMark/>
          </w:tcPr>
          <w:p w14:paraId="2FA61FA7"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109,76</w:t>
            </w:r>
          </w:p>
        </w:tc>
        <w:tc>
          <w:tcPr>
            <w:tcW w:w="371" w:type="pct"/>
            <w:noWrap/>
            <w:vAlign w:val="center"/>
            <w:hideMark/>
          </w:tcPr>
          <w:p w14:paraId="1319096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11,30</w:t>
            </w:r>
          </w:p>
        </w:tc>
      </w:tr>
      <w:tr w:rsidR="00FE1CD9" w:rsidRPr="00237B80" w14:paraId="1E1CF2AC" w14:textId="77777777" w:rsidTr="006E7480">
        <w:trPr>
          <w:trHeight w:val="20"/>
        </w:trPr>
        <w:tc>
          <w:tcPr>
            <w:tcW w:w="1062" w:type="pct"/>
            <w:noWrap/>
            <w:vAlign w:val="bottom"/>
            <w:hideMark/>
          </w:tcPr>
          <w:p w14:paraId="040E75FF"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 Doanh số thu nợ</w:t>
            </w:r>
          </w:p>
        </w:tc>
        <w:tc>
          <w:tcPr>
            <w:tcW w:w="380" w:type="pct"/>
            <w:noWrap/>
            <w:vAlign w:val="center"/>
            <w:hideMark/>
          </w:tcPr>
          <w:p w14:paraId="39D17694"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val="vi-VN"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1.225</w:t>
            </w:r>
          </w:p>
        </w:tc>
        <w:tc>
          <w:tcPr>
            <w:tcW w:w="431" w:type="pct"/>
            <w:noWrap/>
            <w:vAlign w:val="center"/>
            <w:hideMark/>
          </w:tcPr>
          <w:p w14:paraId="33BED56C"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val="vi-VN"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368" w:type="pct"/>
            <w:noWrap/>
            <w:vAlign w:val="center"/>
            <w:hideMark/>
          </w:tcPr>
          <w:p w14:paraId="3B0E58EA"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1.417,0</w:t>
            </w:r>
          </w:p>
        </w:tc>
        <w:tc>
          <w:tcPr>
            <w:tcW w:w="391" w:type="pct"/>
            <w:noWrap/>
            <w:vAlign w:val="center"/>
            <w:hideMark/>
          </w:tcPr>
          <w:p w14:paraId="3075EA31"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404" w:type="pct"/>
            <w:noWrap/>
            <w:vAlign w:val="center"/>
            <w:hideMark/>
          </w:tcPr>
          <w:p w14:paraId="36A623D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val="vi-VN"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1.650</w:t>
            </w:r>
          </w:p>
        </w:tc>
        <w:tc>
          <w:tcPr>
            <w:tcW w:w="418" w:type="pct"/>
            <w:noWrap/>
            <w:vAlign w:val="center"/>
            <w:hideMark/>
          </w:tcPr>
          <w:p w14:paraId="1EB9678A"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428" w:type="pct"/>
            <w:noWrap/>
            <w:vAlign w:val="center"/>
            <w:hideMark/>
          </w:tcPr>
          <w:p w14:paraId="49C5E5B6"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val="vi-VN"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192</w:t>
            </w:r>
          </w:p>
        </w:tc>
        <w:tc>
          <w:tcPr>
            <w:tcW w:w="347" w:type="pct"/>
            <w:noWrap/>
            <w:vAlign w:val="center"/>
            <w:hideMark/>
          </w:tcPr>
          <w:p w14:paraId="480A430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15,67</w:t>
            </w:r>
          </w:p>
        </w:tc>
        <w:tc>
          <w:tcPr>
            <w:tcW w:w="400" w:type="pct"/>
            <w:noWrap/>
            <w:vAlign w:val="center"/>
            <w:hideMark/>
          </w:tcPr>
          <w:p w14:paraId="4CB9F0B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val="vi-VN"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233</w:t>
            </w:r>
          </w:p>
        </w:tc>
        <w:tc>
          <w:tcPr>
            <w:tcW w:w="371" w:type="pct"/>
            <w:noWrap/>
            <w:vAlign w:val="center"/>
            <w:hideMark/>
          </w:tcPr>
          <w:p w14:paraId="14550E94"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16,44</w:t>
            </w:r>
          </w:p>
        </w:tc>
      </w:tr>
      <w:tr w:rsidR="00FE1CD9" w:rsidRPr="00237B80" w14:paraId="4627485D" w14:textId="77777777" w:rsidTr="006E7480">
        <w:trPr>
          <w:trHeight w:val="20"/>
        </w:trPr>
        <w:tc>
          <w:tcPr>
            <w:tcW w:w="1062" w:type="pct"/>
            <w:noWrap/>
            <w:vAlign w:val="bottom"/>
            <w:hideMark/>
          </w:tcPr>
          <w:p w14:paraId="57967F15"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Khách hàng cá nhân</w:t>
            </w:r>
          </w:p>
        </w:tc>
        <w:tc>
          <w:tcPr>
            <w:tcW w:w="380" w:type="pct"/>
            <w:noWrap/>
            <w:vAlign w:val="center"/>
            <w:hideMark/>
          </w:tcPr>
          <w:p w14:paraId="43963739"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554,85</w:t>
            </w:r>
          </w:p>
        </w:tc>
        <w:tc>
          <w:tcPr>
            <w:tcW w:w="431" w:type="pct"/>
            <w:noWrap/>
            <w:vAlign w:val="center"/>
            <w:hideMark/>
          </w:tcPr>
          <w:p w14:paraId="74D16370"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45,3</w:t>
            </w:r>
          </w:p>
        </w:tc>
        <w:tc>
          <w:tcPr>
            <w:tcW w:w="368" w:type="pct"/>
            <w:noWrap/>
            <w:vAlign w:val="center"/>
            <w:hideMark/>
          </w:tcPr>
          <w:p w14:paraId="1FE0C8C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764,27</w:t>
            </w:r>
          </w:p>
        </w:tc>
        <w:tc>
          <w:tcPr>
            <w:tcW w:w="391" w:type="pct"/>
            <w:noWrap/>
            <w:vAlign w:val="center"/>
            <w:hideMark/>
          </w:tcPr>
          <w:p w14:paraId="0D84704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53,9</w:t>
            </w:r>
          </w:p>
        </w:tc>
        <w:tc>
          <w:tcPr>
            <w:tcW w:w="404" w:type="pct"/>
            <w:noWrap/>
            <w:vAlign w:val="center"/>
            <w:hideMark/>
          </w:tcPr>
          <w:p w14:paraId="2CD3839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947,08</w:t>
            </w:r>
          </w:p>
        </w:tc>
        <w:tc>
          <w:tcPr>
            <w:tcW w:w="418" w:type="pct"/>
            <w:noWrap/>
            <w:vAlign w:val="center"/>
            <w:hideMark/>
          </w:tcPr>
          <w:p w14:paraId="496D36F7"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57,40</w:t>
            </w:r>
          </w:p>
        </w:tc>
        <w:tc>
          <w:tcPr>
            <w:tcW w:w="428" w:type="pct"/>
            <w:noWrap/>
            <w:vAlign w:val="center"/>
            <w:hideMark/>
          </w:tcPr>
          <w:p w14:paraId="7DE27127"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209,42</w:t>
            </w:r>
          </w:p>
        </w:tc>
        <w:tc>
          <w:tcPr>
            <w:tcW w:w="347" w:type="pct"/>
            <w:noWrap/>
            <w:vAlign w:val="center"/>
            <w:hideMark/>
          </w:tcPr>
          <w:p w14:paraId="731BD3A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37,74</w:t>
            </w:r>
          </w:p>
        </w:tc>
        <w:tc>
          <w:tcPr>
            <w:tcW w:w="400" w:type="pct"/>
            <w:noWrap/>
            <w:vAlign w:val="center"/>
            <w:hideMark/>
          </w:tcPr>
          <w:p w14:paraId="0D94DDC8"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182,81</w:t>
            </w:r>
          </w:p>
        </w:tc>
        <w:tc>
          <w:tcPr>
            <w:tcW w:w="371" w:type="pct"/>
            <w:noWrap/>
            <w:vAlign w:val="center"/>
            <w:hideMark/>
          </w:tcPr>
          <w:p w14:paraId="230D0937"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23,92</w:t>
            </w:r>
          </w:p>
        </w:tc>
      </w:tr>
      <w:tr w:rsidR="00FE1CD9" w:rsidRPr="00237B80" w14:paraId="7D6ECFAB" w14:textId="77777777" w:rsidTr="006E7480">
        <w:trPr>
          <w:trHeight w:val="20"/>
        </w:trPr>
        <w:tc>
          <w:tcPr>
            <w:tcW w:w="1062" w:type="pct"/>
            <w:noWrap/>
            <w:vAlign w:val="center"/>
            <w:hideMark/>
          </w:tcPr>
          <w:p w14:paraId="6C0FF944"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sản xuất kinh doanh</w:t>
            </w:r>
          </w:p>
        </w:tc>
        <w:tc>
          <w:tcPr>
            <w:tcW w:w="380" w:type="pct"/>
            <w:noWrap/>
            <w:vAlign w:val="center"/>
            <w:hideMark/>
          </w:tcPr>
          <w:p w14:paraId="3BDA8B9B"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214,3</w:t>
            </w:r>
          </w:p>
        </w:tc>
        <w:tc>
          <w:tcPr>
            <w:tcW w:w="431" w:type="pct"/>
            <w:noWrap/>
            <w:vAlign w:val="center"/>
            <w:hideMark/>
          </w:tcPr>
          <w:p w14:paraId="4A2A9459"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38,62</w:t>
            </w:r>
          </w:p>
        </w:tc>
        <w:tc>
          <w:tcPr>
            <w:tcW w:w="368" w:type="pct"/>
            <w:noWrap/>
            <w:vAlign w:val="center"/>
            <w:hideMark/>
          </w:tcPr>
          <w:p w14:paraId="5E89E868"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283,91</w:t>
            </w:r>
          </w:p>
        </w:tc>
        <w:tc>
          <w:tcPr>
            <w:tcW w:w="391" w:type="pct"/>
            <w:noWrap/>
            <w:vAlign w:val="center"/>
            <w:hideMark/>
          </w:tcPr>
          <w:p w14:paraId="6BA5C1F5"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37,15</w:t>
            </w:r>
          </w:p>
        </w:tc>
        <w:tc>
          <w:tcPr>
            <w:tcW w:w="404" w:type="pct"/>
            <w:noWrap/>
            <w:vAlign w:val="center"/>
            <w:hideMark/>
          </w:tcPr>
          <w:p w14:paraId="510ECE96"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346,48</w:t>
            </w:r>
          </w:p>
        </w:tc>
        <w:tc>
          <w:tcPr>
            <w:tcW w:w="418" w:type="pct"/>
            <w:noWrap/>
            <w:vAlign w:val="center"/>
            <w:hideMark/>
          </w:tcPr>
          <w:p w14:paraId="401830A0"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36,58</w:t>
            </w:r>
          </w:p>
        </w:tc>
        <w:tc>
          <w:tcPr>
            <w:tcW w:w="428" w:type="pct"/>
            <w:noWrap/>
            <w:vAlign w:val="center"/>
            <w:hideMark/>
          </w:tcPr>
          <w:p w14:paraId="7B0E45AF"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69,61</w:t>
            </w:r>
          </w:p>
        </w:tc>
        <w:tc>
          <w:tcPr>
            <w:tcW w:w="347" w:type="pct"/>
            <w:noWrap/>
            <w:vAlign w:val="center"/>
            <w:hideMark/>
          </w:tcPr>
          <w:p w14:paraId="6D94496D"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32,48</w:t>
            </w:r>
          </w:p>
        </w:tc>
        <w:tc>
          <w:tcPr>
            <w:tcW w:w="400" w:type="pct"/>
            <w:noWrap/>
            <w:vAlign w:val="center"/>
            <w:hideMark/>
          </w:tcPr>
          <w:p w14:paraId="6CD1C85D"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62,57</w:t>
            </w:r>
          </w:p>
        </w:tc>
        <w:tc>
          <w:tcPr>
            <w:tcW w:w="371" w:type="pct"/>
            <w:noWrap/>
            <w:vAlign w:val="center"/>
            <w:hideMark/>
          </w:tcPr>
          <w:p w14:paraId="47009C09"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22,04</w:t>
            </w:r>
          </w:p>
        </w:tc>
      </w:tr>
      <w:tr w:rsidR="00FE1CD9" w:rsidRPr="00237B80" w14:paraId="71EC18D4" w14:textId="77777777" w:rsidTr="006E7480">
        <w:trPr>
          <w:trHeight w:val="20"/>
        </w:trPr>
        <w:tc>
          <w:tcPr>
            <w:tcW w:w="1062" w:type="pct"/>
            <w:noWrap/>
            <w:vAlign w:val="center"/>
            <w:hideMark/>
          </w:tcPr>
          <w:p w14:paraId="1F21E17D"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tiêu dùng</w:t>
            </w:r>
          </w:p>
        </w:tc>
        <w:tc>
          <w:tcPr>
            <w:tcW w:w="380" w:type="pct"/>
            <w:noWrap/>
            <w:vAlign w:val="center"/>
            <w:hideMark/>
          </w:tcPr>
          <w:p w14:paraId="71D43061"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340,55</w:t>
            </w:r>
          </w:p>
        </w:tc>
        <w:tc>
          <w:tcPr>
            <w:tcW w:w="431" w:type="pct"/>
            <w:noWrap/>
            <w:vAlign w:val="center"/>
            <w:hideMark/>
          </w:tcPr>
          <w:p w14:paraId="7450ED60"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61,38</w:t>
            </w:r>
          </w:p>
        </w:tc>
        <w:tc>
          <w:tcPr>
            <w:tcW w:w="368" w:type="pct"/>
            <w:noWrap/>
            <w:vAlign w:val="center"/>
            <w:hideMark/>
          </w:tcPr>
          <w:p w14:paraId="5FAF6AB1"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480,36</w:t>
            </w:r>
          </w:p>
        </w:tc>
        <w:tc>
          <w:tcPr>
            <w:tcW w:w="391" w:type="pct"/>
            <w:noWrap/>
            <w:vAlign w:val="center"/>
            <w:hideMark/>
          </w:tcPr>
          <w:p w14:paraId="679CFB04"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62,85</w:t>
            </w:r>
          </w:p>
        </w:tc>
        <w:tc>
          <w:tcPr>
            <w:tcW w:w="404" w:type="pct"/>
            <w:noWrap/>
            <w:vAlign w:val="center"/>
            <w:hideMark/>
          </w:tcPr>
          <w:p w14:paraId="0C56A5D1"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600,6</w:t>
            </w:r>
          </w:p>
        </w:tc>
        <w:tc>
          <w:tcPr>
            <w:tcW w:w="418" w:type="pct"/>
            <w:noWrap/>
            <w:vAlign w:val="center"/>
            <w:hideMark/>
          </w:tcPr>
          <w:p w14:paraId="732402D6"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63,42</w:t>
            </w:r>
          </w:p>
        </w:tc>
        <w:tc>
          <w:tcPr>
            <w:tcW w:w="428" w:type="pct"/>
            <w:noWrap/>
            <w:vAlign w:val="center"/>
            <w:hideMark/>
          </w:tcPr>
          <w:p w14:paraId="478DC99F"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139,81</w:t>
            </w:r>
          </w:p>
        </w:tc>
        <w:tc>
          <w:tcPr>
            <w:tcW w:w="347" w:type="pct"/>
            <w:noWrap/>
            <w:vAlign w:val="center"/>
            <w:hideMark/>
          </w:tcPr>
          <w:p w14:paraId="257CB899"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41,05</w:t>
            </w:r>
          </w:p>
        </w:tc>
        <w:tc>
          <w:tcPr>
            <w:tcW w:w="400" w:type="pct"/>
            <w:noWrap/>
            <w:vAlign w:val="center"/>
            <w:hideMark/>
          </w:tcPr>
          <w:p w14:paraId="3CC28546"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120,24</w:t>
            </w:r>
          </w:p>
        </w:tc>
        <w:tc>
          <w:tcPr>
            <w:tcW w:w="371" w:type="pct"/>
            <w:noWrap/>
            <w:vAlign w:val="center"/>
            <w:hideMark/>
          </w:tcPr>
          <w:p w14:paraId="0D7F910B"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25,03</w:t>
            </w:r>
          </w:p>
        </w:tc>
      </w:tr>
      <w:tr w:rsidR="00FE1CD9" w:rsidRPr="00237B80" w14:paraId="60C24DF7" w14:textId="77777777" w:rsidTr="006E7480">
        <w:trPr>
          <w:trHeight w:val="20"/>
        </w:trPr>
        <w:tc>
          <w:tcPr>
            <w:tcW w:w="1062" w:type="pct"/>
            <w:noWrap/>
            <w:vAlign w:val="bottom"/>
            <w:hideMark/>
          </w:tcPr>
          <w:p w14:paraId="098161F3"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 xml:space="preserve">Khách hàng doanh nghiệp </w:t>
            </w:r>
          </w:p>
        </w:tc>
        <w:tc>
          <w:tcPr>
            <w:tcW w:w="380" w:type="pct"/>
            <w:noWrap/>
            <w:vAlign w:val="center"/>
            <w:hideMark/>
          </w:tcPr>
          <w:p w14:paraId="43974E2A"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670,15</w:t>
            </w:r>
          </w:p>
        </w:tc>
        <w:tc>
          <w:tcPr>
            <w:tcW w:w="431" w:type="pct"/>
            <w:noWrap/>
            <w:vAlign w:val="center"/>
            <w:hideMark/>
          </w:tcPr>
          <w:p w14:paraId="1E9E8584"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54,7</w:t>
            </w:r>
          </w:p>
        </w:tc>
        <w:tc>
          <w:tcPr>
            <w:tcW w:w="368" w:type="pct"/>
            <w:noWrap/>
            <w:vAlign w:val="center"/>
            <w:hideMark/>
          </w:tcPr>
          <w:p w14:paraId="4274CDC7"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652,73</w:t>
            </w:r>
          </w:p>
        </w:tc>
        <w:tc>
          <w:tcPr>
            <w:tcW w:w="391" w:type="pct"/>
            <w:noWrap/>
            <w:vAlign w:val="center"/>
            <w:hideMark/>
          </w:tcPr>
          <w:p w14:paraId="1607274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46,1</w:t>
            </w:r>
          </w:p>
        </w:tc>
        <w:tc>
          <w:tcPr>
            <w:tcW w:w="404" w:type="pct"/>
            <w:noWrap/>
            <w:vAlign w:val="center"/>
            <w:hideMark/>
          </w:tcPr>
          <w:p w14:paraId="2B7BB746"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702,92</w:t>
            </w:r>
          </w:p>
        </w:tc>
        <w:tc>
          <w:tcPr>
            <w:tcW w:w="418" w:type="pct"/>
            <w:noWrap/>
            <w:vAlign w:val="center"/>
            <w:hideMark/>
          </w:tcPr>
          <w:p w14:paraId="4432CD66"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42,60</w:t>
            </w:r>
          </w:p>
        </w:tc>
        <w:tc>
          <w:tcPr>
            <w:tcW w:w="428" w:type="pct"/>
            <w:noWrap/>
            <w:vAlign w:val="center"/>
            <w:hideMark/>
          </w:tcPr>
          <w:p w14:paraId="6BFE9B24"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-17,42</w:t>
            </w:r>
          </w:p>
        </w:tc>
        <w:tc>
          <w:tcPr>
            <w:tcW w:w="347" w:type="pct"/>
            <w:noWrap/>
            <w:vAlign w:val="center"/>
            <w:hideMark/>
          </w:tcPr>
          <w:p w14:paraId="2192B329"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(2,60)</w:t>
            </w:r>
          </w:p>
        </w:tc>
        <w:tc>
          <w:tcPr>
            <w:tcW w:w="400" w:type="pct"/>
            <w:noWrap/>
            <w:vAlign w:val="center"/>
            <w:hideMark/>
          </w:tcPr>
          <w:p w14:paraId="13EFE1C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50,19</w:t>
            </w:r>
          </w:p>
        </w:tc>
        <w:tc>
          <w:tcPr>
            <w:tcW w:w="371" w:type="pct"/>
            <w:noWrap/>
            <w:vAlign w:val="center"/>
            <w:hideMark/>
          </w:tcPr>
          <w:p w14:paraId="74B50D0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7,69</w:t>
            </w:r>
          </w:p>
        </w:tc>
      </w:tr>
      <w:tr w:rsidR="00FE1CD9" w:rsidRPr="00237B80" w14:paraId="3EC25E3F" w14:textId="77777777" w:rsidTr="006E7480">
        <w:trPr>
          <w:trHeight w:val="20"/>
        </w:trPr>
        <w:tc>
          <w:tcPr>
            <w:tcW w:w="1062" w:type="pct"/>
            <w:noWrap/>
            <w:vAlign w:val="bottom"/>
            <w:hideMark/>
          </w:tcPr>
          <w:p w14:paraId="1935D706"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 xml:space="preserve">3. Dư nợ cho vay </w:t>
            </w:r>
          </w:p>
        </w:tc>
        <w:tc>
          <w:tcPr>
            <w:tcW w:w="380" w:type="pct"/>
            <w:noWrap/>
            <w:vAlign w:val="center"/>
            <w:hideMark/>
          </w:tcPr>
          <w:p w14:paraId="4186AFE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4.529</w:t>
            </w:r>
          </w:p>
        </w:tc>
        <w:tc>
          <w:tcPr>
            <w:tcW w:w="431" w:type="pct"/>
            <w:noWrap/>
            <w:vAlign w:val="center"/>
            <w:hideMark/>
          </w:tcPr>
          <w:p w14:paraId="67184AD9"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368" w:type="pct"/>
            <w:noWrap/>
            <w:vAlign w:val="center"/>
            <w:hideMark/>
          </w:tcPr>
          <w:p w14:paraId="29FC5DAC"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5.200</w:t>
            </w:r>
          </w:p>
        </w:tc>
        <w:tc>
          <w:tcPr>
            <w:tcW w:w="391" w:type="pct"/>
            <w:noWrap/>
            <w:vAlign w:val="center"/>
            <w:hideMark/>
          </w:tcPr>
          <w:p w14:paraId="51A2461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404" w:type="pct"/>
            <w:noWrap/>
            <w:vAlign w:val="center"/>
            <w:hideMark/>
          </w:tcPr>
          <w:p w14:paraId="5968639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6.010</w:t>
            </w:r>
          </w:p>
        </w:tc>
        <w:tc>
          <w:tcPr>
            <w:tcW w:w="418" w:type="pct"/>
            <w:noWrap/>
            <w:vAlign w:val="center"/>
            <w:hideMark/>
          </w:tcPr>
          <w:p w14:paraId="14C21D6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428" w:type="pct"/>
            <w:noWrap/>
            <w:vAlign w:val="center"/>
            <w:hideMark/>
          </w:tcPr>
          <w:p w14:paraId="75EFE2E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val="vi-VN"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671</w:t>
            </w:r>
          </w:p>
        </w:tc>
        <w:tc>
          <w:tcPr>
            <w:tcW w:w="347" w:type="pct"/>
            <w:noWrap/>
            <w:vAlign w:val="center"/>
            <w:hideMark/>
          </w:tcPr>
          <w:p w14:paraId="0EE14909"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14,82</w:t>
            </w:r>
          </w:p>
        </w:tc>
        <w:tc>
          <w:tcPr>
            <w:tcW w:w="400" w:type="pct"/>
            <w:noWrap/>
            <w:vAlign w:val="center"/>
            <w:hideMark/>
          </w:tcPr>
          <w:p w14:paraId="73BB94E4"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val="vi-VN"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810</w:t>
            </w:r>
          </w:p>
        </w:tc>
        <w:tc>
          <w:tcPr>
            <w:tcW w:w="371" w:type="pct"/>
            <w:noWrap/>
            <w:vAlign w:val="center"/>
            <w:hideMark/>
          </w:tcPr>
          <w:p w14:paraId="7E4BD8A0"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15,58</w:t>
            </w:r>
          </w:p>
        </w:tc>
      </w:tr>
      <w:tr w:rsidR="00FE1CD9" w:rsidRPr="00237B80" w14:paraId="26F6C45B" w14:textId="77777777" w:rsidTr="006E7480">
        <w:trPr>
          <w:trHeight w:val="20"/>
        </w:trPr>
        <w:tc>
          <w:tcPr>
            <w:tcW w:w="1062" w:type="pct"/>
            <w:noWrap/>
            <w:vAlign w:val="bottom"/>
            <w:hideMark/>
          </w:tcPr>
          <w:p w14:paraId="41A674EC"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Khách hàng cá nhân</w:t>
            </w:r>
          </w:p>
        </w:tc>
        <w:tc>
          <w:tcPr>
            <w:tcW w:w="380" w:type="pct"/>
            <w:noWrap/>
            <w:vAlign w:val="center"/>
            <w:hideMark/>
          </w:tcPr>
          <w:p w14:paraId="29E05A00"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1.554</w:t>
            </w:r>
          </w:p>
        </w:tc>
        <w:tc>
          <w:tcPr>
            <w:tcW w:w="431" w:type="pct"/>
            <w:noWrap/>
            <w:vAlign w:val="center"/>
            <w:hideMark/>
          </w:tcPr>
          <w:p w14:paraId="1EE98AC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34,30</w:t>
            </w:r>
          </w:p>
        </w:tc>
        <w:tc>
          <w:tcPr>
            <w:tcW w:w="368" w:type="pct"/>
            <w:noWrap/>
            <w:vAlign w:val="center"/>
            <w:hideMark/>
          </w:tcPr>
          <w:p w14:paraId="007E4A98"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1.906</w:t>
            </w:r>
          </w:p>
        </w:tc>
        <w:tc>
          <w:tcPr>
            <w:tcW w:w="391" w:type="pct"/>
            <w:noWrap/>
            <w:vAlign w:val="center"/>
            <w:hideMark/>
          </w:tcPr>
          <w:p w14:paraId="08004938"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36,66</w:t>
            </w:r>
          </w:p>
        </w:tc>
        <w:tc>
          <w:tcPr>
            <w:tcW w:w="404" w:type="pct"/>
            <w:noWrap/>
            <w:vAlign w:val="center"/>
            <w:hideMark/>
          </w:tcPr>
          <w:p w14:paraId="0E058BF7"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2.338</w:t>
            </w:r>
          </w:p>
        </w:tc>
        <w:tc>
          <w:tcPr>
            <w:tcW w:w="418" w:type="pct"/>
            <w:noWrap/>
            <w:vAlign w:val="center"/>
            <w:hideMark/>
          </w:tcPr>
          <w:p w14:paraId="05D73E91"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38,90</w:t>
            </w:r>
          </w:p>
        </w:tc>
        <w:tc>
          <w:tcPr>
            <w:tcW w:w="428" w:type="pct"/>
            <w:noWrap/>
            <w:vAlign w:val="center"/>
            <w:hideMark/>
          </w:tcPr>
          <w:p w14:paraId="2D87E282"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352,49</w:t>
            </w:r>
          </w:p>
        </w:tc>
        <w:tc>
          <w:tcPr>
            <w:tcW w:w="347" w:type="pct"/>
            <w:noWrap/>
            <w:vAlign w:val="center"/>
            <w:hideMark/>
          </w:tcPr>
          <w:p w14:paraId="51095C4C"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22,69</w:t>
            </w:r>
          </w:p>
        </w:tc>
        <w:tc>
          <w:tcPr>
            <w:tcW w:w="400" w:type="pct"/>
            <w:noWrap/>
            <w:vAlign w:val="center"/>
            <w:hideMark/>
          </w:tcPr>
          <w:p w14:paraId="6F26A13E"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431,57</w:t>
            </w:r>
          </w:p>
        </w:tc>
        <w:tc>
          <w:tcPr>
            <w:tcW w:w="371" w:type="pct"/>
            <w:noWrap/>
            <w:vAlign w:val="center"/>
            <w:hideMark/>
          </w:tcPr>
          <w:p w14:paraId="3804B09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22,64</w:t>
            </w:r>
          </w:p>
        </w:tc>
      </w:tr>
      <w:tr w:rsidR="00FE1CD9" w:rsidRPr="00237B80" w14:paraId="0C7FF153" w14:textId="77777777" w:rsidTr="006E7480">
        <w:trPr>
          <w:trHeight w:val="20"/>
        </w:trPr>
        <w:tc>
          <w:tcPr>
            <w:tcW w:w="1062" w:type="pct"/>
            <w:noWrap/>
            <w:vAlign w:val="center"/>
            <w:hideMark/>
          </w:tcPr>
          <w:p w14:paraId="63D79F70"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sản xuất kinh doanh</w:t>
            </w:r>
          </w:p>
        </w:tc>
        <w:tc>
          <w:tcPr>
            <w:tcW w:w="380" w:type="pct"/>
            <w:noWrap/>
            <w:vAlign w:val="center"/>
            <w:hideMark/>
          </w:tcPr>
          <w:p w14:paraId="620C775C"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403,17</w:t>
            </w:r>
          </w:p>
        </w:tc>
        <w:tc>
          <w:tcPr>
            <w:tcW w:w="431" w:type="pct"/>
            <w:noWrap/>
            <w:vAlign w:val="center"/>
            <w:hideMark/>
          </w:tcPr>
          <w:p w14:paraId="134BDEF0"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25,95</w:t>
            </w:r>
          </w:p>
        </w:tc>
        <w:tc>
          <w:tcPr>
            <w:tcW w:w="368" w:type="pct"/>
            <w:noWrap/>
            <w:vAlign w:val="center"/>
            <w:hideMark/>
          </w:tcPr>
          <w:p w14:paraId="60B460D9"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536,54</w:t>
            </w:r>
          </w:p>
        </w:tc>
        <w:tc>
          <w:tcPr>
            <w:tcW w:w="391" w:type="pct"/>
            <w:noWrap/>
            <w:vAlign w:val="center"/>
            <w:hideMark/>
          </w:tcPr>
          <w:p w14:paraId="02F43F80"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28,15</w:t>
            </w:r>
          </w:p>
        </w:tc>
        <w:tc>
          <w:tcPr>
            <w:tcW w:w="404" w:type="pct"/>
            <w:noWrap/>
            <w:vAlign w:val="center"/>
            <w:hideMark/>
          </w:tcPr>
          <w:p w14:paraId="6F34BCBB"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702,79</w:t>
            </w:r>
          </w:p>
        </w:tc>
        <w:tc>
          <w:tcPr>
            <w:tcW w:w="418" w:type="pct"/>
            <w:noWrap/>
            <w:vAlign w:val="center"/>
            <w:hideMark/>
          </w:tcPr>
          <w:p w14:paraId="55394AB8"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30,06</w:t>
            </w:r>
          </w:p>
        </w:tc>
        <w:tc>
          <w:tcPr>
            <w:tcW w:w="428" w:type="pct"/>
            <w:noWrap/>
            <w:vAlign w:val="center"/>
            <w:hideMark/>
          </w:tcPr>
          <w:p w14:paraId="11F45E45"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133,37</w:t>
            </w:r>
          </w:p>
        </w:tc>
        <w:tc>
          <w:tcPr>
            <w:tcW w:w="347" w:type="pct"/>
            <w:noWrap/>
            <w:vAlign w:val="center"/>
            <w:hideMark/>
          </w:tcPr>
          <w:p w14:paraId="66D14658"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33,08</w:t>
            </w:r>
          </w:p>
        </w:tc>
        <w:tc>
          <w:tcPr>
            <w:tcW w:w="400" w:type="pct"/>
            <w:noWrap/>
            <w:vAlign w:val="center"/>
            <w:hideMark/>
          </w:tcPr>
          <w:p w14:paraId="0584908A"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166,25</w:t>
            </w:r>
          </w:p>
        </w:tc>
        <w:tc>
          <w:tcPr>
            <w:tcW w:w="371" w:type="pct"/>
            <w:noWrap/>
            <w:vAlign w:val="center"/>
            <w:hideMark/>
          </w:tcPr>
          <w:p w14:paraId="49A9A731"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30,99</w:t>
            </w:r>
          </w:p>
        </w:tc>
      </w:tr>
      <w:tr w:rsidR="00FE1CD9" w:rsidRPr="00237B80" w14:paraId="0AD1B2D2" w14:textId="77777777" w:rsidTr="006E7480">
        <w:trPr>
          <w:trHeight w:val="20"/>
        </w:trPr>
        <w:tc>
          <w:tcPr>
            <w:tcW w:w="1062" w:type="pct"/>
            <w:noWrap/>
            <w:vAlign w:val="center"/>
            <w:hideMark/>
          </w:tcPr>
          <w:p w14:paraId="2359AD8F"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tiêu dùng</w:t>
            </w:r>
          </w:p>
        </w:tc>
        <w:tc>
          <w:tcPr>
            <w:tcW w:w="380" w:type="pct"/>
            <w:noWrap/>
            <w:vAlign w:val="center"/>
            <w:hideMark/>
          </w:tcPr>
          <w:p w14:paraId="42640776"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1.150,37</w:t>
            </w:r>
          </w:p>
        </w:tc>
        <w:tc>
          <w:tcPr>
            <w:tcW w:w="431" w:type="pct"/>
            <w:noWrap/>
            <w:vAlign w:val="center"/>
            <w:hideMark/>
          </w:tcPr>
          <w:p w14:paraId="127F22C5"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74,05</w:t>
            </w:r>
          </w:p>
        </w:tc>
        <w:tc>
          <w:tcPr>
            <w:tcW w:w="368" w:type="pct"/>
            <w:noWrap/>
            <w:vAlign w:val="center"/>
            <w:hideMark/>
          </w:tcPr>
          <w:p w14:paraId="32659E6F"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1.369,49</w:t>
            </w:r>
          </w:p>
        </w:tc>
        <w:tc>
          <w:tcPr>
            <w:tcW w:w="391" w:type="pct"/>
            <w:noWrap/>
            <w:vAlign w:val="center"/>
            <w:hideMark/>
          </w:tcPr>
          <w:p w14:paraId="7F7BCB02"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71,85</w:t>
            </w:r>
          </w:p>
        </w:tc>
        <w:tc>
          <w:tcPr>
            <w:tcW w:w="404" w:type="pct"/>
            <w:noWrap/>
            <w:vAlign w:val="center"/>
            <w:hideMark/>
          </w:tcPr>
          <w:p w14:paraId="4B27FEE4"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1.634,81</w:t>
            </w:r>
          </w:p>
        </w:tc>
        <w:tc>
          <w:tcPr>
            <w:tcW w:w="418" w:type="pct"/>
            <w:noWrap/>
            <w:vAlign w:val="center"/>
            <w:hideMark/>
          </w:tcPr>
          <w:p w14:paraId="586A51B6"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69,94</w:t>
            </w:r>
          </w:p>
        </w:tc>
        <w:tc>
          <w:tcPr>
            <w:tcW w:w="428" w:type="pct"/>
            <w:noWrap/>
            <w:vAlign w:val="center"/>
            <w:hideMark/>
          </w:tcPr>
          <w:p w14:paraId="01CD87A4"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219,12</w:t>
            </w:r>
          </w:p>
        </w:tc>
        <w:tc>
          <w:tcPr>
            <w:tcW w:w="347" w:type="pct"/>
            <w:noWrap/>
            <w:vAlign w:val="center"/>
            <w:hideMark/>
          </w:tcPr>
          <w:p w14:paraId="44D94DDC"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19,05</w:t>
            </w:r>
          </w:p>
        </w:tc>
        <w:tc>
          <w:tcPr>
            <w:tcW w:w="400" w:type="pct"/>
            <w:noWrap/>
            <w:vAlign w:val="center"/>
            <w:hideMark/>
          </w:tcPr>
          <w:p w14:paraId="5F8CBC00"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265,32</w:t>
            </w:r>
          </w:p>
        </w:tc>
        <w:tc>
          <w:tcPr>
            <w:tcW w:w="371" w:type="pct"/>
            <w:noWrap/>
            <w:vAlign w:val="center"/>
            <w:hideMark/>
          </w:tcPr>
          <w:p w14:paraId="35153CFE"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19,37</w:t>
            </w:r>
          </w:p>
        </w:tc>
      </w:tr>
      <w:tr w:rsidR="00FE1CD9" w:rsidRPr="00237B80" w14:paraId="7DFB6A5D" w14:textId="77777777" w:rsidTr="006E7480">
        <w:trPr>
          <w:trHeight w:val="20"/>
        </w:trPr>
        <w:tc>
          <w:tcPr>
            <w:tcW w:w="1062" w:type="pct"/>
            <w:noWrap/>
            <w:vAlign w:val="bottom"/>
            <w:hideMark/>
          </w:tcPr>
          <w:p w14:paraId="29C5CDE6"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 xml:space="preserve">Khách hàng doanh nghiệp </w:t>
            </w:r>
          </w:p>
        </w:tc>
        <w:tc>
          <w:tcPr>
            <w:tcW w:w="380" w:type="pct"/>
            <w:noWrap/>
            <w:vAlign w:val="center"/>
            <w:hideMark/>
          </w:tcPr>
          <w:p w14:paraId="2478BF7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2.975</w:t>
            </w:r>
          </w:p>
        </w:tc>
        <w:tc>
          <w:tcPr>
            <w:tcW w:w="431" w:type="pct"/>
            <w:noWrap/>
            <w:vAlign w:val="center"/>
            <w:hideMark/>
          </w:tcPr>
          <w:p w14:paraId="4755A93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65,70</w:t>
            </w:r>
          </w:p>
        </w:tc>
        <w:tc>
          <w:tcPr>
            <w:tcW w:w="368" w:type="pct"/>
            <w:noWrap/>
            <w:vAlign w:val="center"/>
            <w:hideMark/>
          </w:tcPr>
          <w:p w14:paraId="3C4AA32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3.294</w:t>
            </w:r>
          </w:p>
        </w:tc>
        <w:tc>
          <w:tcPr>
            <w:tcW w:w="391" w:type="pct"/>
            <w:noWrap/>
            <w:vAlign w:val="center"/>
            <w:hideMark/>
          </w:tcPr>
          <w:p w14:paraId="166159F9"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63,34</w:t>
            </w:r>
          </w:p>
        </w:tc>
        <w:tc>
          <w:tcPr>
            <w:tcW w:w="404" w:type="pct"/>
            <w:noWrap/>
            <w:vAlign w:val="center"/>
            <w:hideMark/>
          </w:tcPr>
          <w:p w14:paraId="2FC55A48"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3.672</w:t>
            </w:r>
          </w:p>
        </w:tc>
        <w:tc>
          <w:tcPr>
            <w:tcW w:w="418" w:type="pct"/>
            <w:noWrap/>
            <w:vAlign w:val="center"/>
            <w:hideMark/>
          </w:tcPr>
          <w:p w14:paraId="4125582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61,10</w:t>
            </w:r>
          </w:p>
        </w:tc>
        <w:tc>
          <w:tcPr>
            <w:tcW w:w="428" w:type="pct"/>
            <w:noWrap/>
            <w:vAlign w:val="center"/>
            <w:hideMark/>
          </w:tcPr>
          <w:p w14:paraId="50B4458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318,51</w:t>
            </w:r>
          </w:p>
        </w:tc>
        <w:tc>
          <w:tcPr>
            <w:tcW w:w="347" w:type="pct"/>
            <w:noWrap/>
            <w:vAlign w:val="center"/>
            <w:hideMark/>
          </w:tcPr>
          <w:p w14:paraId="2EDD53E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10,71</w:t>
            </w:r>
          </w:p>
        </w:tc>
        <w:tc>
          <w:tcPr>
            <w:tcW w:w="400" w:type="pct"/>
            <w:noWrap/>
            <w:vAlign w:val="center"/>
            <w:hideMark/>
          </w:tcPr>
          <w:p w14:paraId="7BE9377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378,08</w:t>
            </w:r>
          </w:p>
        </w:tc>
        <w:tc>
          <w:tcPr>
            <w:tcW w:w="371" w:type="pct"/>
            <w:noWrap/>
            <w:vAlign w:val="center"/>
            <w:hideMark/>
          </w:tcPr>
          <w:p w14:paraId="3D01829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11,48</w:t>
            </w:r>
          </w:p>
        </w:tc>
      </w:tr>
      <w:tr w:rsidR="00FE1CD9" w:rsidRPr="00237B80" w14:paraId="5A76AEB4" w14:textId="77777777" w:rsidTr="006E7480">
        <w:trPr>
          <w:trHeight w:val="20"/>
        </w:trPr>
        <w:tc>
          <w:tcPr>
            <w:tcW w:w="1062" w:type="pct"/>
            <w:noWrap/>
            <w:vAlign w:val="bottom"/>
            <w:hideMark/>
          </w:tcPr>
          <w:p w14:paraId="312C62A1"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 Nợ xấu</w:t>
            </w:r>
          </w:p>
        </w:tc>
        <w:tc>
          <w:tcPr>
            <w:tcW w:w="380" w:type="pct"/>
            <w:noWrap/>
            <w:vAlign w:val="center"/>
            <w:hideMark/>
          </w:tcPr>
          <w:p w14:paraId="0ED0833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37,33</w:t>
            </w:r>
          </w:p>
        </w:tc>
        <w:tc>
          <w:tcPr>
            <w:tcW w:w="431" w:type="pct"/>
            <w:noWrap/>
            <w:vAlign w:val="center"/>
            <w:hideMark/>
          </w:tcPr>
          <w:p w14:paraId="7047C9AC"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368" w:type="pct"/>
            <w:noWrap/>
            <w:vAlign w:val="center"/>
            <w:hideMark/>
          </w:tcPr>
          <w:p w14:paraId="0D10B7C2"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37,08</w:t>
            </w:r>
          </w:p>
        </w:tc>
        <w:tc>
          <w:tcPr>
            <w:tcW w:w="391" w:type="pct"/>
            <w:noWrap/>
            <w:vAlign w:val="center"/>
            <w:hideMark/>
          </w:tcPr>
          <w:p w14:paraId="5566531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404" w:type="pct"/>
            <w:noWrap/>
            <w:vAlign w:val="center"/>
            <w:hideMark/>
          </w:tcPr>
          <w:p w14:paraId="518E4304"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36,5</w:t>
            </w:r>
          </w:p>
        </w:tc>
        <w:tc>
          <w:tcPr>
            <w:tcW w:w="418" w:type="pct"/>
            <w:noWrap/>
            <w:vAlign w:val="center"/>
            <w:hideMark/>
          </w:tcPr>
          <w:p w14:paraId="59ADC9FE"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100</w:t>
            </w:r>
          </w:p>
        </w:tc>
        <w:tc>
          <w:tcPr>
            <w:tcW w:w="428" w:type="pct"/>
            <w:noWrap/>
            <w:vAlign w:val="center"/>
            <w:hideMark/>
          </w:tcPr>
          <w:p w14:paraId="7B2AF16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-0,25</w:t>
            </w:r>
          </w:p>
        </w:tc>
        <w:tc>
          <w:tcPr>
            <w:tcW w:w="347" w:type="pct"/>
            <w:noWrap/>
            <w:vAlign w:val="center"/>
            <w:hideMark/>
          </w:tcPr>
          <w:p w14:paraId="397D193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(0,67)</w:t>
            </w:r>
          </w:p>
        </w:tc>
        <w:tc>
          <w:tcPr>
            <w:tcW w:w="400" w:type="pct"/>
            <w:noWrap/>
            <w:vAlign w:val="center"/>
            <w:hideMark/>
          </w:tcPr>
          <w:p w14:paraId="0F3C8655"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-0,58</w:t>
            </w:r>
          </w:p>
        </w:tc>
        <w:tc>
          <w:tcPr>
            <w:tcW w:w="371" w:type="pct"/>
            <w:noWrap/>
            <w:vAlign w:val="center"/>
            <w:hideMark/>
          </w:tcPr>
          <w:p w14:paraId="1FFA255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(1,56)</w:t>
            </w:r>
          </w:p>
        </w:tc>
      </w:tr>
      <w:tr w:rsidR="00FE1CD9" w:rsidRPr="00237B80" w14:paraId="412CB391" w14:textId="77777777" w:rsidTr="006E7480">
        <w:trPr>
          <w:trHeight w:val="20"/>
        </w:trPr>
        <w:tc>
          <w:tcPr>
            <w:tcW w:w="1062" w:type="pct"/>
            <w:noWrap/>
            <w:vAlign w:val="bottom"/>
            <w:hideMark/>
          </w:tcPr>
          <w:p w14:paraId="16190928"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Khách hàng cá nhân</w:t>
            </w:r>
          </w:p>
        </w:tc>
        <w:tc>
          <w:tcPr>
            <w:tcW w:w="380" w:type="pct"/>
            <w:noWrap/>
            <w:vAlign w:val="center"/>
            <w:hideMark/>
          </w:tcPr>
          <w:p w14:paraId="59810E3C"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15,82</w:t>
            </w:r>
          </w:p>
        </w:tc>
        <w:tc>
          <w:tcPr>
            <w:tcW w:w="431" w:type="pct"/>
            <w:noWrap/>
            <w:vAlign w:val="center"/>
            <w:hideMark/>
          </w:tcPr>
          <w:p w14:paraId="470BF14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42,38</w:t>
            </w:r>
          </w:p>
        </w:tc>
        <w:tc>
          <w:tcPr>
            <w:tcW w:w="368" w:type="pct"/>
            <w:noWrap/>
            <w:vAlign w:val="center"/>
            <w:hideMark/>
          </w:tcPr>
          <w:p w14:paraId="3035318D"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23,23</w:t>
            </w:r>
          </w:p>
        </w:tc>
        <w:tc>
          <w:tcPr>
            <w:tcW w:w="391" w:type="pct"/>
            <w:noWrap/>
            <w:vAlign w:val="center"/>
            <w:hideMark/>
          </w:tcPr>
          <w:p w14:paraId="03BABD80"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62,65</w:t>
            </w:r>
          </w:p>
        </w:tc>
        <w:tc>
          <w:tcPr>
            <w:tcW w:w="404" w:type="pct"/>
            <w:noWrap/>
            <w:vAlign w:val="center"/>
            <w:hideMark/>
          </w:tcPr>
          <w:p w14:paraId="2E0491B9"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17,68</w:t>
            </w:r>
          </w:p>
        </w:tc>
        <w:tc>
          <w:tcPr>
            <w:tcW w:w="418" w:type="pct"/>
            <w:noWrap/>
            <w:vAlign w:val="center"/>
            <w:hideMark/>
          </w:tcPr>
          <w:p w14:paraId="00571ED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48,44</w:t>
            </w:r>
          </w:p>
        </w:tc>
        <w:tc>
          <w:tcPr>
            <w:tcW w:w="428" w:type="pct"/>
            <w:noWrap/>
            <w:vAlign w:val="center"/>
            <w:hideMark/>
          </w:tcPr>
          <w:p w14:paraId="2947775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7,41</w:t>
            </w:r>
          </w:p>
        </w:tc>
        <w:tc>
          <w:tcPr>
            <w:tcW w:w="347" w:type="pct"/>
            <w:noWrap/>
            <w:vAlign w:val="center"/>
            <w:hideMark/>
          </w:tcPr>
          <w:p w14:paraId="35B974BC"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46,84</w:t>
            </w:r>
          </w:p>
        </w:tc>
        <w:tc>
          <w:tcPr>
            <w:tcW w:w="400" w:type="pct"/>
            <w:noWrap/>
            <w:vAlign w:val="center"/>
            <w:hideMark/>
          </w:tcPr>
          <w:p w14:paraId="26C02066"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-5,55</w:t>
            </w:r>
          </w:p>
        </w:tc>
        <w:tc>
          <w:tcPr>
            <w:tcW w:w="371" w:type="pct"/>
            <w:noWrap/>
            <w:vAlign w:val="center"/>
            <w:hideMark/>
          </w:tcPr>
          <w:p w14:paraId="33A7A333"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(23,89)</w:t>
            </w:r>
          </w:p>
        </w:tc>
      </w:tr>
      <w:tr w:rsidR="00FE1CD9" w:rsidRPr="00237B80" w14:paraId="1F08CDE8" w14:textId="77777777" w:rsidTr="006E7480">
        <w:trPr>
          <w:trHeight w:val="20"/>
        </w:trPr>
        <w:tc>
          <w:tcPr>
            <w:tcW w:w="1062" w:type="pct"/>
            <w:noWrap/>
            <w:vAlign w:val="center"/>
            <w:hideMark/>
          </w:tcPr>
          <w:p w14:paraId="6AF1ABEC"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sản xuất kinh doanh</w:t>
            </w:r>
          </w:p>
        </w:tc>
        <w:tc>
          <w:tcPr>
            <w:tcW w:w="380" w:type="pct"/>
            <w:noWrap/>
            <w:vAlign w:val="center"/>
            <w:hideMark/>
          </w:tcPr>
          <w:p w14:paraId="545D6C4D"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2,61</w:t>
            </w:r>
          </w:p>
        </w:tc>
        <w:tc>
          <w:tcPr>
            <w:tcW w:w="431" w:type="pct"/>
            <w:noWrap/>
            <w:vAlign w:val="center"/>
            <w:hideMark/>
          </w:tcPr>
          <w:p w14:paraId="1F10B1A6"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16,50</w:t>
            </w:r>
          </w:p>
        </w:tc>
        <w:tc>
          <w:tcPr>
            <w:tcW w:w="368" w:type="pct"/>
            <w:noWrap/>
            <w:vAlign w:val="center"/>
            <w:hideMark/>
          </w:tcPr>
          <w:p w14:paraId="5E7BE174"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3,33</w:t>
            </w:r>
          </w:p>
        </w:tc>
        <w:tc>
          <w:tcPr>
            <w:tcW w:w="391" w:type="pct"/>
            <w:noWrap/>
            <w:vAlign w:val="center"/>
            <w:hideMark/>
          </w:tcPr>
          <w:p w14:paraId="5185092A"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19,33</w:t>
            </w:r>
          </w:p>
        </w:tc>
        <w:tc>
          <w:tcPr>
            <w:tcW w:w="404" w:type="pct"/>
            <w:noWrap/>
            <w:vAlign w:val="center"/>
            <w:hideMark/>
          </w:tcPr>
          <w:p w14:paraId="77BD6AEB"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4,98</w:t>
            </w:r>
          </w:p>
        </w:tc>
        <w:tc>
          <w:tcPr>
            <w:tcW w:w="418" w:type="pct"/>
            <w:noWrap/>
            <w:vAlign w:val="center"/>
            <w:hideMark/>
          </w:tcPr>
          <w:p w14:paraId="38BBB155"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28,17</w:t>
            </w:r>
          </w:p>
        </w:tc>
        <w:tc>
          <w:tcPr>
            <w:tcW w:w="428" w:type="pct"/>
            <w:noWrap/>
            <w:vAlign w:val="center"/>
            <w:hideMark/>
          </w:tcPr>
          <w:p w14:paraId="138EDC61"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0,72</w:t>
            </w:r>
          </w:p>
        </w:tc>
        <w:tc>
          <w:tcPr>
            <w:tcW w:w="347" w:type="pct"/>
            <w:noWrap/>
            <w:vAlign w:val="center"/>
            <w:hideMark/>
          </w:tcPr>
          <w:p w14:paraId="6AA92830"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27,59</w:t>
            </w:r>
          </w:p>
        </w:tc>
        <w:tc>
          <w:tcPr>
            <w:tcW w:w="400" w:type="pct"/>
            <w:noWrap/>
            <w:vAlign w:val="center"/>
            <w:hideMark/>
          </w:tcPr>
          <w:p w14:paraId="7677A70E"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1,65</w:t>
            </w:r>
          </w:p>
        </w:tc>
        <w:tc>
          <w:tcPr>
            <w:tcW w:w="371" w:type="pct"/>
            <w:noWrap/>
            <w:vAlign w:val="center"/>
            <w:hideMark/>
          </w:tcPr>
          <w:p w14:paraId="6750BA52"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49,55</w:t>
            </w:r>
          </w:p>
        </w:tc>
      </w:tr>
      <w:tr w:rsidR="00FE1CD9" w:rsidRPr="00237B80" w14:paraId="68D3476D" w14:textId="77777777" w:rsidTr="006E7480">
        <w:trPr>
          <w:trHeight w:val="20"/>
        </w:trPr>
        <w:tc>
          <w:tcPr>
            <w:tcW w:w="1062" w:type="pct"/>
            <w:noWrap/>
            <w:vAlign w:val="center"/>
            <w:hideMark/>
          </w:tcPr>
          <w:p w14:paraId="2FD00943"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tiêu dùng</w:t>
            </w:r>
          </w:p>
        </w:tc>
        <w:tc>
          <w:tcPr>
            <w:tcW w:w="380" w:type="pct"/>
            <w:noWrap/>
            <w:vAlign w:val="center"/>
            <w:hideMark/>
          </w:tcPr>
          <w:p w14:paraId="5B0009DC"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13,21</w:t>
            </w:r>
          </w:p>
        </w:tc>
        <w:tc>
          <w:tcPr>
            <w:tcW w:w="431" w:type="pct"/>
            <w:noWrap/>
            <w:vAlign w:val="center"/>
            <w:hideMark/>
          </w:tcPr>
          <w:p w14:paraId="2B871171"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83,50</w:t>
            </w:r>
          </w:p>
        </w:tc>
        <w:tc>
          <w:tcPr>
            <w:tcW w:w="368" w:type="pct"/>
            <w:noWrap/>
            <w:vAlign w:val="center"/>
            <w:hideMark/>
          </w:tcPr>
          <w:p w14:paraId="77B4F1B1"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13,9</w:t>
            </w:r>
          </w:p>
        </w:tc>
        <w:tc>
          <w:tcPr>
            <w:tcW w:w="391" w:type="pct"/>
            <w:noWrap/>
            <w:vAlign w:val="center"/>
            <w:hideMark/>
          </w:tcPr>
          <w:p w14:paraId="73A904BD"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80,67</w:t>
            </w:r>
          </w:p>
        </w:tc>
        <w:tc>
          <w:tcPr>
            <w:tcW w:w="404" w:type="pct"/>
            <w:noWrap/>
            <w:vAlign w:val="center"/>
            <w:hideMark/>
          </w:tcPr>
          <w:p w14:paraId="3627C72A"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12,7</w:t>
            </w:r>
          </w:p>
        </w:tc>
        <w:tc>
          <w:tcPr>
            <w:tcW w:w="418" w:type="pct"/>
            <w:noWrap/>
            <w:vAlign w:val="center"/>
            <w:hideMark/>
          </w:tcPr>
          <w:p w14:paraId="2F105D84"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71,83</w:t>
            </w:r>
          </w:p>
        </w:tc>
        <w:tc>
          <w:tcPr>
            <w:tcW w:w="428" w:type="pct"/>
            <w:noWrap/>
            <w:vAlign w:val="center"/>
            <w:hideMark/>
          </w:tcPr>
          <w:p w14:paraId="21E060D4"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0,69</w:t>
            </w:r>
          </w:p>
        </w:tc>
        <w:tc>
          <w:tcPr>
            <w:tcW w:w="347" w:type="pct"/>
            <w:noWrap/>
            <w:vAlign w:val="center"/>
            <w:hideMark/>
          </w:tcPr>
          <w:p w14:paraId="37EF709E"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5,22</w:t>
            </w:r>
          </w:p>
        </w:tc>
        <w:tc>
          <w:tcPr>
            <w:tcW w:w="400" w:type="pct"/>
            <w:noWrap/>
            <w:vAlign w:val="center"/>
            <w:hideMark/>
          </w:tcPr>
          <w:p w14:paraId="77C041CD"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-1,20</w:t>
            </w:r>
          </w:p>
        </w:tc>
        <w:tc>
          <w:tcPr>
            <w:tcW w:w="371" w:type="pct"/>
            <w:noWrap/>
            <w:vAlign w:val="center"/>
            <w:hideMark/>
          </w:tcPr>
          <w:p w14:paraId="25A93E99" w14:textId="77777777" w:rsidR="00FE1CD9" w:rsidRPr="00237B80" w:rsidRDefault="00FE1CD9" w:rsidP="00237B80">
            <w:pPr>
              <w:spacing w:after="0" w:line="240" w:lineRule="auto"/>
              <w:jc w:val="right"/>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(8,63)</w:t>
            </w:r>
          </w:p>
        </w:tc>
      </w:tr>
      <w:tr w:rsidR="00FE1CD9" w:rsidRPr="00237B80" w14:paraId="3FD3698F" w14:textId="77777777" w:rsidTr="006E7480">
        <w:trPr>
          <w:trHeight w:val="20"/>
        </w:trPr>
        <w:tc>
          <w:tcPr>
            <w:tcW w:w="1062" w:type="pct"/>
            <w:noWrap/>
            <w:vAlign w:val="bottom"/>
            <w:hideMark/>
          </w:tcPr>
          <w:p w14:paraId="0C680441"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 xml:space="preserve">Khách hàng doanh nghiệp </w:t>
            </w:r>
          </w:p>
        </w:tc>
        <w:tc>
          <w:tcPr>
            <w:tcW w:w="380" w:type="pct"/>
            <w:noWrap/>
            <w:vAlign w:val="center"/>
            <w:hideMark/>
          </w:tcPr>
          <w:p w14:paraId="0D77FB6C"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21,51</w:t>
            </w:r>
          </w:p>
        </w:tc>
        <w:tc>
          <w:tcPr>
            <w:tcW w:w="431" w:type="pct"/>
            <w:noWrap/>
            <w:vAlign w:val="center"/>
            <w:hideMark/>
          </w:tcPr>
          <w:p w14:paraId="4EF50E7D"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57,62</w:t>
            </w:r>
          </w:p>
        </w:tc>
        <w:tc>
          <w:tcPr>
            <w:tcW w:w="368" w:type="pct"/>
            <w:noWrap/>
            <w:vAlign w:val="center"/>
            <w:hideMark/>
          </w:tcPr>
          <w:p w14:paraId="2A39AA5A"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13,85</w:t>
            </w:r>
          </w:p>
        </w:tc>
        <w:tc>
          <w:tcPr>
            <w:tcW w:w="391" w:type="pct"/>
            <w:noWrap/>
            <w:vAlign w:val="center"/>
            <w:hideMark/>
          </w:tcPr>
          <w:p w14:paraId="0149097A"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37,35</w:t>
            </w:r>
          </w:p>
        </w:tc>
        <w:tc>
          <w:tcPr>
            <w:tcW w:w="404" w:type="pct"/>
            <w:noWrap/>
            <w:vAlign w:val="center"/>
            <w:hideMark/>
          </w:tcPr>
          <w:p w14:paraId="69FD4B6F"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18,82</w:t>
            </w:r>
          </w:p>
        </w:tc>
        <w:tc>
          <w:tcPr>
            <w:tcW w:w="418" w:type="pct"/>
            <w:noWrap/>
            <w:vAlign w:val="center"/>
            <w:hideMark/>
          </w:tcPr>
          <w:p w14:paraId="3543D16B"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51,56</w:t>
            </w:r>
          </w:p>
        </w:tc>
        <w:tc>
          <w:tcPr>
            <w:tcW w:w="428" w:type="pct"/>
            <w:noWrap/>
            <w:vAlign w:val="center"/>
            <w:hideMark/>
          </w:tcPr>
          <w:p w14:paraId="05C5D0FD"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-7,66</w:t>
            </w:r>
          </w:p>
        </w:tc>
        <w:tc>
          <w:tcPr>
            <w:tcW w:w="347" w:type="pct"/>
            <w:noWrap/>
            <w:vAlign w:val="center"/>
            <w:hideMark/>
          </w:tcPr>
          <w:p w14:paraId="10EF2898"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(35,61)</w:t>
            </w:r>
          </w:p>
        </w:tc>
        <w:tc>
          <w:tcPr>
            <w:tcW w:w="400" w:type="pct"/>
            <w:noWrap/>
            <w:vAlign w:val="center"/>
            <w:hideMark/>
          </w:tcPr>
          <w:p w14:paraId="41F508EA"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4,97</w:t>
            </w:r>
          </w:p>
        </w:tc>
        <w:tc>
          <w:tcPr>
            <w:tcW w:w="371" w:type="pct"/>
            <w:noWrap/>
            <w:vAlign w:val="center"/>
            <w:hideMark/>
          </w:tcPr>
          <w:p w14:paraId="7063CD99"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35,88</w:t>
            </w:r>
          </w:p>
        </w:tc>
      </w:tr>
      <w:tr w:rsidR="00FE1CD9" w:rsidRPr="00237B80" w14:paraId="07682798" w14:textId="77777777" w:rsidTr="006E7480">
        <w:trPr>
          <w:trHeight w:val="20"/>
        </w:trPr>
        <w:tc>
          <w:tcPr>
            <w:tcW w:w="1062" w:type="pct"/>
            <w:noWrap/>
            <w:vAlign w:val="bottom"/>
            <w:hideMark/>
          </w:tcPr>
          <w:p w14:paraId="2C8559E8"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5. Tỷ lệ nợ xấu</w:t>
            </w:r>
          </w:p>
        </w:tc>
        <w:tc>
          <w:tcPr>
            <w:tcW w:w="811" w:type="pct"/>
            <w:gridSpan w:val="2"/>
            <w:noWrap/>
            <w:vAlign w:val="center"/>
            <w:hideMark/>
          </w:tcPr>
          <w:p w14:paraId="12D6F3A6"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0,82</w:t>
            </w:r>
          </w:p>
        </w:tc>
        <w:tc>
          <w:tcPr>
            <w:tcW w:w="759" w:type="pct"/>
            <w:gridSpan w:val="2"/>
            <w:noWrap/>
            <w:vAlign w:val="center"/>
            <w:hideMark/>
          </w:tcPr>
          <w:p w14:paraId="5B4DDD07"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0,71</w:t>
            </w:r>
          </w:p>
        </w:tc>
        <w:tc>
          <w:tcPr>
            <w:tcW w:w="822" w:type="pct"/>
            <w:gridSpan w:val="2"/>
            <w:noWrap/>
            <w:vAlign w:val="center"/>
            <w:hideMark/>
          </w:tcPr>
          <w:p w14:paraId="55253873"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0,61</w:t>
            </w:r>
          </w:p>
        </w:tc>
        <w:tc>
          <w:tcPr>
            <w:tcW w:w="1546" w:type="pct"/>
            <w:gridSpan w:val="4"/>
            <w:vMerge w:val="restart"/>
            <w:noWrap/>
            <w:vAlign w:val="center"/>
            <w:hideMark/>
          </w:tcPr>
          <w:p w14:paraId="0FF364A1" w14:textId="77777777" w:rsidR="00FE1CD9" w:rsidRPr="00237B80" w:rsidRDefault="00FE1CD9" w:rsidP="00237B80">
            <w:pPr>
              <w:spacing w:after="0" w:line="240" w:lineRule="auto"/>
              <w:jc w:val="right"/>
              <w:rPr>
                <w:rFonts w:ascii="Times New Roman" w:eastAsia="Times New Roman" w:hAnsi="Times New Roman" w:cs="Times New Roman"/>
                <w:b/>
                <w:bCs/>
                <w:color w:val="000000"/>
                <w:kern w:val="0"/>
                <w:sz w:val="23"/>
                <w:szCs w:val="23"/>
                <w:lang w:eastAsia="zh-CN"/>
                <w14:ligatures w14:val="none"/>
              </w:rPr>
            </w:pPr>
          </w:p>
        </w:tc>
      </w:tr>
      <w:tr w:rsidR="00FE1CD9" w:rsidRPr="00237B80" w14:paraId="3562DE98" w14:textId="77777777" w:rsidTr="006E7480">
        <w:trPr>
          <w:trHeight w:val="20"/>
        </w:trPr>
        <w:tc>
          <w:tcPr>
            <w:tcW w:w="1062" w:type="pct"/>
            <w:noWrap/>
            <w:vAlign w:val="bottom"/>
            <w:hideMark/>
          </w:tcPr>
          <w:p w14:paraId="41C3A10D"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Khách hàng cá nhân</w:t>
            </w:r>
          </w:p>
        </w:tc>
        <w:tc>
          <w:tcPr>
            <w:tcW w:w="811" w:type="pct"/>
            <w:gridSpan w:val="2"/>
            <w:noWrap/>
            <w:vAlign w:val="center"/>
            <w:hideMark/>
          </w:tcPr>
          <w:p w14:paraId="0906375C"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1,0</w:t>
            </w:r>
          </w:p>
        </w:tc>
        <w:tc>
          <w:tcPr>
            <w:tcW w:w="759" w:type="pct"/>
            <w:gridSpan w:val="2"/>
            <w:noWrap/>
            <w:vAlign w:val="center"/>
            <w:hideMark/>
          </w:tcPr>
          <w:p w14:paraId="4E866A69"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1,22</w:t>
            </w:r>
          </w:p>
        </w:tc>
        <w:tc>
          <w:tcPr>
            <w:tcW w:w="822" w:type="pct"/>
            <w:gridSpan w:val="2"/>
            <w:noWrap/>
            <w:vAlign w:val="center"/>
            <w:hideMark/>
          </w:tcPr>
          <w:p w14:paraId="15AD1B82"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0,76</w:t>
            </w:r>
          </w:p>
        </w:tc>
        <w:tc>
          <w:tcPr>
            <w:tcW w:w="1546" w:type="pct"/>
            <w:gridSpan w:val="4"/>
            <w:vMerge/>
            <w:vAlign w:val="center"/>
            <w:hideMark/>
          </w:tcPr>
          <w:p w14:paraId="2D050A24"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p>
        </w:tc>
      </w:tr>
      <w:tr w:rsidR="00FE1CD9" w:rsidRPr="00237B80" w14:paraId="6FCDAA67" w14:textId="77777777" w:rsidTr="006E7480">
        <w:trPr>
          <w:trHeight w:val="20"/>
        </w:trPr>
        <w:tc>
          <w:tcPr>
            <w:tcW w:w="1062" w:type="pct"/>
            <w:noWrap/>
            <w:vAlign w:val="center"/>
            <w:hideMark/>
          </w:tcPr>
          <w:p w14:paraId="2D024D0E"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sản xuất kinh doanh</w:t>
            </w:r>
          </w:p>
        </w:tc>
        <w:tc>
          <w:tcPr>
            <w:tcW w:w="811" w:type="pct"/>
            <w:gridSpan w:val="2"/>
            <w:noWrap/>
            <w:vAlign w:val="center"/>
            <w:hideMark/>
          </w:tcPr>
          <w:p w14:paraId="4C52D1C6" w14:textId="77777777" w:rsidR="00FE1CD9" w:rsidRPr="00237B80" w:rsidRDefault="00FE1CD9" w:rsidP="00237B80">
            <w:pPr>
              <w:spacing w:after="0" w:line="240" w:lineRule="auto"/>
              <w:jc w:val="center"/>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0,65</w:t>
            </w:r>
          </w:p>
        </w:tc>
        <w:tc>
          <w:tcPr>
            <w:tcW w:w="759" w:type="pct"/>
            <w:gridSpan w:val="2"/>
            <w:noWrap/>
            <w:vAlign w:val="center"/>
            <w:hideMark/>
          </w:tcPr>
          <w:p w14:paraId="204681E8" w14:textId="77777777" w:rsidR="00FE1CD9" w:rsidRPr="00237B80" w:rsidRDefault="00FE1CD9" w:rsidP="00237B80">
            <w:pPr>
              <w:spacing w:after="0" w:line="240" w:lineRule="auto"/>
              <w:jc w:val="center"/>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0,62</w:t>
            </w:r>
          </w:p>
        </w:tc>
        <w:tc>
          <w:tcPr>
            <w:tcW w:w="822" w:type="pct"/>
            <w:gridSpan w:val="2"/>
            <w:noWrap/>
            <w:vAlign w:val="center"/>
            <w:hideMark/>
          </w:tcPr>
          <w:p w14:paraId="4BF2671D" w14:textId="77777777" w:rsidR="00FE1CD9" w:rsidRPr="00237B80" w:rsidRDefault="00FE1CD9" w:rsidP="00237B80">
            <w:pPr>
              <w:spacing w:after="0" w:line="240" w:lineRule="auto"/>
              <w:jc w:val="center"/>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0,71</w:t>
            </w:r>
          </w:p>
        </w:tc>
        <w:tc>
          <w:tcPr>
            <w:tcW w:w="1546" w:type="pct"/>
            <w:gridSpan w:val="4"/>
            <w:vMerge/>
            <w:vAlign w:val="center"/>
            <w:hideMark/>
          </w:tcPr>
          <w:p w14:paraId="2D6AA877"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p>
        </w:tc>
      </w:tr>
      <w:tr w:rsidR="00FE1CD9" w:rsidRPr="00237B80" w14:paraId="75F08644" w14:textId="77777777" w:rsidTr="006E7480">
        <w:trPr>
          <w:trHeight w:val="20"/>
        </w:trPr>
        <w:tc>
          <w:tcPr>
            <w:tcW w:w="1062" w:type="pct"/>
            <w:noWrap/>
            <w:vAlign w:val="center"/>
            <w:hideMark/>
          </w:tcPr>
          <w:p w14:paraId="400F3511" w14:textId="77777777" w:rsidR="00FE1CD9" w:rsidRPr="00237B80" w:rsidRDefault="00FE1CD9" w:rsidP="00237B80">
            <w:pPr>
              <w:spacing w:after="0" w:line="240" w:lineRule="auto"/>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Cho vay tiêu dùng</w:t>
            </w:r>
          </w:p>
        </w:tc>
        <w:tc>
          <w:tcPr>
            <w:tcW w:w="811" w:type="pct"/>
            <w:gridSpan w:val="2"/>
            <w:noWrap/>
            <w:vAlign w:val="center"/>
            <w:hideMark/>
          </w:tcPr>
          <w:p w14:paraId="2273AC90" w14:textId="77777777" w:rsidR="00FE1CD9" w:rsidRPr="00237B80" w:rsidRDefault="00FE1CD9" w:rsidP="00237B80">
            <w:pPr>
              <w:spacing w:after="0" w:line="240" w:lineRule="auto"/>
              <w:jc w:val="center"/>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1,15</w:t>
            </w:r>
          </w:p>
        </w:tc>
        <w:tc>
          <w:tcPr>
            <w:tcW w:w="759" w:type="pct"/>
            <w:gridSpan w:val="2"/>
            <w:noWrap/>
            <w:vAlign w:val="center"/>
            <w:hideMark/>
          </w:tcPr>
          <w:p w14:paraId="4AAFCC8E" w14:textId="77777777" w:rsidR="00FE1CD9" w:rsidRPr="00237B80" w:rsidRDefault="00FE1CD9" w:rsidP="00237B80">
            <w:pPr>
              <w:spacing w:after="0" w:line="240" w:lineRule="auto"/>
              <w:jc w:val="center"/>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1,01</w:t>
            </w:r>
          </w:p>
        </w:tc>
        <w:tc>
          <w:tcPr>
            <w:tcW w:w="822" w:type="pct"/>
            <w:gridSpan w:val="2"/>
            <w:noWrap/>
            <w:vAlign w:val="center"/>
            <w:hideMark/>
          </w:tcPr>
          <w:p w14:paraId="55473EEC" w14:textId="77777777" w:rsidR="00FE1CD9" w:rsidRPr="00237B80" w:rsidRDefault="00FE1CD9" w:rsidP="00237B80">
            <w:pPr>
              <w:spacing w:after="0" w:line="240" w:lineRule="auto"/>
              <w:jc w:val="center"/>
              <w:rPr>
                <w:rFonts w:ascii="Times New Roman" w:eastAsia="Times New Roman" w:hAnsi="Times New Roman" w:cs="Times New Roman"/>
                <w:color w:val="000000"/>
                <w:kern w:val="0"/>
                <w:sz w:val="23"/>
                <w:szCs w:val="23"/>
                <w:lang w:eastAsia="zh-CN"/>
                <w14:ligatures w14:val="none"/>
              </w:rPr>
            </w:pPr>
            <w:r w:rsidRPr="00237B80">
              <w:rPr>
                <w:rFonts w:ascii="Times New Roman" w:eastAsia="Times New Roman" w:hAnsi="Times New Roman" w:cs="Times New Roman"/>
                <w:color w:val="000000"/>
                <w:kern w:val="0"/>
                <w:sz w:val="23"/>
                <w:szCs w:val="23"/>
                <w:lang w:eastAsia="zh-CN"/>
                <w14:ligatures w14:val="none"/>
              </w:rPr>
              <w:t>0,78</w:t>
            </w:r>
          </w:p>
        </w:tc>
        <w:tc>
          <w:tcPr>
            <w:tcW w:w="1546" w:type="pct"/>
            <w:gridSpan w:val="4"/>
            <w:vMerge/>
            <w:vAlign w:val="center"/>
            <w:hideMark/>
          </w:tcPr>
          <w:p w14:paraId="2945CDAF"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p>
        </w:tc>
      </w:tr>
      <w:tr w:rsidR="00FE1CD9" w:rsidRPr="00237B80" w14:paraId="20D351EF" w14:textId="77777777" w:rsidTr="006E7480">
        <w:trPr>
          <w:trHeight w:val="20"/>
        </w:trPr>
        <w:tc>
          <w:tcPr>
            <w:tcW w:w="1062" w:type="pct"/>
            <w:noWrap/>
            <w:vAlign w:val="bottom"/>
            <w:hideMark/>
          </w:tcPr>
          <w:p w14:paraId="275BDAC9"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 xml:space="preserve">Khách hàng doanh nghiệp </w:t>
            </w:r>
          </w:p>
        </w:tc>
        <w:tc>
          <w:tcPr>
            <w:tcW w:w="811" w:type="pct"/>
            <w:gridSpan w:val="2"/>
            <w:noWrap/>
            <w:vAlign w:val="center"/>
            <w:hideMark/>
          </w:tcPr>
          <w:p w14:paraId="09E52312"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0,7</w:t>
            </w:r>
          </w:p>
        </w:tc>
        <w:tc>
          <w:tcPr>
            <w:tcW w:w="759" w:type="pct"/>
            <w:gridSpan w:val="2"/>
            <w:noWrap/>
            <w:vAlign w:val="center"/>
            <w:hideMark/>
          </w:tcPr>
          <w:p w14:paraId="367F190B"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0,42</w:t>
            </w:r>
          </w:p>
        </w:tc>
        <w:tc>
          <w:tcPr>
            <w:tcW w:w="822" w:type="pct"/>
            <w:gridSpan w:val="2"/>
            <w:noWrap/>
            <w:vAlign w:val="center"/>
            <w:hideMark/>
          </w:tcPr>
          <w:p w14:paraId="44F09AFB" w14:textId="77777777" w:rsidR="00FE1CD9" w:rsidRPr="00237B80" w:rsidRDefault="00FE1CD9" w:rsidP="00237B80">
            <w:pPr>
              <w:spacing w:after="0" w:line="240" w:lineRule="auto"/>
              <w:jc w:val="center"/>
              <w:rPr>
                <w:rFonts w:ascii="Times New Roman" w:eastAsia="Times New Roman" w:hAnsi="Times New Roman" w:cs="Times New Roman"/>
                <w:b/>
                <w:bCs/>
                <w:color w:val="000000"/>
                <w:kern w:val="0"/>
                <w:sz w:val="23"/>
                <w:szCs w:val="23"/>
                <w:lang w:eastAsia="zh-CN"/>
                <w14:ligatures w14:val="none"/>
              </w:rPr>
            </w:pPr>
            <w:r w:rsidRPr="00237B80">
              <w:rPr>
                <w:rFonts w:ascii="Times New Roman" w:eastAsia="Times New Roman" w:hAnsi="Times New Roman" w:cs="Times New Roman"/>
                <w:b/>
                <w:bCs/>
                <w:color w:val="000000"/>
                <w:kern w:val="0"/>
                <w:sz w:val="23"/>
                <w:szCs w:val="23"/>
                <w:lang w:eastAsia="zh-CN"/>
                <w14:ligatures w14:val="none"/>
              </w:rPr>
              <w:t>0,51</w:t>
            </w:r>
          </w:p>
        </w:tc>
        <w:tc>
          <w:tcPr>
            <w:tcW w:w="1546" w:type="pct"/>
            <w:gridSpan w:val="4"/>
            <w:vMerge/>
            <w:vAlign w:val="center"/>
            <w:hideMark/>
          </w:tcPr>
          <w:p w14:paraId="5D765CCF" w14:textId="77777777" w:rsidR="00FE1CD9" w:rsidRPr="00237B80" w:rsidRDefault="00FE1CD9" w:rsidP="00237B80">
            <w:pPr>
              <w:spacing w:after="0" w:line="240" w:lineRule="auto"/>
              <w:rPr>
                <w:rFonts w:ascii="Times New Roman" w:eastAsia="Times New Roman" w:hAnsi="Times New Roman" w:cs="Times New Roman"/>
                <w:b/>
                <w:bCs/>
                <w:color w:val="000000"/>
                <w:kern w:val="0"/>
                <w:sz w:val="23"/>
                <w:szCs w:val="23"/>
                <w:lang w:eastAsia="zh-CN"/>
                <w14:ligatures w14:val="none"/>
              </w:rPr>
            </w:pPr>
          </w:p>
        </w:tc>
      </w:tr>
    </w:tbl>
    <w:p w14:paraId="20BFAB8A" w14:textId="59F01D76" w:rsidR="006030CA" w:rsidRPr="002B008A" w:rsidRDefault="006030CA" w:rsidP="00237B80">
      <w:pPr>
        <w:spacing w:after="0" w:line="240" w:lineRule="auto"/>
        <w:jc w:val="right"/>
        <w:rPr>
          <w:rFonts w:ascii="Times New Roman" w:hAnsi="Times New Roman" w:cs="Times New Roman"/>
          <w:sz w:val="26"/>
          <w:szCs w:val="26"/>
          <w:lang w:val="vi-VN"/>
        </w:rPr>
        <w:sectPr w:rsidR="006030CA" w:rsidRPr="002B008A" w:rsidSect="009E0361">
          <w:pgSz w:w="16838" w:h="11906" w:orient="landscape" w:code="9"/>
          <w:pgMar w:top="1134" w:right="1134" w:bottom="1134" w:left="1701" w:header="720" w:footer="624" w:gutter="0"/>
          <w:cols w:space="720"/>
          <w:docGrid w:linePitch="360"/>
        </w:sectPr>
      </w:pPr>
      <w:r w:rsidRPr="002B008A">
        <w:rPr>
          <w:rFonts w:ascii="Times New Roman" w:hAnsi="Times New Roman" w:cs="Times New Roman"/>
          <w:color w:val="000000" w:themeColor="text1"/>
          <w:sz w:val="26"/>
          <w:szCs w:val="26"/>
          <w:lang w:val="vi-VN"/>
        </w:rPr>
        <w:t xml:space="preserve">                          </w:t>
      </w:r>
      <w:r w:rsidRPr="002B008A">
        <w:rPr>
          <w:rFonts w:ascii="Times New Roman" w:hAnsi="Times New Roman" w:cs="Times New Roman"/>
          <w:i/>
          <w:iCs/>
          <w:color w:val="000000" w:themeColor="text1"/>
          <w:sz w:val="26"/>
          <w:szCs w:val="26"/>
          <w:lang w:val="vi-VN"/>
        </w:rPr>
        <w:t>(Nguồn: Báo cáo tài chính Ngân hàng TMCP Quân đội - Chi Nhánh Đà Nẵng giai đoạn 2023 - 2025)</w:t>
      </w:r>
    </w:p>
    <w:p w14:paraId="04518786" w14:textId="2B42D238" w:rsidR="00760A41" w:rsidRPr="002B008A" w:rsidRDefault="00760A41" w:rsidP="00760A4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lastRenderedPageBreak/>
        <w:t>Dựa trên số liệu tại Bảng 2.</w:t>
      </w:r>
      <w:r w:rsidR="00AF3CEE" w:rsidRPr="002B008A">
        <w:rPr>
          <w:rFonts w:ascii="Times New Roman" w:hAnsi="Times New Roman" w:cs="Times New Roman"/>
          <w:color w:val="000000" w:themeColor="text1"/>
          <w:sz w:val="26"/>
          <w:szCs w:val="26"/>
          <w:lang w:val="vi-VN"/>
        </w:rPr>
        <w:t>4</w:t>
      </w:r>
      <w:r w:rsidRPr="002B008A">
        <w:rPr>
          <w:rFonts w:ascii="Times New Roman" w:hAnsi="Times New Roman" w:cs="Times New Roman"/>
          <w:color w:val="000000" w:themeColor="text1"/>
          <w:sz w:val="26"/>
          <w:szCs w:val="26"/>
          <w:lang w:val="vi-VN"/>
        </w:rPr>
        <w:t>, có thể nhận thấy hoạt động cho vay SXKD đối với KHCN tại MB Đà Nẵng giai đoạn 2023–2025 ghi nhận xu hướng tăng trưởng tích cực và ngày càng giữ vai trò quan trọng trong danh mục tín dụng bán lẻ. Doanh số cho vay SXKD đối với KHCN tăng từ 308,64 tỷ đồng năm 2023 lên 417,28 tỷ đồng năm 2024 và đạt 512,73 tỷ đồng năm 2025, tương ứng mức tăng 35,20% và 22,87%, duy trì tỷ trọng khoảng 37% trong tổng doanh số cho vay KHCN. Kết quả này phản ánh nhu cầu vốn phục vụ hoạt động SXKD của KHCN trên địa bàn vẫn ở mức cao, chủ yếu tập trung vào lĩnh vực thương mại và dịch vụ có chu kỳ quay vòng vốn ngắn. Bên cạnh đó, ngân hàng cũng định hướng mở rộng phân khúc này nhờ đặc điểm khoản vay nhỏ, khả năng phân tán rủi ro và tốc độ quay vòng vốn tương đối nhanh. Tuy nhiên, sự tăng trưởng chủ yếu vẫn mang tính mở rộng quy mô tín dụng, trong khi chất lượng tín dụng chưa có sự cải thiện tương ứng.</w:t>
      </w:r>
    </w:p>
    <w:p w14:paraId="0ABCA92C" w14:textId="6862E168" w:rsidR="005947C5" w:rsidRPr="002B008A" w:rsidRDefault="00760A41" w:rsidP="005947C5">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So với cho vay KHDN, tốc độ tăng trưởng của cho vay SXKD đối với KHCN cao hơn đáng kể. Cụ thể, cho vay SXKD đối với KHCN tăng bình quân trên 30% mỗi năm, trong khi cho vay KHDN chỉ tăng từ 934,23 tỷ đồng năm 2023 lên 970,19 tỷ đồng năm 2024 và đạt 1.081,35 tỷ đồng năm 2025, tương ứng mức tăng 3,85% và 11,44%. Điều này cho thấy cho vay SXKD đối với KHCN đang trở thành động lực tăng trưởng tín dụng quan trọng của chi nhánh, còn cho vay KHDN có xu hướng tăng trưởng ổn định hơn do phụ thuộc vào chu kỳ đầu tư dài hạn, quy mô khoản vay lớn và tiến độ thực hiện dự án. Ngược lại, cho vay SXKD đối với KHCN có nhu cầu </w:t>
      </w:r>
      <w:r w:rsidR="001D64A8" w:rsidRPr="002B008A">
        <w:rPr>
          <w:rFonts w:ascii="Times New Roman" w:hAnsi="Times New Roman" w:cs="Times New Roman"/>
          <w:color w:val="000000" w:themeColor="text1"/>
          <w:sz w:val="26"/>
          <w:szCs w:val="26"/>
          <w:lang w:val="vi-VN"/>
        </w:rPr>
        <w:t xml:space="preserve">bổ sung </w:t>
      </w:r>
      <w:r w:rsidRPr="002B008A">
        <w:rPr>
          <w:rFonts w:ascii="Times New Roman" w:hAnsi="Times New Roman" w:cs="Times New Roman"/>
          <w:color w:val="000000" w:themeColor="text1"/>
          <w:sz w:val="26"/>
          <w:szCs w:val="26"/>
          <w:lang w:val="vi-VN"/>
        </w:rPr>
        <w:t>vốn lưu động thường xuyên, chu kỳ kinh doanh ngắn và khả năng giải ngân linh hoạt hơn nên tốc độ mở rộng tín dụng cao hơn.</w:t>
      </w:r>
    </w:p>
    <w:p w14:paraId="0EE1AB9B" w14:textId="10EE2F19" w:rsidR="00760A41" w:rsidRPr="002B008A" w:rsidRDefault="00760A41" w:rsidP="00760A4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Ở chiều thu nợ, doanh số thu nợ cho vay SXKD đối với KHCN tăng từ 214,30 tỷ đồng năm 2023</w:t>
      </w:r>
      <w:r w:rsidR="005947C5" w:rsidRPr="002B008A">
        <w:rPr>
          <w:rFonts w:ascii="Times New Roman" w:hAnsi="Times New Roman" w:cs="Times New Roman"/>
          <w:color w:val="000000" w:themeColor="text1"/>
          <w:sz w:val="26"/>
          <w:szCs w:val="26"/>
          <w:lang w:val="vi-VN"/>
        </w:rPr>
        <w:t xml:space="preserve"> và </w:t>
      </w:r>
      <w:r w:rsidRPr="002B008A">
        <w:rPr>
          <w:rFonts w:ascii="Times New Roman" w:hAnsi="Times New Roman" w:cs="Times New Roman"/>
          <w:color w:val="000000" w:themeColor="text1"/>
          <w:sz w:val="26"/>
          <w:szCs w:val="26"/>
          <w:lang w:val="vi-VN"/>
        </w:rPr>
        <w:t xml:space="preserve">đạt 346,48 tỷ đồng </w:t>
      </w:r>
      <w:r w:rsidR="005947C5" w:rsidRPr="002B008A">
        <w:rPr>
          <w:rFonts w:ascii="Times New Roman" w:hAnsi="Times New Roman" w:cs="Times New Roman"/>
          <w:color w:val="000000" w:themeColor="text1"/>
          <w:sz w:val="26"/>
          <w:szCs w:val="26"/>
          <w:lang w:val="vi-VN"/>
        </w:rPr>
        <w:t xml:space="preserve">vào </w:t>
      </w:r>
      <w:r w:rsidRPr="002B008A">
        <w:rPr>
          <w:rFonts w:ascii="Times New Roman" w:hAnsi="Times New Roman" w:cs="Times New Roman"/>
          <w:color w:val="000000" w:themeColor="text1"/>
          <w:sz w:val="26"/>
          <w:szCs w:val="26"/>
          <w:lang w:val="vi-VN"/>
        </w:rPr>
        <w:t>năm 2025, chiếm khoảng 37% tổng doanh số thu nợ KHCN. Điều này phản ánh khả năng thu hồi vốn của chi nhánh nhìn chung vẫn duy trì xu hướng tích cực cùng với tốc độ tăng trưởng tín dụng. Tuy nhiên, tốc độ tăng doanh số thu nợ vẫn thấp hơn tốc độ tăng doanh số cho vay qua các năm, cho thấy quy mô giải ngân đang mở rộng nhanh hơn khả năng thu hồi vốn. Khi đặt trong tương quan so sánh, khả năng thu nợ của cho vay SXKD đối với KHCN biến động lớn hơn cho vay KHDN do dòng tiền phụ thuộc trực tiếp vào hoạt động kinh doanh bán lẻ, trong khi cho vay KHDN có nguồn thu gắn với hợp đồng kinh tế và kế hoạch tài chính tương đối ổn định.</w:t>
      </w:r>
    </w:p>
    <w:p w14:paraId="754E782D" w14:textId="7686E898" w:rsidR="00E82983" w:rsidRPr="002B008A" w:rsidRDefault="00760A41" w:rsidP="00760A4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lastRenderedPageBreak/>
        <w:t xml:space="preserve">Về dư nợ, cho vay SXKD đối với KHCN tăng mạnh từ 403,17 tỷ đồng năm 2023 lên 536,54 tỷ đồng năm 2024 và đạt 702,79 tỷ đồng năm 2025, tương ứng mức tăng 33,08% và 30,99%, cao hơn đáng kể so với tốc độ tăng dư nợ KHDN. Tỷ trọng dư nợ cho vay SXKD đối với KHCN trong tổng dư nợ KHCN cũng tăng từ 25,95% lên 30,06%, cho thấy quy mô tín dụng đối với phân khúc này ngày càng mở rộng và giữ vai trò quan trọng trong danh mục tín dụng bán lẻ của chi nhánh. Diễn biến này phản ánh quá trình mở rộng nhanh của cho vay SXKD đối với KHCN, đồng thời cho thấy hiện tượng tích lũy dư nợ khi tốc độ thu nợ chưa theo kịp tốc độ giải ngân. </w:t>
      </w:r>
      <w:r w:rsidR="00E82983" w:rsidRPr="002B008A">
        <w:rPr>
          <w:rFonts w:ascii="Times New Roman" w:hAnsi="Times New Roman" w:cs="Times New Roman"/>
          <w:color w:val="000000" w:themeColor="text1"/>
          <w:sz w:val="26"/>
          <w:szCs w:val="26"/>
          <w:lang w:val="vi-VN"/>
        </w:rPr>
        <w:t xml:space="preserve">Điều này cho thấy vòng quay vốn của </w:t>
      </w:r>
      <w:r w:rsidR="00A63019" w:rsidRPr="002B008A">
        <w:rPr>
          <w:rFonts w:ascii="Times New Roman" w:hAnsi="Times New Roman" w:cs="Times New Roman"/>
          <w:color w:val="000000" w:themeColor="text1"/>
          <w:sz w:val="26"/>
          <w:szCs w:val="26"/>
          <w:lang w:val="vi-VN"/>
        </w:rPr>
        <w:t xml:space="preserve">KHCN </w:t>
      </w:r>
      <w:r w:rsidR="00E82983" w:rsidRPr="002B008A">
        <w:rPr>
          <w:rFonts w:ascii="Times New Roman" w:hAnsi="Times New Roman" w:cs="Times New Roman"/>
          <w:color w:val="000000" w:themeColor="text1"/>
          <w:sz w:val="26"/>
          <w:szCs w:val="26"/>
          <w:lang w:val="vi-VN"/>
        </w:rPr>
        <w:t>kinh doanh có xu hướng chậm lại do công nợ kéo dài và hàng tồn kho gia tăng.</w:t>
      </w:r>
    </w:p>
    <w:p w14:paraId="492E61FF" w14:textId="3651A5B2" w:rsidR="00CB5543" w:rsidRPr="002B008A" w:rsidRDefault="00CB5543" w:rsidP="00760A4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Về chất lượng tín dụng, nợ xấu cho vay SXKD đối với KHCN tăng từ 2,61 tỷ đồng năm 2023 lên 3,33 tỷ đồng năm 2024 và đạt 4,98 tỷ đồng năm 2025. Trong khi dư nợ tăng khoảng 30,99%, tốc độ tăng nợ xấu lại cao hơn đáng kể, cho thấy áp lực kiểm soát chất lượng tín dụng ngày càng lớn trong quá trình mở rộng dư nợ.</w:t>
      </w:r>
      <w:r w:rsidR="00760A41" w:rsidRPr="002B008A">
        <w:rPr>
          <w:rFonts w:ascii="Times New Roman" w:hAnsi="Times New Roman" w:cs="Times New Roman"/>
          <w:color w:val="000000" w:themeColor="text1"/>
          <w:sz w:val="26"/>
          <w:szCs w:val="26"/>
          <w:lang w:val="vi-VN"/>
        </w:rPr>
        <w:t xml:space="preserve"> Tỷ lệ nợ xấu biến động từ 0,65% năm 2023 xuống 0,62% năm 2024 nhưng tăng trở lại lên 0,71% vào năm 2025, phản ánh chất lượng tín dụng chưa thực sự ổn định và bắt đầu xuất hiện dấu hiệu suy giảm vào cuối giai đoạn nghiên cứu. Năm 2024, tỷ lệ nợ xấu giảm chủ yếu do ngân hàng thu hồi và xử lý được một phần nợ cũ, trong khi dư nợ tăng khá mạnh nên làm tỷ lệ nợ xấu được cải thiện tạm thời. </w:t>
      </w:r>
      <w:r w:rsidR="00D34CB2" w:rsidRPr="002B008A">
        <w:rPr>
          <w:rFonts w:ascii="Times New Roman" w:hAnsi="Times New Roman" w:cs="Times New Roman"/>
          <w:color w:val="000000" w:themeColor="text1"/>
          <w:sz w:val="26"/>
          <w:szCs w:val="26"/>
          <w:lang w:val="vi-VN"/>
        </w:rPr>
        <w:t xml:space="preserve">Tuy nhiên sang năm 2025, áp lực nợ xấu tăng cao do nhiều khoản vay đến hạn trả gốc trong </w:t>
      </w:r>
      <w:r w:rsidRPr="002B008A">
        <w:rPr>
          <w:rFonts w:ascii="Times New Roman" w:hAnsi="Times New Roman" w:cs="Times New Roman"/>
          <w:color w:val="000000" w:themeColor="text1"/>
          <w:sz w:val="26"/>
          <w:szCs w:val="26"/>
          <w:lang w:val="vi-VN"/>
        </w:rPr>
        <w:t>khả năng thanh toán của KHCN suy giảm do chi phí đầu vào tăng và sức mua thị trường giảm, dẫn đến tình trạng chậm trả gốc lãi định kỳ.</w:t>
      </w:r>
    </w:p>
    <w:p w14:paraId="1256512D" w14:textId="33331160" w:rsidR="006555D9" w:rsidRPr="002B008A" w:rsidRDefault="00760A41" w:rsidP="00760A4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So với cho vay KHDN, nợ xấu trong cho vay SXKD đối với KHCN tăng nhanh hơn do KHCN kinh doanh thường có quy mô nhỏ, dòng tiền thiếu ổn định và phụ thuộc nhiều vào biến động thị trường. Trong khi đó, KHDN thường có kế hoạch tài chính rõ ràng hơn, nguồn thu ổn định hơn và khả năng kiểm soát dòng tiền tốt hơn nên mức độ rủi ro thấp hơn. Bên cạnh đó, các khoản vay KHCN có số lượng lớn nhưng phân tán, khiến ngân hàng gặp nhiều khó khăn hơn trong công tác kiểm tra và giám sát sau cho vay. Vì vậy, khi phát sinh rủi ro, việc nhận diện và xử lý trong một số trường hợp chưa thực sự kịp thời, làm cho nợ xấu có xu hướng gia tăng theo thời gian.</w:t>
      </w:r>
    </w:p>
    <w:p w14:paraId="7FBC6D0D" w14:textId="77777777" w:rsidR="006555D9" w:rsidRPr="002B008A" w:rsidRDefault="006555D9" w:rsidP="00EA7516">
      <w:pPr>
        <w:tabs>
          <w:tab w:val="left" w:pos="6210"/>
        </w:tabs>
        <w:spacing w:after="0" w:line="360" w:lineRule="auto"/>
        <w:ind w:firstLine="567"/>
        <w:jc w:val="both"/>
        <w:rPr>
          <w:rFonts w:ascii="Times New Roman" w:hAnsi="Times New Roman" w:cs="Times New Roman"/>
          <w:color w:val="000000" w:themeColor="text1"/>
          <w:sz w:val="26"/>
          <w:szCs w:val="26"/>
          <w:lang w:val="vi-VN"/>
        </w:rPr>
        <w:sectPr w:rsidR="006555D9" w:rsidRPr="002B008A" w:rsidSect="009E0361">
          <w:pgSz w:w="11906" w:h="16838" w:code="9"/>
          <w:pgMar w:top="1134" w:right="1134" w:bottom="1134" w:left="1701" w:header="720" w:footer="720" w:gutter="0"/>
          <w:cols w:space="720"/>
          <w:docGrid w:linePitch="360"/>
        </w:sectPr>
      </w:pPr>
    </w:p>
    <w:p w14:paraId="193E624C" w14:textId="15575F64" w:rsidR="00EA7516" w:rsidRPr="002B008A" w:rsidRDefault="00EB0E27" w:rsidP="00EB0E27">
      <w:pPr>
        <w:pStyle w:val="Caption"/>
        <w:jc w:val="center"/>
        <w:rPr>
          <w:rFonts w:ascii="Times New Roman" w:hAnsi="Times New Roman" w:cs="Times New Roman"/>
          <w:b/>
          <w:bCs/>
          <w:i w:val="0"/>
          <w:iCs w:val="0"/>
          <w:color w:val="000000" w:themeColor="text1"/>
          <w:sz w:val="26"/>
          <w:szCs w:val="26"/>
          <w:lang w:val="vi-VN"/>
        </w:rPr>
      </w:pPr>
      <w:bookmarkStart w:id="53" w:name="_Toc230367581"/>
      <w:r w:rsidRPr="002B008A">
        <w:rPr>
          <w:rFonts w:ascii="Times New Roman" w:hAnsi="Times New Roman" w:cs="Times New Roman"/>
          <w:b/>
          <w:bCs/>
          <w:i w:val="0"/>
          <w:iCs w:val="0"/>
          <w:color w:val="000000" w:themeColor="text1"/>
          <w:sz w:val="26"/>
          <w:szCs w:val="26"/>
          <w:lang w:val="vi-VN"/>
        </w:rPr>
        <w:lastRenderedPageBreak/>
        <w:t>Bảng 2.</w:t>
      </w:r>
      <w:r w:rsidRPr="002B008A">
        <w:rPr>
          <w:rFonts w:ascii="Times New Roman" w:hAnsi="Times New Roman" w:cs="Times New Roman"/>
          <w:b/>
          <w:bCs/>
          <w:i w:val="0"/>
          <w:iCs w:val="0"/>
          <w:color w:val="000000" w:themeColor="text1"/>
          <w:sz w:val="26"/>
          <w:szCs w:val="26"/>
        </w:rPr>
        <w:fldChar w:fldCharType="begin"/>
      </w:r>
      <w:r w:rsidRPr="002B008A">
        <w:rPr>
          <w:rFonts w:ascii="Times New Roman" w:hAnsi="Times New Roman" w:cs="Times New Roman"/>
          <w:b/>
          <w:bCs/>
          <w:i w:val="0"/>
          <w:iCs w:val="0"/>
          <w:color w:val="000000" w:themeColor="text1"/>
          <w:sz w:val="26"/>
          <w:szCs w:val="26"/>
          <w:lang w:val="vi-VN"/>
        </w:rPr>
        <w:instrText xml:space="preserve"> SEQ Bảng_2. \* ARABIC </w:instrText>
      </w:r>
      <w:r w:rsidRPr="002B008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5</w:t>
      </w:r>
      <w:r w:rsidRPr="002B008A">
        <w:rPr>
          <w:rFonts w:ascii="Times New Roman" w:hAnsi="Times New Roman" w:cs="Times New Roman"/>
          <w:b/>
          <w:bCs/>
          <w:i w:val="0"/>
          <w:iCs w:val="0"/>
          <w:color w:val="000000" w:themeColor="text1"/>
          <w:sz w:val="26"/>
          <w:szCs w:val="26"/>
        </w:rPr>
        <w:fldChar w:fldCharType="end"/>
      </w:r>
      <w:r w:rsidRPr="002B008A">
        <w:rPr>
          <w:rFonts w:ascii="Times New Roman" w:hAnsi="Times New Roman" w:cs="Times New Roman"/>
          <w:b/>
          <w:bCs/>
          <w:i w:val="0"/>
          <w:iCs w:val="0"/>
          <w:color w:val="000000" w:themeColor="text1"/>
          <w:sz w:val="26"/>
          <w:szCs w:val="26"/>
          <w:lang w:val="vi-VN"/>
        </w:rPr>
        <w:t xml:space="preserve"> </w:t>
      </w:r>
      <w:r w:rsidR="00EA7516" w:rsidRPr="002B008A">
        <w:rPr>
          <w:rFonts w:ascii="Times New Roman" w:hAnsi="Times New Roman" w:cs="Times New Roman"/>
          <w:b/>
          <w:bCs/>
          <w:i w:val="0"/>
          <w:iCs w:val="0"/>
          <w:color w:val="000000" w:themeColor="text1"/>
          <w:sz w:val="26"/>
          <w:szCs w:val="26"/>
          <w:lang w:val="vi-VN"/>
        </w:rPr>
        <w:t xml:space="preserve">Kiểm soát rủi ro hoạt động cho vay sản xuất kinh doanh đối với khách hàng cá nhân tại Ngân hàng TMCP Quân đội – Chi nhánh Đà </w:t>
      </w:r>
      <w:r w:rsidR="00BE2DA5" w:rsidRPr="002B008A">
        <w:rPr>
          <w:rFonts w:ascii="Times New Roman" w:hAnsi="Times New Roman" w:cs="Times New Roman"/>
          <w:b/>
          <w:bCs/>
          <w:i w:val="0"/>
          <w:iCs w:val="0"/>
          <w:color w:val="000000" w:themeColor="text1"/>
          <w:sz w:val="26"/>
          <w:szCs w:val="26"/>
          <w:lang w:val="vi-VN"/>
        </w:rPr>
        <w:t>Nẵng.</w:t>
      </w:r>
      <w:bookmarkEnd w:id="53"/>
    </w:p>
    <w:p w14:paraId="7E64539A" w14:textId="3512A23D" w:rsidR="00EA7516" w:rsidRPr="002B008A" w:rsidRDefault="00F01711" w:rsidP="00EA7516">
      <w:pPr>
        <w:tabs>
          <w:tab w:val="left" w:pos="6210"/>
        </w:tabs>
        <w:spacing w:after="0" w:line="360" w:lineRule="auto"/>
        <w:ind w:firstLine="567"/>
        <w:jc w:val="right"/>
        <w:rPr>
          <w:rFonts w:ascii="Times New Roman" w:hAnsi="Times New Roman" w:cs="Times New Roman"/>
          <w:i/>
          <w:iCs/>
          <w:color w:val="000000" w:themeColor="text1"/>
          <w:sz w:val="26"/>
          <w:szCs w:val="26"/>
          <w:lang w:val="vi-VN"/>
        </w:rPr>
      </w:pPr>
      <w:r w:rsidRPr="002B008A">
        <w:rPr>
          <w:rFonts w:ascii="Times New Roman" w:hAnsi="Times New Roman" w:cs="Times New Roman"/>
          <w:i/>
          <w:iCs/>
          <w:color w:val="000000" w:themeColor="text1"/>
          <w:sz w:val="26"/>
          <w:szCs w:val="26"/>
        </w:rPr>
        <w:t xml:space="preserve">Đơn vị tính: </w:t>
      </w:r>
      <w:r w:rsidR="00EA7516" w:rsidRPr="002B008A">
        <w:rPr>
          <w:rFonts w:ascii="Times New Roman" w:hAnsi="Times New Roman" w:cs="Times New Roman"/>
          <w:i/>
          <w:iCs/>
          <w:color w:val="000000" w:themeColor="text1"/>
          <w:sz w:val="26"/>
          <w:szCs w:val="26"/>
          <w:lang w:val="vi-VN"/>
        </w:rPr>
        <w:t>Tỷ đồng</w:t>
      </w:r>
    </w:p>
    <w:tbl>
      <w:tblPr>
        <w:tblW w:w="0" w:type="auto"/>
        <w:tblLayout w:type="fixed"/>
        <w:tblLook w:val="04A0" w:firstRow="1" w:lastRow="0" w:firstColumn="1" w:lastColumn="0" w:noHBand="0" w:noVBand="1"/>
      </w:tblPr>
      <w:tblGrid>
        <w:gridCol w:w="3372"/>
        <w:gridCol w:w="1018"/>
        <w:gridCol w:w="982"/>
        <w:gridCol w:w="1002"/>
        <w:gridCol w:w="851"/>
        <w:gridCol w:w="1134"/>
        <w:gridCol w:w="992"/>
        <w:gridCol w:w="992"/>
        <w:gridCol w:w="1276"/>
        <w:gridCol w:w="1417"/>
        <w:gridCol w:w="1200"/>
      </w:tblGrid>
      <w:tr w:rsidR="00207D96" w:rsidRPr="002B008A" w14:paraId="3F288FBA" w14:textId="77777777" w:rsidTr="006555D9">
        <w:trPr>
          <w:trHeight w:val="283"/>
        </w:trPr>
        <w:tc>
          <w:tcPr>
            <w:tcW w:w="3372"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217BD7C7"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Chỉ tiêu</w:t>
            </w:r>
          </w:p>
        </w:tc>
        <w:tc>
          <w:tcPr>
            <w:tcW w:w="2000"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2711C2B7"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2023</w:t>
            </w:r>
          </w:p>
        </w:tc>
        <w:tc>
          <w:tcPr>
            <w:tcW w:w="1853"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6F679CA7"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2024</w:t>
            </w:r>
          </w:p>
        </w:tc>
        <w:tc>
          <w:tcPr>
            <w:tcW w:w="2126"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74F19904"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2025</w:t>
            </w:r>
          </w:p>
        </w:tc>
        <w:tc>
          <w:tcPr>
            <w:tcW w:w="2268"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73883373"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2024/2023</w:t>
            </w:r>
          </w:p>
        </w:tc>
        <w:tc>
          <w:tcPr>
            <w:tcW w:w="2617"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4B2AAC80"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2025/2024</w:t>
            </w:r>
          </w:p>
        </w:tc>
      </w:tr>
      <w:tr w:rsidR="00207D96" w:rsidRPr="002B008A" w14:paraId="54A334EE" w14:textId="77777777" w:rsidTr="006555D9">
        <w:trPr>
          <w:trHeight w:val="283"/>
        </w:trPr>
        <w:tc>
          <w:tcPr>
            <w:tcW w:w="3372" w:type="dxa"/>
            <w:vMerge/>
            <w:tcBorders>
              <w:top w:val="single" w:sz="4" w:space="0" w:color="auto"/>
              <w:left w:val="single" w:sz="4" w:space="0" w:color="auto"/>
              <w:bottom w:val="single" w:sz="4" w:space="0" w:color="000000"/>
              <w:right w:val="single" w:sz="4" w:space="0" w:color="auto"/>
            </w:tcBorders>
            <w:vAlign w:val="center"/>
            <w:hideMark/>
          </w:tcPr>
          <w:p w14:paraId="121EBB9F" w14:textId="77777777" w:rsidR="00207D96" w:rsidRPr="002B008A" w:rsidRDefault="00207D96" w:rsidP="00207D96">
            <w:pPr>
              <w:spacing w:after="0" w:line="240" w:lineRule="auto"/>
              <w:rPr>
                <w:rFonts w:ascii="Times New Roman" w:eastAsia="Times New Roman" w:hAnsi="Times New Roman" w:cs="Times New Roman"/>
                <w:b/>
                <w:bCs/>
                <w:color w:val="000000"/>
                <w:kern w:val="0"/>
                <w:sz w:val="26"/>
                <w:szCs w:val="26"/>
                <w:lang w:eastAsia="zh-CN"/>
                <w14:ligatures w14:val="none"/>
              </w:rPr>
            </w:pPr>
          </w:p>
        </w:tc>
        <w:tc>
          <w:tcPr>
            <w:tcW w:w="1018" w:type="dxa"/>
            <w:tcBorders>
              <w:top w:val="nil"/>
              <w:left w:val="nil"/>
              <w:bottom w:val="single" w:sz="4" w:space="0" w:color="auto"/>
              <w:right w:val="single" w:sz="4" w:space="0" w:color="auto"/>
            </w:tcBorders>
            <w:shd w:val="clear" w:color="000000" w:fill="DDEBF7"/>
            <w:noWrap/>
            <w:vAlign w:val="center"/>
            <w:hideMark/>
          </w:tcPr>
          <w:p w14:paraId="40108F90"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982" w:type="dxa"/>
            <w:tcBorders>
              <w:top w:val="nil"/>
              <w:left w:val="nil"/>
              <w:bottom w:val="single" w:sz="4" w:space="0" w:color="auto"/>
              <w:right w:val="single" w:sz="4" w:space="0" w:color="auto"/>
            </w:tcBorders>
            <w:shd w:val="clear" w:color="000000" w:fill="DDEBF7"/>
            <w:noWrap/>
            <w:vAlign w:val="center"/>
            <w:hideMark/>
          </w:tcPr>
          <w:p w14:paraId="5660681E"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 xml:space="preserve">Tỷ trọng (%)        </w:t>
            </w:r>
          </w:p>
        </w:tc>
        <w:tc>
          <w:tcPr>
            <w:tcW w:w="1002" w:type="dxa"/>
            <w:tcBorders>
              <w:top w:val="nil"/>
              <w:left w:val="nil"/>
              <w:bottom w:val="single" w:sz="4" w:space="0" w:color="auto"/>
              <w:right w:val="single" w:sz="4" w:space="0" w:color="auto"/>
            </w:tcBorders>
            <w:shd w:val="clear" w:color="000000" w:fill="DDEBF7"/>
            <w:noWrap/>
            <w:vAlign w:val="center"/>
            <w:hideMark/>
          </w:tcPr>
          <w:p w14:paraId="4B873AD0"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851" w:type="dxa"/>
            <w:tcBorders>
              <w:top w:val="nil"/>
              <w:left w:val="nil"/>
              <w:bottom w:val="single" w:sz="4" w:space="0" w:color="auto"/>
              <w:right w:val="single" w:sz="4" w:space="0" w:color="auto"/>
            </w:tcBorders>
            <w:shd w:val="clear" w:color="000000" w:fill="DDEBF7"/>
            <w:noWrap/>
            <w:vAlign w:val="center"/>
            <w:hideMark/>
          </w:tcPr>
          <w:p w14:paraId="1DE81754"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 xml:space="preserve">Tỷ trọng (%)   </w:t>
            </w:r>
          </w:p>
        </w:tc>
        <w:tc>
          <w:tcPr>
            <w:tcW w:w="1134" w:type="dxa"/>
            <w:tcBorders>
              <w:top w:val="nil"/>
              <w:left w:val="nil"/>
              <w:bottom w:val="single" w:sz="4" w:space="0" w:color="auto"/>
              <w:right w:val="single" w:sz="4" w:space="0" w:color="auto"/>
            </w:tcBorders>
            <w:shd w:val="clear" w:color="000000" w:fill="DDEBF7"/>
            <w:noWrap/>
            <w:vAlign w:val="center"/>
            <w:hideMark/>
          </w:tcPr>
          <w:p w14:paraId="6BD3BC37"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992" w:type="dxa"/>
            <w:tcBorders>
              <w:top w:val="nil"/>
              <w:left w:val="nil"/>
              <w:bottom w:val="single" w:sz="4" w:space="0" w:color="auto"/>
              <w:right w:val="single" w:sz="4" w:space="0" w:color="auto"/>
            </w:tcBorders>
            <w:shd w:val="clear" w:color="000000" w:fill="DDEBF7"/>
            <w:noWrap/>
            <w:vAlign w:val="center"/>
            <w:hideMark/>
          </w:tcPr>
          <w:p w14:paraId="34E88DDB"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 xml:space="preserve">Tỷ trọng (%)   </w:t>
            </w:r>
          </w:p>
        </w:tc>
        <w:tc>
          <w:tcPr>
            <w:tcW w:w="992" w:type="dxa"/>
            <w:tcBorders>
              <w:top w:val="nil"/>
              <w:left w:val="nil"/>
              <w:bottom w:val="single" w:sz="4" w:space="0" w:color="auto"/>
              <w:right w:val="single" w:sz="4" w:space="0" w:color="auto"/>
            </w:tcBorders>
            <w:shd w:val="clear" w:color="000000" w:fill="DDEBF7"/>
            <w:noWrap/>
            <w:vAlign w:val="center"/>
            <w:hideMark/>
          </w:tcPr>
          <w:p w14:paraId="5896D868"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276" w:type="dxa"/>
            <w:tcBorders>
              <w:top w:val="nil"/>
              <w:left w:val="nil"/>
              <w:bottom w:val="single" w:sz="4" w:space="0" w:color="auto"/>
              <w:right w:val="single" w:sz="4" w:space="0" w:color="auto"/>
            </w:tcBorders>
            <w:shd w:val="clear" w:color="000000" w:fill="DDEBF7"/>
            <w:noWrap/>
            <w:vAlign w:val="center"/>
            <w:hideMark/>
          </w:tcPr>
          <w:p w14:paraId="2DF9036C"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c>
          <w:tcPr>
            <w:tcW w:w="1417" w:type="dxa"/>
            <w:tcBorders>
              <w:top w:val="nil"/>
              <w:left w:val="nil"/>
              <w:bottom w:val="single" w:sz="4" w:space="0" w:color="auto"/>
              <w:right w:val="single" w:sz="4" w:space="0" w:color="auto"/>
            </w:tcBorders>
            <w:shd w:val="clear" w:color="000000" w:fill="DDEBF7"/>
            <w:noWrap/>
            <w:vAlign w:val="center"/>
            <w:hideMark/>
          </w:tcPr>
          <w:p w14:paraId="45050074"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200" w:type="dxa"/>
            <w:tcBorders>
              <w:top w:val="nil"/>
              <w:left w:val="nil"/>
              <w:bottom w:val="single" w:sz="4" w:space="0" w:color="auto"/>
              <w:right w:val="single" w:sz="4" w:space="0" w:color="auto"/>
            </w:tcBorders>
            <w:shd w:val="clear" w:color="000000" w:fill="DDEBF7"/>
            <w:noWrap/>
            <w:vAlign w:val="center"/>
            <w:hideMark/>
          </w:tcPr>
          <w:p w14:paraId="6BEF4126" w14:textId="77777777" w:rsidR="00207D96" w:rsidRPr="002B008A" w:rsidRDefault="00207D96" w:rsidP="00207D96">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r>
      <w:tr w:rsidR="00207D96" w:rsidRPr="002B008A" w14:paraId="49C4CA8A" w14:textId="77777777" w:rsidTr="006555D9">
        <w:trPr>
          <w:trHeight w:val="283"/>
        </w:trPr>
        <w:tc>
          <w:tcPr>
            <w:tcW w:w="3372" w:type="dxa"/>
            <w:tcBorders>
              <w:top w:val="nil"/>
              <w:left w:val="single" w:sz="4" w:space="0" w:color="auto"/>
              <w:bottom w:val="single" w:sz="4" w:space="0" w:color="auto"/>
              <w:right w:val="nil"/>
            </w:tcBorders>
            <w:noWrap/>
            <w:vAlign w:val="center"/>
            <w:hideMark/>
          </w:tcPr>
          <w:p w14:paraId="14327E7B" w14:textId="77777777" w:rsidR="00207D96" w:rsidRPr="002B008A" w:rsidRDefault="00207D96" w:rsidP="00207D96">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Dư nợ cho vay SXKD đối với KHCN</w:t>
            </w:r>
          </w:p>
        </w:tc>
        <w:tc>
          <w:tcPr>
            <w:tcW w:w="1018" w:type="dxa"/>
            <w:tcBorders>
              <w:top w:val="nil"/>
              <w:left w:val="single" w:sz="4" w:space="0" w:color="auto"/>
              <w:bottom w:val="single" w:sz="4" w:space="0" w:color="auto"/>
              <w:right w:val="single" w:sz="4" w:space="0" w:color="auto"/>
            </w:tcBorders>
            <w:noWrap/>
            <w:vAlign w:val="center"/>
            <w:hideMark/>
          </w:tcPr>
          <w:p w14:paraId="702AFD5D" w14:textId="44DCDFA3"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403,17</w:t>
            </w:r>
          </w:p>
        </w:tc>
        <w:tc>
          <w:tcPr>
            <w:tcW w:w="982" w:type="dxa"/>
            <w:tcBorders>
              <w:top w:val="nil"/>
              <w:left w:val="nil"/>
              <w:bottom w:val="single" w:sz="4" w:space="0" w:color="auto"/>
              <w:right w:val="single" w:sz="4" w:space="0" w:color="auto"/>
            </w:tcBorders>
            <w:noWrap/>
            <w:vAlign w:val="center"/>
            <w:hideMark/>
          </w:tcPr>
          <w:p w14:paraId="3C46B9F8" w14:textId="005A8D7B"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002" w:type="dxa"/>
            <w:tcBorders>
              <w:top w:val="nil"/>
              <w:left w:val="nil"/>
              <w:bottom w:val="single" w:sz="4" w:space="0" w:color="auto"/>
              <w:right w:val="single" w:sz="4" w:space="0" w:color="auto"/>
            </w:tcBorders>
            <w:noWrap/>
            <w:vAlign w:val="center"/>
            <w:hideMark/>
          </w:tcPr>
          <w:p w14:paraId="00592934" w14:textId="69945A93"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536,54</w:t>
            </w:r>
          </w:p>
        </w:tc>
        <w:tc>
          <w:tcPr>
            <w:tcW w:w="851" w:type="dxa"/>
            <w:tcBorders>
              <w:top w:val="nil"/>
              <w:left w:val="nil"/>
              <w:bottom w:val="single" w:sz="4" w:space="0" w:color="auto"/>
              <w:right w:val="single" w:sz="4" w:space="0" w:color="auto"/>
            </w:tcBorders>
            <w:noWrap/>
            <w:vAlign w:val="center"/>
            <w:hideMark/>
          </w:tcPr>
          <w:p w14:paraId="778E55A7" w14:textId="376A93CE"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34" w:type="dxa"/>
            <w:tcBorders>
              <w:top w:val="nil"/>
              <w:left w:val="nil"/>
              <w:bottom w:val="single" w:sz="4" w:space="0" w:color="auto"/>
              <w:right w:val="single" w:sz="4" w:space="0" w:color="auto"/>
            </w:tcBorders>
            <w:noWrap/>
            <w:vAlign w:val="center"/>
            <w:hideMark/>
          </w:tcPr>
          <w:p w14:paraId="2A78D67D" w14:textId="56BDB3CF"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702,29</w:t>
            </w:r>
          </w:p>
        </w:tc>
        <w:tc>
          <w:tcPr>
            <w:tcW w:w="992" w:type="dxa"/>
            <w:tcBorders>
              <w:top w:val="nil"/>
              <w:left w:val="nil"/>
              <w:bottom w:val="single" w:sz="4" w:space="0" w:color="auto"/>
              <w:right w:val="single" w:sz="4" w:space="0" w:color="auto"/>
            </w:tcBorders>
            <w:noWrap/>
            <w:vAlign w:val="center"/>
            <w:hideMark/>
          </w:tcPr>
          <w:p w14:paraId="78C95425" w14:textId="35A63779"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992" w:type="dxa"/>
            <w:tcBorders>
              <w:top w:val="nil"/>
              <w:left w:val="nil"/>
              <w:bottom w:val="single" w:sz="4" w:space="0" w:color="auto"/>
              <w:right w:val="single" w:sz="4" w:space="0" w:color="auto"/>
            </w:tcBorders>
            <w:noWrap/>
            <w:vAlign w:val="center"/>
            <w:hideMark/>
          </w:tcPr>
          <w:p w14:paraId="5EAE0E5E" w14:textId="77777777"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133,37</w:t>
            </w:r>
          </w:p>
        </w:tc>
        <w:tc>
          <w:tcPr>
            <w:tcW w:w="1276" w:type="dxa"/>
            <w:tcBorders>
              <w:top w:val="nil"/>
              <w:left w:val="nil"/>
              <w:bottom w:val="single" w:sz="4" w:space="0" w:color="auto"/>
              <w:right w:val="single" w:sz="4" w:space="0" w:color="auto"/>
            </w:tcBorders>
            <w:noWrap/>
            <w:vAlign w:val="center"/>
            <w:hideMark/>
          </w:tcPr>
          <w:p w14:paraId="566A20F6" w14:textId="77777777"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33,08</w:t>
            </w:r>
          </w:p>
        </w:tc>
        <w:tc>
          <w:tcPr>
            <w:tcW w:w="1417" w:type="dxa"/>
            <w:tcBorders>
              <w:top w:val="nil"/>
              <w:left w:val="nil"/>
              <w:bottom w:val="single" w:sz="4" w:space="0" w:color="auto"/>
              <w:right w:val="single" w:sz="4" w:space="0" w:color="auto"/>
            </w:tcBorders>
            <w:noWrap/>
            <w:vAlign w:val="center"/>
            <w:hideMark/>
          </w:tcPr>
          <w:p w14:paraId="407F5E06" w14:textId="77777777"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165,75</w:t>
            </w:r>
          </w:p>
        </w:tc>
        <w:tc>
          <w:tcPr>
            <w:tcW w:w="1200" w:type="dxa"/>
            <w:tcBorders>
              <w:top w:val="nil"/>
              <w:left w:val="nil"/>
              <w:bottom w:val="single" w:sz="4" w:space="0" w:color="auto"/>
              <w:right w:val="single" w:sz="4" w:space="0" w:color="auto"/>
            </w:tcBorders>
            <w:noWrap/>
            <w:vAlign w:val="center"/>
            <w:hideMark/>
          </w:tcPr>
          <w:p w14:paraId="7146F228" w14:textId="6D3B083F" w:rsidR="00207D96" w:rsidRPr="002B008A" w:rsidRDefault="00207D96" w:rsidP="006555D9">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30,89</w:t>
            </w:r>
          </w:p>
        </w:tc>
      </w:tr>
      <w:tr w:rsidR="00207D96" w:rsidRPr="002B008A" w14:paraId="15423815" w14:textId="77777777" w:rsidTr="006555D9">
        <w:trPr>
          <w:trHeight w:val="283"/>
        </w:trPr>
        <w:tc>
          <w:tcPr>
            <w:tcW w:w="3372" w:type="dxa"/>
            <w:tcBorders>
              <w:top w:val="nil"/>
              <w:left w:val="single" w:sz="4" w:space="0" w:color="auto"/>
              <w:bottom w:val="single" w:sz="4" w:space="0" w:color="auto"/>
              <w:right w:val="nil"/>
            </w:tcBorders>
            <w:noWrap/>
            <w:vAlign w:val="bottom"/>
            <w:hideMark/>
          </w:tcPr>
          <w:p w14:paraId="1D9ADA17" w14:textId="77777777" w:rsidR="00207D96" w:rsidRPr="002B008A" w:rsidRDefault="00207D96" w:rsidP="00207D96">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Nhóm 1</w:t>
            </w:r>
          </w:p>
        </w:tc>
        <w:tc>
          <w:tcPr>
            <w:tcW w:w="1018" w:type="dxa"/>
            <w:tcBorders>
              <w:top w:val="nil"/>
              <w:left w:val="single" w:sz="4" w:space="0" w:color="auto"/>
              <w:bottom w:val="single" w:sz="4" w:space="0" w:color="auto"/>
              <w:right w:val="single" w:sz="4" w:space="0" w:color="auto"/>
            </w:tcBorders>
            <w:noWrap/>
            <w:vAlign w:val="center"/>
            <w:hideMark/>
          </w:tcPr>
          <w:p w14:paraId="58AD628B"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394,5</w:t>
            </w:r>
          </w:p>
        </w:tc>
        <w:tc>
          <w:tcPr>
            <w:tcW w:w="982" w:type="dxa"/>
            <w:tcBorders>
              <w:top w:val="nil"/>
              <w:left w:val="nil"/>
              <w:bottom w:val="single" w:sz="4" w:space="0" w:color="auto"/>
              <w:right w:val="single" w:sz="4" w:space="0" w:color="auto"/>
            </w:tcBorders>
            <w:noWrap/>
            <w:vAlign w:val="center"/>
            <w:hideMark/>
          </w:tcPr>
          <w:p w14:paraId="0EAA658F" w14:textId="138FC386"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97,85</w:t>
            </w:r>
          </w:p>
        </w:tc>
        <w:tc>
          <w:tcPr>
            <w:tcW w:w="1002" w:type="dxa"/>
            <w:tcBorders>
              <w:top w:val="nil"/>
              <w:left w:val="nil"/>
              <w:bottom w:val="single" w:sz="4" w:space="0" w:color="auto"/>
              <w:right w:val="single" w:sz="4" w:space="0" w:color="auto"/>
            </w:tcBorders>
            <w:noWrap/>
            <w:vAlign w:val="center"/>
            <w:hideMark/>
          </w:tcPr>
          <w:p w14:paraId="3A06EA7A"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527,61</w:t>
            </w:r>
          </w:p>
        </w:tc>
        <w:tc>
          <w:tcPr>
            <w:tcW w:w="851" w:type="dxa"/>
            <w:tcBorders>
              <w:top w:val="nil"/>
              <w:left w:val="nil"/>
              <w:bottom w:val="single" w:sz="4" w:space="0" w:color="auto"/>
              <w:right w:val="single" w:sz="4" w:space="0" w:color="auto"/>
            </w:tcBorders>
            <w:noWrap/>
            <w:vAlign w:val="center"/>
            <w:hideMark/>
          </w:tcPr>
          <w:p w14:paraId="365E27C2" w14:textId="51D5986F"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98,34</w:t>
            </w:r>
          </w:p>
        </w:tc>
        <w:tc>
          <w:tcPr>
            <w:tcW w:w="1134" w:type="dxa"/>
            <w:tcBorders>
              <w:top w:val="nil"/>
              <w:left w:val="nil"/>
              <w:bottom w:val="single" w:sz="4" w:space="0" w:color="auto"/>
              <w:right w:val="single" w:sz="4" w:space="0" w:color="auto"/>
            </w:tcBorders>
            <w:noWrap/>
            <w:vAlign w:val="center"/>
            <w:hideMark/>
          </w:tcPr>
          <w:p w14:paraId="5528045C"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689,02</w:t>
            </w:r>
          </w:p>
        </w:tc>
        <w:tc>
          <w:tcPr>
            <w:tcW w:w="992" w:type="dxa"/>
            <w:tcBorders>
              <w:top w:val="nil"/>
              <w:left w:val="nil"/>
              <w:bottom w:val="single" w:sz="4" w:space="0" w:color="auto"/>
              <w:right w:val="single" w:sz="4" w:space="0" w:color="auto"/>
            </w:tcBorders>
            <w:noWrap/>
            <w:vAlign w:val="center"/>
            <w:hideMark/>
          </w:tcPr>
          <w:p w14:paraId="7B3C10D0" w14:textId="2DB0715B"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98,11</w:t>
            </w:r>
          </w:p>
        </w:tc>
        <w:tc>
          <w:tcPr>
            <w:tcW w:w="992" w:type="dxa"/>
            <w:tcBorders>
              <w:top w:val="nil"/>
              <w:left w:val="nil"/>
              <w:bottom w:val="single" w:sz="4" w:space="0" w:color="auto"/>
              <w:right w:val="single" w:sz="4" w:space="0" w:color="auto"/>
            </w:tcBorders>
            <w:noWrap/>
            <w:vAlign w:val="center"/>
            <w:hideMark/>
          </w:tcPr>
          <w:p w14:paraId="4A5E0222"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133,11</w:t>
            </w:r>
          </w:p>
        </w:tc>
        <w:tc>
          <w:tcPr>
            <w:tcW w:w="1276" w:type="dxa"/>
            <w:tcBorders>
              <w:top w:val="nil"/>
              <w:left w:val="nil"/>
              <w:bottom w:val="single" w:sz="4" w:space="0" w:color="auto"/>
              <w:right w:val="single" w:sz="4" w:space="0" w:color="auto"/>
            </w:tcBorders>
            <w:noWrap/>
            <w:vAlign w:val="center"/>
            <w:hideMark/>
          </w:tcPr>
          <w:p w14:paraId="1384B4E3"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33,74</w:t>
            </w:r>
          </w:p>
        </w:tc>
        <w:tc>
          <w:tcPr>
            <w:tcW w:w="1417" w:type="dxa"/>
            <w:tcBorders>
              <w:top w:val="nil"/>
              <w:left w:val="nil"/>
              <w:bottom w:val="single" w:sz="4" w:space="0" w:color="auto"/>
              <w:right w:val="single" w:sz="4" w:space="0" w:color="auto"/>
            </w:tcBorders>
            <w:noWrap/>
            <w:vAlign w:val="center"/>
            <w:hideMark/>
          </w:tcPr>
          <w:p w14:paraId="651C1678"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161,41</w:t>
            </w:r>
          </w:p>
        </w:tc>
        <w:tc>
          <w:tcPr>
            <w:tcW w:w="1200" w:type="dxa"/>
            <w:tcBorders>
              <w:top w:val="nil"/>
              <w:left w:val="nil"/>
              <w:bottom w:val="single" w:sz="4" w:space="0" w:color="auto"/>
              <w:right w:val="single" w:sz="4" w:space="0" w:color="auto"/>
            </w:tcBorders>
            <w:noWrap/>
            <w:vAlign w:val="center"/>
            <w:hideMark/>
          </w:tcPr>
          <w:p w14:paraId="0196E7AB" w14:textId="520CC6AB"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30,59</w:t>
            </w:r>
          </w:p>
        </w:tc>
      </w:tr>
      <w:tr w:rsidR="00207D96" w:rsidRPr="002B008A" w14:paraId="5BC09142" w14:textId="77777777" w:rsidTr="006555D9">
        <w:trPr>
          <w:trHeight w:val="283"/>
        </w:trPr>
        <w:tc>
          <w:tcPr>
            <w:tcW w:w="3372" w:type="dxa"/>
            <w:tcBorders>
              <w:top w:val="nil"/>
              <w:left w:val="single" w:sz="4" w:space="0" w:color="auto"/>
              <w:bottom w:val="single" w:sz="4" w:space="0" w:color="auto"/>
              <w:right w:val="nil"/>
            </w:tcBorders>
            <w:noWrap/>
            <w:vAlign w:val="center"/>
            <w:hideMark/>
          </w:tcPr>
          <w:p w14:paraId="286E3082" w14:textId="77777777" w:rsidR="00207D96" w:rsidRPr="002B008A" w:rsidRDefault="00207D96" w:rsidP="00207D96">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Nhóm 2</w:t>
            </w:r>
          </w:p>
        </w:tc>
        <w:tc>
          <w:tcPr>
            <w:tcW w:w="1018" w:type="dxa"/>
            <w:tcBorders>
              <w:top w:val="nil"/>
              <w:left w:val="single" w:sz="4" w:space="0" w:color="auto"/>
              <w:bottom w:val="single" w:sz="4" w:space="0" w:color="auto"/>
              <w:right w:val="single" w:sz="4" w:space="0" w:color="auto"/>
            </w:tcBorders>
            <w:noWrap/>
            <w:vAlign w:val="center"/>
            <w:hideMark/>
          </w:tcPr>
          <w:p w14:paraId="2647B705"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6,05</w:t>
            </w:r>
          </w:p>
        </w:tc>
        <w:tc>
          <w:tcPr>
            <w:tcW w:w="982" w:type="dxa"/>
            <w:tcBorders>
              <w:top w:val="nil"/>
              <w:left w:val="nil"/>
              <w:bottom w:val="single" w:sz="4" w:space="0" w:color="auto"/>
              <w:right w:val="single" w:sz="4" w:space="0" w:color="auto"/>
            </w:tcBorders>
            <w:noWrap/>
            <w:vAlign w:val="center"/>
            <w:hideMark/>
          </w:tcPr>
          <w:p w14:paraId="2844F719" w14:textId="440366C5"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1,50</w:t>
            </w:r>
          </w:p>
        </w:tc>
        <w:tc>
          <w:tcPr>
            <w:tcW w:w="1002" w:type="dxa"/>
            <w:tcBorders>
              <w:top w:val="nil"/>
              <w:left w:val="nil"/>
              <w:bottom w:val="single" w:sz="4" w:space="0" w:color="auto"/>
              <w:right w:val="single" w:sz="4" w:space="0" w:color="auto"/>
            </w:tcBorders>
            <w:noWrap/>
            <w:vAlign w:val="center"/>
            <w:hideMark/>
          </w:tcPr>
          <w:p w14:paraId="78C845B8"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5,60</w:t>
            </w:r>
          </w:p>
        </w:tc>
        <w:tc>
          <w:tcPr>
            <w:tcW w:w="851" w:type="dxa"/>
            <w:tcBorders>
              <w:top w:val="nil"/>
              <w:left w:val="nil"/>
              <w:bottom w:val="single" w:sz="4" w:space="0" w:color="auto"/>
              <w:right w:val="single" w:sz="4" w:space="0" w:color="auto"/>
            </w:tcBorders>
            <w:noWrap/>
            <w:vAlign w:val="center"/>
            <w:hideMark/>
          </w:tcPr>
          <w:p w14:paraId="36279EEA" w14:textId="467A219E"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1,04</w:t>
            </w:r>
          </w:p>
        </w:tc>
        <w:tc>
          <w:tcPr>
            <w:tcW w:w="1134" w:type="dxa"/>
            <w:tcBorders>
              <w:top w:val="nil"/>
              <w:left w:val="nil"/>
              <w:bottom w:val="single" w:sz="4" w:space="0" w:color="auto"/>
              <w:right w:val="single" w:sz="4" w:space="0" w:color="auto"/>
            </w:tcBorders>
            <w:noWrap/>
            <w:vAlign w:val="center"/>
            <w:hideMark/>
          </w:tcPr>
          <w:p w14:paraId="29084B01"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8,28</w:t>
            </w:r>
          </w:p>
        </w:tc>
        <w:tc>
          <w:tcPr>
            <w:tcW w:w="992" w:type="dxa"/>
            <w:tcBorders>
              <w:top w:val="nil"/>
              <w:left w:val="nil"/>
              <w:bottom w:val="single" w:sz="4" w:space="0" w:color="auto"/>
              <w:right w:val="single" w:sz="4" w:space="0" w:color="auto"/>
            </w:tcBorders>
            <w:noWrap/>
            <w:vAlign w:val="center"/>
            <w:hideMark/>
          </w:tcPr>
          <w:p w14:paraId="3E323097" w14:textId="0263CCD0"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1,18</w:t>
            </w:r>
          </w:p>
        </w:tc>
        <w:tc>
          <w:tcPr>
            <w:tcW w:w="992" w:type="dxa"/>
            <w:tcBorders>
              <w:top w:val="nil"/>
              <w:left w:val="nil"/>
              <w:bottom w:val="single" w:sz="4" w:space="0" w:color="auto"/>
              <w:right w:val="single" w:sz="4" w:space="0" w:color="auto"/>
            </w:tcBorders>
            <w:noWrap/>
            <w:vAlign w:val="center"/>
            <w:hideMark/>
          </w:tcPr>
          <w:p w14:paraId="267EF8C8"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-0,45</w:t>
            </w:r>
          </w:p>
        </w:tc>
        <w:tc>
          <w:tcPr>
            <w:tcW w:w="1276" w:type="dxa"/>
            <w:tcBorders>
              <w:top w:val="nil"/>
              <w:left w:val="nil"/>
              <w:bottom w:val="single" w:sz="4" w:space="0" w:color="auto"/>
              <w:right w:val="single" w:sz="4" w:space="0" w:color="auto"/>
            </w:tcBorders>
            <w:noWrap/>
            <w:vAlign w:val="center"/>
            <w:hideMark/>
          </w:tcPr>
          <w:p w14:paraId="701AE805"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-7,44</w:t>
            </w:r>
          </w:p>
        </w:tc>
        <w:tc>
          <w:tcPr>
            <w:tcW w:w="1417" w:type="dxa"/>
            <w:tcBorders>
              <w:top w:val="nil"/>
              <w:left w:val="nil"/>
              <w:bottom w:val="single" w:sz="4" w:space="0" w:color="auto"/>
              <w:right w:val="single" w:sz="4" w:space="0" w:color="auto"/>
            </w:tcBorders>
            <w:noWrap/>
            <w:vAlign w:val="center"/>
            <w:hideMark/>
          </w:tcPr>
          <w:p w14:paraId="53440013"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2,68</w:t>
            </w:r>
          </w:p>
        </w:tc>
        <w:tc>
          <w:tcPr>
            <w:tcW w:w="1200" w:type="dxa"/>
            <w:tcBorders>
              <w:top w:val="nil"/>
              <w:left w:val="nil"/>
              <w:bottom w:val="single" w:sz="4" w:space="0" w:color="auto"/>
              <w:right w:val="single" w:sz="4" w:space="0" w:color="auto"/>
            </w:tcBorders>
            <w:noWrap/>
            <w:vAlign w:val="center"/>
            <w:hideMark/>
          </w:tcPr>
          <w:p w14:paraId="72C3C745" w14:textId="3BF34421"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47,86</w:t>
            </w:r>
          </w:p>
        </w:tc>
      </w:tr>
      <w:tr w:rsidR="00207D96" w:rsidRPr="002B008A" w14:paraId="12DEECAA" w14:textId="77777777" w:rsidTr="006555D9">
        <w:trPr>
          <w:trHeight w:val="283"/>
        </w:trPr>
        <w:tc>
          <w:tcPr>
            <w:tcW w:w="3372" w:type="dxa"/>
            <w:tcBorders>
              <w:top w:val="nil"/>
              <w:left w:val="single" w:sz="4" w:space="0" w:color="auto"/>
              <w:bottom w:val="single" w:sz="4" w:space="0" w:color="auto"/>
              <w:right w:val="nil"/>
            </w:tcBorders>
            <w:noWrap/>
            <w:vAlign w:val="center"/>
            <w:hideMark/>
          </w:tcPr>
          <w:p w14:paraId="05918019" w14:textId="77777777" w:rsidR="00207D96" w:rsidRPr="002B008A" w:rsidRDefault="00207D96" w:rsidP="00207D96">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Nhóm 3</w:t>
            </w:r>
          </w:p>
        </w:tc>
        <w:tc>
          <w:tcPr>
            <w:tcW w:w="1018" w:type="dxa"/>
            <w:tcBorders>
              <w:top w:val="nil"/>
              <w:left w:val="single" w:sz="4" w:space="0" w:color="auto"/>
              <w:bottom w:val="single" w:sz="4" w:space="0" w:color="auto"/>
              <w:right w:val="single" w:sz="4" w:space="0" w:color="auto"/>
            </w:tcBorders>
            <w:noWrap/>
            <w:vAlign w:val="center"/>
            <w:hideMark/>
          </w:tcPr>
          <w:p w14:paraId="39EC00DF"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1,20</w:t>
            </w:r>
          </w:p>
        </w:tc>
        <w:tc>
          <w:tcPr>
            <w:tcW w:w="982" w:type="dxa"/>
            <w:tcBorders>
              <w:top w:val="nil"/>
              <w:left w:val="nil"/>
              <w:bottom w:val="single" w:sz="4" w:space="0" w:color="auto"/>
              <w:right w:val="single" w:sz="4" w:space="0" w:color="auto"/>
            </w:tcBorders>
            <w:noWrap/>
            <w:vAlign w:val="center"/>
            <w:hideMark/>
          </w:tcPr>
          <w:p w14:paraId="2DEA30EC" w14:textId="7DF3A2EC"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0,30</w:t>
            </w:r>
          </w:p>
        </w:tc>
        <w:tc>
          <w:tcPr>
            <w:tcW w:w="1002" w:type="dxa"/>
            <w:tcBorders>
              <w:top w:val="nil"/>
              <w:left w:val="nil"/>
              <w:bottom w:val="single" w:sz="4" w:space="0" w:color="auto"/>
              <w:right w:val="single" w:sz="4" w:space="0" w:color="auto"/>
            </w:tcBorders>
            <w:noWrap/>
            <w:vAlign w:val="center"/>
            <w:hideMark/>
          </w:tcPr>
          <w:p w14:paraId="0C639345"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1,50</w:t>
            </w:r>
          </w:p>
        </w:tc>
        <w:tc>
          <w:tcPr>
            <w:tcW w:w="851" w:type="dxa"/>
            <w:tcBorders>
              <w:top w:val="nil"/>
              <w:left w:val="nil"/>
              <w:bottom w:val="single" w:sz="4" w:space="0" w:color="auto"/>
              <w:right w:val="single" w:sz="4" w:space="0" w:color="auto"/>
            </w:tcBorders>
            <w:noWrap/>
            <w:vAlign w:val="center"/>
            <w:hideMark/>
          </w:tcPr>
          <w:p w14:paraId="6315871F" w14:textId="4AF33E3E"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0,28</w:t>
            </w:r>
          </w:p>
        </w:tc>
        <w:tc>
          <w:tcPr>
            <w:tcW w:w="1134" w:type="dxa"/>
            <w:tcBorders>
              <w:top w:val="nil"/>
              <w:left w:val="nil"/>
              <w:bottom w:val="single" w:sz="4" w:space="0" w:color="auto"/>
              <w:right w:val="single" w:sz="4" w:space="0" w:color="auto"/>
            </w:tcBorders>
            <w:noWrap/>
            <w:vAlign w:val="center"/>
            <w:hideMark/>
          </w:tcPr>
          <w:p w14:paraId="4BED8DEC"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2,30</w:t>
            </w:r>
          </w:p>
        </w:tc>
        <w:tc>
          <w:tcPr>
            <w:tcW w:w="992" w:type="dxa"/>
            <w:tcBorders>
              <w:top w:val="nil"/>
              <w:left w:val="nil"/>
              <w:bottom w:val="single" w:sz="4" w:space="0" w:color="auto"/>
              <w:right w:val="single" w:sz="4" w:space="0" w:color="auto"/>
            </w:tcBorders>
            <w:noWrap/>
            <w:vAlign w:val="center"/>
            <w:hideMark/>
          </w:tcPr>
          <w:p w14:paraId="736A7285" w14:textId="6DCC0619"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0,33</w:t>
            </w:r>
          </w:p>
        </w:tc>
        <w:tc>
          <w:tcPr>
            <w:tcW w:w="992" w:type="dxa"/>
            <w:tcBorders>
              <w:top w:val="nil"/>
              <w:left w:val="nil"/>
              <w:bottom w:val="single" w:sz="4" w:space="0" w:color="auto"/>
              <w:right w:val="single" w:sz="4" w:space="0" w:color="auto"/>
            </w:tcBorders>
            <w:noWrap/>
            <w:vAlign w:val="center"/>
            <w:hideMark/>
          </w:tcPr>
          <w:p w14:paraId="55B845B6"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0,30</w:t>
            </w:r>
          </w:p>
        </w:tc>
        <w:tc>
          <w:tcPr>
            <w:tcW w:w="1276" w:type="dxa"/>
            <w:tcBorders>
              <w:top w:val="nil"/>
              <w:left w:val="nil"/>
              <w:bottom w:val="single" w:sz="4" w:space="0" w:color="auto"/>
              <w:right w:val="single" w:sz="4" w:space="0" w:color="auto"/>
            </w:tcBorders>
            <w:noWrap/>
            <w:vAlign w:val="center"/>
            <w:hideMark/>
          </w:tcPr>
          <w:p w14:paraId="19573874"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25,00</w:t>
            </w:r>
          </w:p>
        </w:tc>
        <w:tc>
          <w:tcPr>
            <w:tcW w:w="1417" w:type="dxa"/>
            <w:tcBorders>
              <w:top w:val="nil"/>
              <w:left w:val="nil"/>
              <w:bottom w:val="single" w:sz="4" w:space="0" w:color="auto"/>
              <w:right w:val="single" w:sz="4" w:space="0" w:color="auto"/>
            </w:tcBorders>
            <w:noWrap/>
            <w:vAlign w:val="center"/>
            <w:hideMark/>
          </w:tcPr>
          <w:p w14:paraId="421D6BBE"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0,80</w:t>
            </w:r>
          </w:p>
        </w:tc>
        <w:tc>
          <w:tcPr>
            <w:tcW w:w="1200" w:type="dxa"/>
            <w:tcBorders>
              <w:top w:val="nil"/>
              <w:left w:val="nil"/>
              <w:bottom w:val="single" w:sz="4" w:space="0" w:color="auto"/>
              <w:right w:val="single" w:sz="4" w:space="0" w:color="auto"/>
            </w:tcBorders>
            <w:noWrap/>
            <w:vAlign w:val="center"/>
            <w:hideMark/>
          </w:tcPr>
          <w:p w14:paraId="7DBB3B4D" w14:textId="39E13564"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53,33</w:t>
            </w:r>
          </w:p>
        </w:tc>
      </w:tr>
      <w:tr w:rsidR="00207D96" w:rsidRPr="002B008A" w14:paraId="20C8FD04" w14:textId="77777777" w:rsidTr="006555D9">
        <w:trPr>
          <w:trHeight w:val="283"/>
        </w:trPr>
        <w:tc>
          <w:tcPr>
            <w:tcW w:w="3372" w:type="dxa"/>
            <w:tcBorders>
              <w:top w:val="nil"/>
              <w:left w:val="single" w:sz="4" w:space="0" w:color="auto"/>
              <w:bottom w:val="single" w:sz="4" w:space="0" w:color="auto"/>
              <w:right w:val="nil"/>
            </w:tcBorders>
            <w:noWrap/>
            <w:vAlign w:val="bottom"/>
            <w:hideMark/>
          </w:tcPr>
          <w:p w14:paraId="0D29FA9F" w14:textId="77777777" w:rsidR="00207D96" w:rsidRPr="002B008A" w:rsidRDefault="00207D96" w:rsidP="00207D96">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Nhóm 4</w:t>
            </w:r>
          </w:p>
        </w:tc>
        <w:tc>
          <w:tcPr>
            <w:tcW w:w="1018" w:type="dxa"/>
            <w:tcBorders>
              <w:top w:val="nil"/>
              <w:left w:val="single" w:sz="4" w:space="0" w:color="auto"/>
              <w:bottom w:val="single" w:sz="4" w:space="0" w:color="auto"/>
              <w:right w:val="single" w:sz="4" w:space="0" w:color="auto"/>
            </w:tcBorders>
            <w:noWrap/>
            <w:vAlign w:val="center"/>
            <w:hideMark/>
          </w:tcPr>
          <w:p w14:paraId="1E805678"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0,80</w:t>
            </w:r>
          </w:p>
        </w:tc>
        <w:tc>
          <w:tcPr>
            <w:tcW w:w="982" w:type="dxa"/>
            <w:tcBorders>
              <w:top w:val="nil"/>
              <w:left w:val="nil"/>
              <w:bottom w:val="single" w:sz="4" w:space="0" w:color="auto"/>
              <w:right w:val="single" w:sz="4" w:space="0" w:color="auto"/>
            </w:tcBorders>
            <w:noWrap/>
            <w:vAlign w:val="center"/>
            <w:hideMark/>
          </w:tcPr>
          <w:p w14:paraId="3C81EF9E" w14:textId="562706F5"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0,20</w:t>
            </w:r>
          </w:p>
        </w:tc>
        <w:tc>
          <w:tcPr>
            <w:tcW w:w="1002" w:type="dxa"/>
            <w:tcBorders>
              <w:top w:val="nil"/>
              <w:left w:val="nil"/>
              <w:bottom w:val="single" w:sz="4" w:space="0" w:color="auto"/>
              <w:right w:val="single" w:sz="4" w:space="0" w:color="auto"/>
            </w:tcBorders>
            <w:noWrap/>
            <w:vAlign w:val="center"/>
            <w:hideMark/>
          </w:tcPr>
          <w:p w14:paraId="5FD258D0"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1,00</w:t>
            </w:r>
          </w:p>
        </w:tc>
        <w:tc>
          <w:tcPr>
            <w:tcW w:w="851" w:type="dxa"/>
            <w:tcBorders>
              <w:top w:val="nil"/>
              <w:left w:val="nil"/>
              <w:bottom w:val="single" w:sz="4" w:space="0" w:color="auto"/>
              <w:right w:val="single" w:sz="4" w:space="0" w:color="auto"/>
            </w:tcBorders>
            <w:noWrap/>
            <w:vAlign w:val="center"/>
            <w:hideMark/>
          </w:tcPr>
          <w:p w14:paraId="23A60A4B" w14:textId="46B149DB"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0,19</w:t>
            </w:r>
          </w:p>
        </w:tc>
        <w:tc>
          <w:tcPr>
            <w:tcW w:w="1134" w:type="dxa"/>
            <w:tcBorders>
              <w:top w:val="nil"/>
              <w:left w:val="nil"/>
              <w:bottom w:val="single" w:sz="4" w:space="0" w:color="auto"/>
              <w:right w:val="single" w:sz="4" w:space="0" w:color="auto"/>
            </w:tcBorders>
            <w:noWrap/>
            <w:vAlign w:val="center"/>
            <w:hideMark/>
          </w:tcPr>
          <w:p w14:paraId="33E593D9"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1,40</w:t>
            </w:r>
          </w:p>
        </w:tc>
        <w:tc>
          <w:tcPr>
            <w:tcW w:w="992" w:type="dxa"/>
            <w:tcBorders>
              <w:top w:val="nil"/>
              <w:left w:val="nil"/>
              <w:bottom w:val="single" w:sz="4" w:space="0" w:color="auto"/>
              <w:right w:val="single" w:sz="4" w:space="0" w:color="auto"/>
            </w:tcBorders>
            <w:noWrap/>
            <w:vAlign w:val="center"/>
            <w:hideMark/>
          </w:tcPr>
          <w:p w14:paraId="0965B2F1" w14:textId="1BED7916"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0,20</w:t>
            </w:r>
          </w:p>
        </w:tc>
        <w:tc>
          <w:tcPr>
            <w:tcW w:w="992" w:type="dxa"/>
            <w:tcBorders>
              <w:top w:val="nil"/>
              <w:left w:val="nil"/>
              <w:bottom w:val="single" w:sz="4" w:space="0" w:color="auto"/>
              <w:right w:val="single" w:sz="4" w:space="0" w:color="auto"/>
            </w:tcBorders>
            <w:noWrap/>
            <w:vAlign w:val="center"/>
            <w:hideMark/>
          </w:tcPr>
          <w:p w14:paraId="1D8E897D"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0,20</w:t>
            </w:r>
          </w:p>
        </w:tc>
        <w:tc>
          <w:tcPr>
            <w:tcW w:w="1276" w:type="dxa"/>
            <w:tcBorders>
              <w:top w:val="nil"/>
              <w:left w:val="nil"/>
              <w:bottom w:val="single" w:sz="4" w:space="0" w:color="auto"/>
              <w:right w:val="single" w:sz="4" w:space="0" w:color="auto"/>
            </w:tcBorders>
            <w:noWrap/>
            <w:vAlign w:val="center"/>
            <w:hideMark/>
          </w:tcPr>
          <w:p w14:paraId="003D5442"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25,00</w:t>
            </w:r>
          </w:p>
        </w:tc>
        <w:tc>
          <w:tcPr>
            <w:tcW w:w="1417" w:type="dxa"/>
            <w:tcBorders>
              <w:top w:val="nil"/>
              <w:left w:val="nil"/>
              <w:bottom w:val="single" w:sz="4" w:space="0" w:color="auto"/>
              <w:right w:val="single" w:sz="4" w:space="0" w:color="auto"/>
            </w:tcBorders>
            <w:noWrap/>
            <w:vAlign w:val="center"/>
            <w:hideMark/>
          </w:tcPr>
          <w:p w14:paraId="4BD62544"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0,40</w:t>
            </w:r>
          </w:p>
        </w:tc>
        <w:tc>
          <w:tcPr>
            <w:tcW w:w="1200" w:type="dxa"/>
            <w:tcBorders>
              <w:top w:val="nil"/>
              <w:left w:val="nil"/>
              <w:bottom w:val="single" w:sz="4" w:space="0" w:color="auto"/>
              <w:right w:val="single" w:sz="4" w:space="0" w:color="auto"/>
            </w:tcBorders>
            <w:noWrap/>
            <w:vAlign w:val="center"/>
            <w:hideMark/>
          </w:tcPr>
          <w:p w14:paraId="716091DF" w14:textId="56101716"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40,00</w:t>
            </w:r>
          </w:p>
        </w:tc>
      </w:tr>
      <w:tr w:rsidR="00207D96" w:rsidRPr="002B008A" w14:paraId="4DF6E714" w14:textId="77777777" w:rsidTr="006555D9">
        <w:trPr>
          <w:trHeight w:val="283"/>
        </w:trPr>
        <w:tc>
          <w:tcPr>
            <w:tcW w:w="3372" w:type="dxa"/>
            <w:tcBorders>
              <w:top w:val="nil"/>
              <w:left w:val="single" w:sz="4" w:space="0" w:color="auto"/>
              <w:bottom w:val="single" w:sz="4" w:space="0" w:color="auto"/>
              <w:right w:val="nil"/>
            </w:tcBorders>
            <w:noWrap/>
            <w:vAlign w:val="bottom"/>
            <w:hideMark/>
          </w:tcPr>
          <w:p w14:paraId="599F5699" w14:textId="77777777" w:rsidR="00207D96" w:rsidRPr="002B008A" w:rsidRDefault="00207D96" w:rsidP="00207D96">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Nhóm 5</w:t>
            </w:r>
          </w:p>
        </w:tc>
        <w:tc>
          <w:tcPr>
            <w:tcW w:w="1018" w:type="dxa"/>
            <w:tcBorders>
              <w:top w:val="nil"/>
              <w:left w:val="single" w:sz="4" w:space="0" w:color="auto"/>
              <w:bottom w:val="single" w:sz="4" w:space="0" w:color="auto"/>
              <w:right w:val="single" w:sz="4" w:space="0" w:color="auto"/>
            </w:tcBorders>
            <w:noWrap/>
            <w:vAlign w:val="center"/>
            <w:hideMark/>
          </w:tcPr>
          <w:p w14:paraId="50CA04BF"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0,62</w:t>
            </w:r>
          </w:p>
        </w:tc>
        <w:tc>
          <w:tcPr>
            <w:tcW w:w="982" w:type="dxa"/>
            <w:tcBorders>
              <w:top w:val="nil"/>
              <w:left w:val="nil"/>
              <w:bottom w:val="single" w:sz="4" w:space="0" w:color="auto"/>
              <w:right w:val="single" w:sz="4" w:space="0" w:color="auto"/>
            </w:tcBorders>
            <w:noWrap/>
            <w:vAlign w:val="center"/>
            <w:hideMark/>
          </w:tcPr>
          <w:p w14:paraId="7124F311" w14:textId="711FB734"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0,15</w:t>
            </w:r>
          </w:p>
        </w:tc>
        <w:tc>
          <w:tcPr>
            <w:tcW w:w="1002" w:type="dxa"/>
            <w:tcBorders>
              <w:top w:val="nil"/>
              <w:left w:val="nil"/>
              <w:bottom w:val="single" w:sz="4" w:space="0" w:color="auto"/>
              <w:right w:val="single" w:sz="4" w:space="0" w:color="auto"/>
            </w:tcBorders>
            <w:noWrap/>
            <w:vAlign w:val="center"/>
            <w:hideMark/>
          </w:tcPr>
          <w:p w14:paraId="318DD1A8"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0,83</w:t>
            </w:r>
          </w:p>
        </w:tc>
        <w:tc>
          <w:tcPr>
            <w:tcW w:w="851" w:type="dxa"/>
            <w:tcBorders>
              <w:top w:val="nil"/>
              <w:left w:val="nil"/>
              <w:bottom w:val="single" w:sz="4" w:space="0" w:color="auto"/>
              <w:right w:val="single" w:sz="4" w:space="0" w:color="auto"/>
            </w:tcBorders>
            <w:noWrap/>
            <w:vAlign w:val="center"/>
            <w:hideMark/>
          </w:tcPr>
          <w:p w14:paraId="28B0E4E3" w14:textId="4AAE10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0,15</w:t>
            </w:r>
          </w:p>
        </w:tc>
        <w:tc>
          <w:tcPr>
            <w:tcW w:w="1134" w:type="dxa"/>
            <w:tcBorders>
              <w:top w:val="nil"/>
              <w:left w:val="nil"/>
              <w:bottom w:val="single" w:sz="4" w:space="0" w:color="auto"/>
              <w:right w:val="single" w:sz="4" w:space="0" w:color="auto"/>
            </w:tcBorders>
            <w:noWrap/>
            <w:vAlign w:val="center"/>
            <w:hideMark/>
          </w:tcPr>
          <w:p w14:paraId="25499D8D"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1,29</w:t>
            </w:r>
          </w:p>
        </w:tc>
        <w:tc>
          <w:tcPr>
            <w:tcW w:w="992" w:type="dxa"/>
            <w:tcBorders>
              <w:top w:val="nil"/>
              <w:left w:val="nil"/>
              <w:bottom w:val="single" w:sz="4" w:space="0" w:color="auto"/>
              <w:right w:val="single" w:sz="4" w:space="0" w:color="auto"/>
            </w:tcBorders>
            <w:noWrap/>
            <w:vAlign w:val="center"/>
            <w:hideMark/>
          </w:tcPr>
          <w:p w14:paraId="142DEFD6" w14:textId="18F4385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0,18</w:t>
            </w:r>
          </w:p>
        </w:tc>
        <w:tc>
          <w:tcPr>
            <w:tcW w:w="992" w:type="dxa"/>
            <w:tcBorders>
              <w:top w:val="nil"/>
              <w:left w:val="nil"/>
              <w:bottom w:val="single" w:sz="4" w:space="0" w:color="auto"/>
              <w:right w:val="single" w:sz="4" w:space="0" w:color="auto"/>
            </w:tcBorders>
            <w:noWrap/>
            <w:vAlign w:val="center"/>
            <w:hideMark/>
          </w:tcPr>
          <w:p w14:paraId="41568E67"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0,21</w:t>
            </w:r>
          </w:p>
        </w:tc>
        <w:tc>
          <w:tcPr>
            <w:tcW w:w="1276" w:type="dxa"/>
            <w:tcBorders>
              <w:top w:val="nil"/>
              <w:left w:val="nil"/>
              <w:bottom w:val="single" w:sz="4" w:space="0" w:color="auto"/>
              <w:right w:val="single" w:sz="4" w:space="0" w:color="auto"/>
            </w:tcBorders>
            <w:noWrap/>
            <w:vAlign w:val="center"/>
            <w:hideMark/>
          </w:tcPr>
          <w:p w14:paraId="30A1DEF5"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33,87</w:t>
            </w:r>
          </w:p>
        </w:tc>
        <w:tc>
          <w:tcPr>
            <w:tcW w:w="1417" w:type="dxa"/>
            <w:tcBorders>
              <w:top w:val="nil"/>
              <w:left w:val="nil"/>
              <w:bottom w:val="single" w:sz="4" w:space="0" w:color="auto"/>
              <w:right w:val="single" w:sz="4" w:space="0" w:color="auto"/>
            </w:tcBorders>
            <w:noWrap/>
            <w:vAlign w:val="center"/>
            <w:hideMark/>
          </w:tcPr>
          <w:p w14:paraId="4CF3392A" w14:textId="77777777"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0,46</w:t>
            </w:r>
          </w:p>
        </w:tc>
        <w:tc>
          <w:tcPr>
            <w:tcW w:w="1200" w:type="dxa"/>
            <w:tcBorders>
              <w:top w:val="nil"/>
              <w:left w:val="nil"/>
              <w:bottom w:val="single" w:sz="4" w:space="0" w:color="auto"/>
              <w:right w:val="single" w:sz="4" w:space="0" w:color="auto"/>
            </w:tcBorders>
            <w:noWrap/>
            <w:vAlign w:val="center"/>
            <w:hideMark/>
          </w:tcPr>
          <w:p w14:paraId="29E4EA22" w14:textId="7635CE44" w:rsidR="00207D96" w:rsidRPr="002B008A" w:rsidRDefault="00207D96" w:rsidP="006555D9">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55,42</w:t>
            </w:r>
          </w:p>
        </w:tc>
      </w:tr>
    </w:tbl>
    <w:p w14:paraId="1A7DBC81" w14:textId="4278B8C5" w:rsidR="00EA7516" w:rsidRPr="002B008A" w:rsidRDefault="00EA7516" w:rsidP="00EA7516">
      <w:pPr>
        <w:tabs>
          <w:tab w:val="left" w:pos="6210"/>
        </w:tabs>
        <w:spacing w:after="0" w:line="360" w:lineRule="auto"/>
        <w:ind w:firstLine="567"/>
        <w:jc w:val="right"/>
        <w:rPr>
          <w:rFonts w:ascii="Times New Roman" w:hAnsi="Times New Roman" w:cs="Times New Roman"/>
          <w:i/>
          <w:iCs/>
          <w:color w:val="000000" w:themeColor="text1"/>
          <w:sz w:val="26"/>
          <w:szCs w:val="26"/>
          <w:lang w:val="vi-VN"/>
        </w:rPr>
      </w:pPr>
      <w:r w:rsidRPr="002B008A">
        <w:rPr>
          <w:rFonts w:ascii="Times New Roman" w:hAnsi="Times New Roman" w:cs="Times New Roman"/>
          <w:i/>
          <w:iCs/>
          <w:color w:val="000000" w:themeColor="text1"/>
          <w:sz w:val="26"/>
          <w:szCs w:val="26"/>
          <w:lang w:val="vi-VN"/>
        </w:rPr>
        <w:t xml:space="preserve">                          (Nguồn: Báo cáo tài chính Ngân hàng TMCP Quân đội - Chi Nhánh Đà Nẵng giai đoạn 2023 - 2025)</w:t>
      </w:r>
    </w:p>
    <w:p w14:paraId="2174BE59" w14:textId="77777777" w:rsidR="006555D9" w:rsidRPr="002B008A" w:rsidRDefault="006555D9" w:rsidP="009B0535">
      <w:pPr>
        <w:tabs>
          <w:tab w:val="left" w:pos="6210"/>
        </w:tabs>
        <w:spacing w:after="0" w:line="360" w:lineRule="auto"/>
        <w:ind w:firstLine="567"/>
        <w:jc w:val="both"/>
        <w:rPr>
          <w:rFonts w:ascii="Times New Roman" w:hAnsi="Times New Roman" w:cs="Times New Roman"/>
          <w:color w:val="000000" w:themeColor="text1"/>
          <w:sz w:val="26"/>
          <w:szCs w:val="26"/>
          <w:lang w:val="vi-VN"/>
        </w:rPr>
        <w:sectPr w:rsidR="006555D9" w:rsidRPr="002B008A" w:rsidSect="009E0361">
          <w:pgSz w:w="16838" w:h="11906" w:orient="landscape" w:code="9"/>
          <w:pgMar w:top="1134" w:right="1134" w:bottom="1134" w:left="1701" w:header="720" w:footer="720" w:gutter="0"/>
          <w:cols w:space="720"/>
          <w:docGrid w:linePitch="360"/>
        </w:sectPr>
      </w:pPr>
    </w:p>
    <w:p w14:paraId="4C221AEC" w14:textId="5BA84C50" w:rsidR="007335A6" w:rsidRPr="002B008A" w:rsidRDefault="007335A6" w:rsidP="007335A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lastRenderedPageBreak/>
        <w:t>Đi sâu vào phân tích cơ cấu nợ tại Bảng 2.</w:t>
      </w:r>
      <w:r w:rsidR="00AF3CEE" w:rsidRPr="002B008A">
        <w:rPr>
          <w:rFonts w:ascii="Times New Roman" w:hAnsi="Times New Roman" w:cs="Times New Roman"/>
          <w:color w:val="000000" w:themeColor="text1"/>
          <w:sz w:val="26"/>
          <w:szCs w:val="26"/>
          <w:lang w:val="vi-VN"/>
        </w:rPr>
        <w:t>5</w:t>
      </w:r>
      <w:r w:rsidRPr="002B008A">
        <w:rPr>
          <w:rFonts w:ascii="Times New Roman" w:hAnsi="Times New Roman" w:cs="Times New Roman"/>
          <w:color w:val="000000" w:themeColor="text1"/>
          <w:sz w:val="26"/>
          <w:szCs w:val="26"/>
          <w:lang w:val="vi-VN"/>
        </w:rPr>
        <w:t xml:space="preserve"> cho thấy dư nợ cho vay SXKD đối với KHCN tại MB Đà Nẵng vẫn chủ yếu tập trung ở Nhóm 1 và duy trì trên 98% tổng dư nợ trong giai đoạn 2023–2025. Dư nợ Nhóm 1 tăng từ 394,5 tỷ đồng năm 2023 lên 527,61 tỷ đồng năm 2024 và đạt 689,02 tỷ đồng năm 2025, tương ứng mức tăng 33,74% và 30,59%. Điều này cho thấy phần lớn các khoản</w:t>
      </w:r>
      <w:r w:rsidR="00B9784C" w:rsidRPr="002B008A">
        <w:rPr>
          <w:rFonts w:ascii="Times New Roman" w:hAnsi="Times New Roman" w:cs="Times New Roman"/>
          <w:color w:val="000000" w:themeColor="text1"/>
          <w:sz w:val="26"/>
          <w:szCs w:val="26"/>
          <w:lang w:val="vi-VN"/>
        </w:rPr>
        <w:t xml:space="preserve"> cho</w:t>
      </w:r>
      <w:r w:rsidRPr="002B008A">
        <w:rPr>
          <w:rFonts w:ascii="Times New Roman" w:hAnsi="Times New Roman" w:cs="Times New Roman"/>
          <w:color w:val="000000" w:themeColor="text1"/>
          <w:sz w:val="26"/>
          <w:szCs w:val="26"/>
          <w:lang w:val="vi-VN"/>
        </w:rPr>
        <w:t xml:space="preserve"> vay vẫn thuộc nhóm nợ đủ tiêu chuẩn, góp phần duy trì chất lượng tín dụng và đảm bảo khả năng thu hồi vốn của ngân hàng. Kết quả này phản ánh hoạt động cho vay SXKD đối với KHCN tại chi nhánh nhìn chung vẫn được kiểm soát tương đối ổn định trong giai đoạn nghiên cứu.</w:t>
      </w:r>
    </w:p>
    <w:p w14:paraId="536FBE2E" w14:textId="66CFD75A" w:rsidR="007335A6" w:rsidRPr="002B008A" w:rsidRDefault="007335A6" w:rsidP="007335A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Tuy nhiên, cơ cấu nợ đã bắt đầu xuất hiện xu hướng chuyển dịch sang các nhóm nợ có mức độ rủi ro cao hơn. Nhóm 2 mặc dù chiếm tỷ trọng thấp nhưng tăng trở lại từ 1,04% năm 2024 lên 1,18% năm 2025, với dư nợ đạt 8,28 tỷ đồng. Diễn biến này cho thấy một bộ phận khách hàng đã bắt đầu gặp khó khăn trong việc duy trì dòng tiền và thực hiện nghĩa vụ trả nợ đúng hạn. Nguyên nhân chủ yếu xuất phát từ đặc điểm KHCN phụ thuộc nhiều vào biến động thị trường, sức mua tiêu dùng và hiệu quả hoạt động kinh doanh ngắn hạn. Đây cũng là nhóm nợ tiềm ẩn khả năng chuyển thành nợ xấu nếu ngân hàng không kịp thời theo dõi và có biện pháp kiểm soát phù hợp.</w:t>
      </w:r>
    </w:p>
    <w:p w14:paraId="00DFBA84" w14:textId="67905740" w:rsidR="007335A6" w:rsidRPr="002B008A" w:rsidRDefault="007335A6" w:rsidP="007335A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Đáng chú ý, Nhóm 3 là nhóm có biến động rõ rệt nhất trong các nhóm nợ xấu. Dư nợ Nhóm 3 tăng từ 1,2 tỷ đồng năm 2023 lên 1,5 tỷ đồng năm 2024 và đạt 2,3 tỷ đồng năm 2025, tương ứng mức tăng 25% và 53,33%, cao hơn tốc độ tăng trưởng dư nợ chung. Tỷ trọng Nhóm 3 cũng tăng từ 0,30% lên 0,33% tổng dư nợ. Điều này cho thấy một số khoản </w:t>
      </w:r>
      <w:r w:rsidR="00B9784C" w:rsidRPr="002B008A">
        <w:rPr>
          <w:rFonts w:ascii="Times New Roman" w:hAnsi="Times New Roman" w:cs="Times New Roman"/>
          <w:color w:val="000000" w:themeColor="text1"/>
          <w:sz w:val="26"/>
          <w:szCs w:val="26"/>
          <w:lang w:val="vi-VN"/>
        </w:rPr>
        <w:t xml:space="preserve">cho </w:t>
      </w:r>
      <w:r w:rsidRPr="002B008A">
        <w:rPr>
          <w:rFonts w:ascii="Times New Roman" w:hAnsi="Times New Roman" w:cs="Times New Roman"/>
          <w:color w:val="000000" w:themeColor="text1"/>
          <w:sz w:val="26"/>
          <w:szCs w:val="26"/>
          <w:lang w:val="vi-VN"/>
        </w:rPr>
        <w:t>vay sau khi phát sinh dấu hiệu chậm trả chưa được kiểm soát kịp thời nên tiếp tục chuyển sang nợ dưới tiêu chuẩn. Qua đó phản ánh khả năng trả nợ của một bộ phận khách hàng đã suy giảm khá rõ, đồng thời cho thấy áp lực kiểm soát rủi ro tín dụng ngày càng lớn trong quá trình mở rộng tín dụng bán lẻ. Ngoài ra, sự gia tăng của Nhóm 3 cũng cho thấy công tác giám sát sau cho vay và theo dõi dòng tiền thực tế của khách hàng trong một số trường hợp vẫn chưa thực sự hiệu quả.</w:t>
      </w:r>
    </w:p>
    <w:p w14:paraId="2202F83A" w14:textId="2D039A73" w:rsidR="007335A6" w:rsidRPr="002B008A" w:rsidRDefault="007335A6" w:rsidP="007335A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Đối với Nhóm 4 và Nhóm 5, mặc dù quy mô và tỷ trọng còn thấp nhưng vẫn có xu hướng tăng qua các năm. Cụ thể, dư nợ Nhóm 4 tăng từ 0,8 tỷ đồng năm 2023 lên 1,4 tỷ đồng năm 2025, trong khi Nhóm 5 tăng từ 0,62 tỷ đồng lên 1,29 tỷ đồng. Diễn biến này cho thấy một số khoản </w:t>
      </w:r>
      <w:r w:rsidR="00B9784C" w:rsidRPr="002B008A">
        <w:rPr>
          <w:rFonts w:ascii="Times New Roman" w:hAnsi="Times New Roman" w:cs="Times New Roman"/>
          <w:color w:val="000000" w:themeColor="text1"/>
          <w:sz w:val="26"/>
          <w:szCs w:val="26"/>
          <w:lang w:val="vi-VN"/>
        </w:rPr>
        <w:t xml:space="preserve">cho </w:t>
      </w:r>
      <w:r w:rsidRPr="002B008A">
        <w:rPr>
          <w:rFonts w:ascii="Times New Roman" w:hAnsi="Times New Roman" w:cs="Times New Roman"/>
          <w:color w:val="000000" w:themeColor="text1"/>
          <w:sz w:val="26"/>
          <w:szCs w:val="26"/>
          <w:lang w:val="vi-VN"/>
        </w:rPr>
        <w:t>vay sau khi phát sinh rủi ro chưa được xử lý hiệu quả ngay từ giai đoạn đầu nên tiếp tục suy giảm chất lượng và chuyển sang các nhóm nợ có mức độ rủi ro cao hơn.</w:t>
      </w:r>
    </w:p>
    <w:p w14:paraId="78C10179" w14:textId="0511017E" w:rsidR="007335A6" w:rsidRPr="002B008A" w:rsidRDefault="007335A6" w:rsidP="007335A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lastRenderedPageBreak/>
        <w:t>Về phía ngân hàng, MB Đà Nẵng đã tăng cường công tác thẩm định khách hàng, kiểm tra sau cho vay và thực hiện trích lập dự phòng rủi ro nhằm hạn chế tổn thất tín dụng. Nhờ đó, tỷ lệ nợ xấu vẫn được duy trì dưới 1% trong suốt giai đoạn nghiên cứu. Tuy nhiên, hiệu quả kiểm soát rủi ro vẫn chưa thực sự ổn định khi nợ Nhóm 2 và đặc biệt là Nhóm 3 vẫn có xu hướng gia tăng qua các năm. Điều này cho thấy áp lực quản trị rủi ro tín dụng đối với phân khúc KHCN ngày càng lớn, nhất là trong bối cảnh chi nhánh mở rộng dư nợ và gia tăng quy mô tín dụng bán lẻ.</w:t>
      </w:r>
    </w:p>
    <w:p w14:paraId="7186DD8E" w14:textId="0E5F4AB0" w:rsidR="00EA7516" w:rsidRPr="002B008A" w:rsidRDefault="00EA7516" w:rsidP="007335A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Tổng hợp lại, cho vay SXKD đối với KHCN là phân khúc có tốc độ tăng trưởng cao và đóng vai trò quan trọng trong cơ cấu tín dụng bán lẻ của chi nhánh, với tốc độ tăng trưởng vượt trội so với cho vay KHDN. </w:t>
      </w:r>
      <w:r w:rsidR="00975902" w:rsidRPr="002B008A">
        <w:rPr>
          <w:rFonts w:ascii="Times New Roman" w:hAnsi="Times New Roman" w:cs="Times New Roman"/>
          <w:color w:val="000000" w:themeColor="text1"/>
          <w:sz w:val="26"/>
          <w:szCs w:val="26"/>
          <w:lang w:val="vi-VN"/>
        </w:rPr>
        <w:t>Mặc dù</w:t>
      </w:r>
      <w:r w:rsidRPr="002B008A">
        <w:rPr>
          <w:rFonts w:ascii="Times New Roman" w:hAnsi="Times New Roman" w:cs="Times New Roman"/>
          <w:color w:val="000000" w:themeColor="text1"/>
          <w:sz w:val="26"/>
          <w:szCs w:val="26"/>
          <w:lang w:val="vi-VN"/>
        </w:rPr>
        <w:t>, sự tăng trưởng này đi kèm áp lực về chất lượng tín dụng khi tốc độ tăng dư nợ vượt thu nợ và nợ xấu gia tăng nhanh hơn quy mô tín dụng. Trong khi cho vay KHDN mang tính ổn định và kiểm soát rủi ro tốt hơn thì cho vay SXKD đối với KHCN lại nhạy cảm hơn với biến động thị trường và hành vi tiêu dùng. Vì vậy, hiệu quả cho vay SXKD đối với KHCN tuy tích cực về quy mô nhưng chưa thực sự bền vững, đặt ra yêu cầu nâng cao chất lượng thẩm định, tăng cường giám sát sau cho vay và kiểm soát dòng tiền nhằm đảm bảo an toàn danh mục tín dụng trong trung và dài hạn.</w:t>
      </w:r>
    </w:p>
    <w:p w14:paraId="60AF9E0B" w14:textId="5FEEF285" w:rsidR="006C0836" w:rsidRPr="002B008A" w:rsidRDefault="006C0836" w:rsidP="004E66A4">
      <w:pPr>
        <w:pStyle w:val="ListParagraph"/>
        <w:numPr>
          <w:ilvl w:val="0"/>
          <w:numId w:val="4"/>
        </w:numPr>
        <w:tabs>
          <w:tab w:val="left" w:pos="426"/>
          <w:tab w:val="left" w:pos="709"/>
          <w:tab w:val="left" w:pos="851"/>
        </w:tabs>
        <w:spacing w:after="0" w:line="360" w:lineRule="auto"/>
        <w:ind w:left="0" w:firstLine="567"/>
        <w:jc w:val="both"/>
        <w:rPr>
          <w:rFonts w:ascii="Times New Roman" w:hAnsi="Times New Roman" w:cs="Times New Roman"/>
          <w:b/>
          <w:bCs/>
          <w:color w:val="000000" w:themeColor="text1"/>
          <w:sz w:val="26"/>
          <w:szCs w:val="26"/>
          <w:lang w:val="vi-VN"/>
        </w:rPr>
      </w:pPr>
      <w:r w:rsidRPr="002B008A">
        <w:rPr>
          <w:rFonts w:ascii="Times New Roman" w:hAnsi="Times New Roman" w:cs="Times New Roman"/>
          <w:b/>
          <w:bCs/>
          <w:color w:val="000000" w:themeColor="text1"/>
          <w:sz w:val="26"/>
          <w:szCs w:val="26"/>
          <w:lang w:val="vi-VN"/>
        </w:rPr>
        <w:t xml:space="preserve">Tình hình hoạt động cho vay sản xuất kinh doanh đối với khách hàng cá nhân phân theo kỳ hạn tại Ngân hàng TMCP Quân đội – Chi nhánh Đà </w:t>
      </w:r>
      <w:r w:rsidR="00BE2DA5" w:rsidRPr="002B008A">
        <w:rPr>
          <w:rFonts w:ascii="Times New Roman" w:hAnsi="Times New Roman" w:cs="Times New Roman"/>
          <w:b/>
          <w:bCs/>
          <w:color w:val="000000" w:themeColor="text1"/>
          <w:sz w:val="26"/>
          <w:szCs w:val="26"/>
          <w:lang w:val="vi-VN"/>
        </w:rPr>
        <w:t>Nẵng.</w:t>
      </w:r>
    </w:p>
    <w:p w14:paraId="0A2AC781" w14:textId="69443BE2" w:rsidR="003306E9" w:rsidRPr="002B008A" w:rsidRDefault="007F4B00"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sectPr w:rsidR="003306E9" w:rsidRPr="002B008A" w:rsidSect="009E0361">
          <w:pgSz w:w="11906" w:h="16838" w:code="9"/>
          <w:pgMar w:top="1134" w:right="1134" w:bottom="1134" w:left="1701" w:header="720" w:footer="720" w:gutter="0"/>
          <w:cols w:space="720"/>
          <w:docGrid w:linePitch="360"/>
        </w:sectPr>
      </w:pPr>
      <w:r w:rsidRPr="002B008A">
        <w:rPr>
          <w:rFonts w:ascii="Times New Roman" w:hAnsi="Times New Roman" w:cs="Times New Roman"/>
          <w:color w:val="000000" w:themeColor="text1"/>
          <w:sz w:val="26"/>
          <w:szCs w:val="26"/>
          <w:lang w:val="vi-VN"/>
        </w:rPr>
        <w:t>Để thấy rõ hơn sự thay đổi trong hoạt động cho vay theo kỳ hạn, bảng dưới đây thể hiện các số liệu về doanh số cho vay, doanh số thu nợ, dư nợ và nợ xấu của khách hàng cá nhân trong giai đoạn 2023–2025. Thông qua các chỉ tiêu này, có thể quan sát được xu hướng biến động qua từng năm cũng như sự khác biệt giữa cho vay ngắn hạn và trung – dài hạn. Dựa vào bảng số liệu, việc so sánh và đánh giá mức độ tăng trưởng, cơ cấu tín dụng cũng như khả năng kiểm soát rủi ro của chi nhánh theo từng kỳ hạn sẽ trở nên rõ ràng hơn.</w:t>
      </w:r>
    </w:p>
    <w:p w14:paraId="60FE46B1" w14:textId="039A9B1C" w:rsidR="00882F4F" w:rsidRPr="002B008A" w:rsidRDefault="00EB0E27" w:rsidP="00EB0E27">
      <w:pPr>
        <w:pStyle w:val="Caption"/>
        <w:jc w:val="center"/>
        <w:rPr>
          <w:rFonts w:ascii="Times New Roman" w:hAnsi="Times New Roman" w:cs="Times New Roman"/>
          <w:b/>
          <w:bCs/>
          <w:i w:val="0"/>
          <w:iCs w:val="0"/>
          <w:color w:val="000000" w:themeColor="text1"/>
          <w:sz w:val="26"/>
          <w:szCs w:val="26"/>
          <w:lang w:val="vi-VN"/>
        </w:rPr>
      </w:pPr>
      <w:bookmarkStart w:id="54" w:name="_Toc230367582"/>
      <w:r w:rsidRPr="002B008A">
        <w:rPr>
          <w:rFonts w:ascii="Times New Roman" w:hAnsi="Times New Roman" w:cs="Times New Roman"/>
          <w:b/>
          <w:bCs/>
          <w:i w:val="0"/>
          <w:iCs w:val="0"/>
          <w:color w:val="000000" w:themeColor="text1"/>
          <w:sz w:val="26"/>
          <w:szCs w:val="26"/>
          <w:lang w:val="vi-VN"/>
        </w:rPr>
        <w:lastRenderedPageBreak/>
        <w:t>Bảng 2.</w:t>
      </w:r>
      <w:r w:rsidRPr="002B008A">
        <w:rPr>
          <w:rFonts w:ascii="Times New Roman" w:hAnsi="Times New Roman" w:cs="Times New Roman"/>
          <w:b/>
          <w:bCs/>
          <w:i w:val="0"/>
          <w:iCs w:val="0"/>
          <w:color w:val="000000" w:themeColor="text1"/>
          <w:sz w:val="26"/>
          <w:szCs w:val="26"/>
        </w:rPr>
        <w:fldChar w:fldCharType="begin"/>
      </w:r>
      <w:r w:rsidRPr="002B008A">
        <w:rPr>
          <w:rFonts w:ascii="Times New Roman" w:hAnsi="Times New Roman" w:cs="Times New Roman"/>
          <w:b/>
          <w:bCs/>
          <w:i w:val="0"/>
          <w:iCs w:val="0"/>
          <w:color w:val="000000" w:themeColor="text1"/>
          <w:sz w:val="26"/>
          <w:szCs w:val="26"/>
          <w:lang w:val="vi-VN"/>
        </w:rPr>
        <w:instrText xml:space="preserve"> SEQ Bảng_2. \* ARABIC </w:instrText>
      </w:r>
      <w:r w:rsidRPr="002B008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6</w:t>
      </w:r>
      <w:r w:rsidRPr="002B008A">
        <w:rPr>
          <w:rFonts w:ascii="Times New Roman" w:hAnsi="Times New Roman" w:cs="Times New Roman"/>
          <w:b/>
          <w:bCs/>
          <w:i w:val="0"/>
          <w:iCs w:val="0"/>
          <w:color w:val="000000" w:themeColor="text1"/>
          <w:sz w:val="26"/>
          <w:szCs w:val="26"/>
        </w:rPr>
        <w:fldChar w:fldCharType="end"/>
      </w:r>
      <w:r w:rsidR="001C1FB0" w:rsidRPr="002B008A">
        <w:rPr>
          <w:rFonts w:ascii="Times New Roman" w:hAnsi="Times New Roman" w:cs="Times New Roman"/>
          <w:b/>
          <w:bCs/>
          <w:i w:val="0"/>
          <w:iCs w:val="0"/>
          <w:color w:val="000000" w:themeColor="text1"/>
          <w:sz w:val="26"/>
          <w:szCs w:val="26"/>
          <w:lang w:val="vi-VN"/>
        </w:rPr>
        <w:t xml:space="preserve"> </w:t>
      </w:r>
      <w:r w:rsidR="006C0836" w:rsidRPr="002B008A">
        <w:rPr>
          <w:rFonts w:ascii="Times New Roman" w:hAnsi="Times New Roman" w:cs="Times New Roman"/>
          <w:b/>
          <w:bCs/>
          <w:i w:val="0"/>
          <w:iCs w:val="0"/>
          <w:color w:val="000000" w:themeColor="text1"/>
          <w:sz w:val="26"/>
          <w:szCs w:val="26"/>
          <w:lang w:val="vi-VN"/>
        </w:rPr>
        <w:t xml:space="preserve">Tình hình hoạt động cho vay sản xuất kinh doanh đối với khách hàng cá nhân phân theo kỳ hạn tại Ngân hàng TMCP Quân đội – Chi nhánh Đà </w:t>
      </w:r>
      <w:r w:rsidR="00BE2DA5" w:rsidRPr="002B008A">
        <w:rPr>
          <w:rFonts w:ascii="Times New Roman" w:hAnsi="Times New Roman" w:cs="Times New Roman"/>
          <w:b/>
          <w:bCs/>
          <w:i w:val="0"/>
          <w:iCs w:val="0"/>
          <w:color w:val="000000" w:themeColor="text1"/>
          <w:sz w:val="26"/>
          <w:szCs w:val="26"/>
          <w:lang w:val="vi-VN"/>
        </w:rPr>
        <w:t>Nẵng.</w:t>
      </w:r>
      <w:bookmarkEnd w:id="54"/>
    </w:p>
    <w:p w14:paraId="4000C731" w14:textId="643845F1" w:rsidR="006C0836" w:rsidRPr="002B008A" w:rsidRDefault="006C0836" w:rsidP="00A139CF">
      <w:pPr>
        <w:tabs>
          <w:tab w:val="left" w:pos="6210"/>
        </w:tabs>
        <w:spacing w:after="0" w:line="360" w:lineRule="auto"/>
        <w:ind w:firstLine="567"/>
        <w:jc w:val="right"/>
        <w:rPr>
          <w:rFonts w:ascii="Times New Roman" w:hAnsi="Times New Roman" w:cs="Times New Roman"/>
          <w:i/>
          <w:iCs/>
          <w:color w:val="000000" w:themeColor="text1"/>
          <w:sz w:val="26"/>
          <w:szCs w:val="26"/>
          <w:lang w:val="vi-VN"/>
        </w:rPr>
      </w:pPr>
      <w:r w:rsidRPr="002B008A">
        <w:rPr>
          <w:rFonts w:ascii="Times New Roman" w:hAnsi="Times New Roman" w:cs="Times New Roman"/>
          <w:i/>
          <w:iCs/>
          <w:color w:val="000000" w:themeColor="text1"/>
          <w:sz w:val="26"/>
          <w:szCs w:val="26"/>
          <w:lang w:val="vi-VN"/>
        </w:rPr>
        <w:t>Đ</w:t>
      </w:r>
      <w:r w:rsidR="00F01711" w:rsidRPr="002B008A">
        <w:rPr>
          <w:rFonts w:ascii="Times New Roman" w:hAnsi="Times New Roman" w:cs="Times New Roman"/>
          <w:i/>
          <w:iCs/>
          <w:color w:val="000000" w:themeColor="text1"/>
          <w:sz w:val="26"/>
          <w:szCs w:val="26"/>
        </w:rPr>
        <w:t>ơn vị tính</w:t>
      </w:r>
      <w:r w:rsidRPr="002B008A">
        <w:rPr>
          <w:rFonts w:ascii="Times New Roman" w:hAnsi="Times New Roman" w:cs="Times New Roman"/>
          <w:i/>
          <w:iCs/>
          <w:color w:val="000000" w:themeColor="text1"/>
          <w:sz w:val="26"/>
          <w:szCs w:val="26"/>
          <w:lang w:val="vi-VN"/>
        </w:rPr>
        <w:t>: Tỷ đồng</w:t>
      </w:r>
    </w:p>
    <w:tbl>
      <w:tblPr>
        <w:tblW w:w="0" w:type="auto"/>
        <w:tblLayout w:type="fixed"/>
        <w:tblLook w:val="04A0" w:firstRow="1" w:lastRow="0" w:firstColumn="1" w:lastColumn="0" w:noHBand="0" w:noVBand="1"/>
      </w:tblPr>
      <w:tblGrid>
        <w:gridCol w:w="4133"/>
        <w:gridCol w:w="965"/>
        <w:gridCol w:w="1071"/>
        <w:gridCol w:w="1056"/>
        <w:gridCol w:w="980"/>
        <w:gridCol w:w="1146"/>
        <w:gridCol w:w="890"/>
        <w:gridCol w:w="1094"/>
        <w:gridCol w:w="898"/>
        <w:gridCol w:w="945"/>
        <w:gridCol w:w="1058"/>
      </w:tblGrid>
      <w:tr w:rsidR="00E36D7F" w:rsidRPr="002B008A" w14:paraId="3E8016F4" w14:textId="77777777" w:rsidTr="00E36D7F">
        <w:trPr>
          <w:trHeight w:val="227"/>
        </w:trPr>
        <w:tc>
          <w:tcPr>
            <w:tcW w:w="4133"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47CB515A"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Chỉ tiêu</w:t>
            </w:r>
          </w:p>
        </w:tc>
        <w:tc>
          <w:tcPr>
            <w:tcW w:w="2036"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5DFCC03C"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2023</w:t>
            </w:r>
          </w:p>
        </w:tc>
        <w:tc>
          <w:tcPr>
            <w:tcW w:w="2036"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4467B622"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2024</w:t>
            </w:r>
          </w:p>
        </w:tc>
        <w:tc>
          <w:tcPr>
            <w:tcW w:w="2036"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59C30540"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2025</w:t>
            </w:r>
          </w:p>
        </w:tc>
        <w:tc>
          <w:tcPr>
            <w:tcW w:w="1992"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29AD4C5B" w14:textId="1DAF7D01"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2024/2023</w:t>
            </w:r>
          </w:p>
        </w:tc>
        <w:tc>
          <w:tcPr>
            <w:tcW w:w="2003"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78570C4E" w14:textId="7B675E03"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2025/2024</w:t>
            </w:r>
          </w:p>
        </w:tc>
      </w:tr>
      <w:tr w:rsidR="00E36D7F" w:rsidRPr="002B008A" w14:paraId="5F29B879" w14:textId="77777777" w:rsidTr="00E36D7F">
        <w:trPr>
          <w:trHeight w:val="227"/>
        </w:trPr>
        <w:tc>
          <w:tcPr>
            <w:tcW w:w="4133" w:type="dxa"/>
            <w:vMerge/>
            <w:tcBorders>
              <w:top w:val="single" w:sz="4" w:space="0" w:color="auto"/>
              <w:left w:val="single" w:sz="4" w:space="0" w:color="auto"/>
              <w:bottom w:val="single" w:sz="4" w:space="0" w:color="000000"/>
              <w:right w:val="single" w:sz="4" w:space="0" w:color="auto"/>
            </w:tcBorders>
            <w:vAlign w:val="center"/>
            <w:hideMark/>
          </w:tcPr>
          <w:p w14:paraId="52FD69FA"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p>
        </w:tc>
        <w:tc>
          <w:tcPr>
            <w:tcW w:w="965" w:type="dxa"/>
            <w:tcBorders>
              <w:top w:val="nil"/>
              <w:left w:val="nil"/>
              <w:bottom w:val="single" w:sz="4" w:space="0" w:color="auto"/>
              <w:right w:val="single" w:sz="4" w:space="0" w:color="auto"/>
            </w:tcBorders>
            <w:shd w:val="clear" w:color="000000" w:fill="DDEBF7"/>
            <w:noWrap/>
            <w:vAlign w:val="center"/>
            <w:hideMark/>
          </w:tcPr>
          <w:p w14:paraId="5ED785C4"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071" w:type="dxa"/>
            <w:tcBorders>
              <w:top w:val="nil"/>
              <w:left w:val="nil"/>
              <w:bottom w:val="single" w:sz="4" w:space="0" w:color="auto"/>
              <w:right w:val="single" w:sz="4" w:space="0" w:color="auto"/>
            </w:tcBorders>
            <w:shd w:val="clear" w:color="000000" w:fill="DDEBF7"/>
            <w:noWrap/>
            <w:vAlign w:val="center"/>
            <w:hideMark/>
          </w:tcPr>
          <w:p w14:paraId="0D33AA44" w14:textId="6FAB8736" w:rsidR="00E36D7F" w:rsidRPr="002B008A" w:rsidRDefault="005B626B"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B626B">
              <w:rPr>
                <w:rFonts w:ascii="Times New Roman" w:eastAsia="Times New Roman" w:hAnsi="Times New Roman" w:cs="Times New Roman"/>
                <w:b/>
                <w:bCs/>
                <w:color w:val="000000"/>
                <w:kern w:val="0"/>
                <w:sz w:val="26"/>
                <w:szCs w:val="26"/>
                <w:lang w:eastAsia="zh-CN"/>
                <w14:ligatures w14:val="none"/>
              </w:rPr>
              <w:t>Tỷ trọng (%)</w:t>
            </w:r>
          </w:p>
        </w:tc>
        <w:tc>
          <w:tcPr>
            <w:tcW w:w="1056" w:type="dxa"/>
            <w:tcBorders>
              <w:top w:val="nil"/>
              <w:left w:val="nil"/>
              <w:bottom w:val="single" w:sz="4" w:space="0" w:color="auto"/>
              <w:right w:val="single" w:sz="4" w:space="0" w:color="auto"/>
            </w:tcBorders>
            <w:shd w:val="clear" w:color="000000" w:fill="DDEBF7"/>
            <w:noWrap/>
            <w:vAlign w:val="center"/>
            <w:hideMark/>
          </w:tcPr>
          <w:p w14:paraId="1217A210" w14:textId="6AB808C5"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980" w:type="dxa"/>
            <w:tcBorders>
              <w:top w:val="nil"/>
              <w:left w:val="nil"/>
              <w:bottom w:val="single" w:sz="4" w:space="0" w:color="auto"/>
              <w:right w:val="single" w:sz="4" w:space="0" w:color="auto"/>
            </w:tcBorders>
            <w:shd w:val="clear" w:color="000000" w:fill="DDEBF7"/>
            <w:noWrap/>
            <w:vAlign w:val="center"/>
            <w:hideMark/>
          </w:tcPr>
          <w:p w14:paraId="2FB0EB7F" w14:textId="0C691174" w:rsidR="00E36D7F" w:rsidRPr="002B008A" w:rsidRDefault="005B626B"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B626B">
              <w:rPr>
                <w:rFonts w:ascii="Times New Roman" w:eastAsia="Times New Roman" w:hAnsi="Times New Roman" w:cs="Times New Roman"/>
                <w:b/>
                <w:bCs/>
                <w:color w:val="000000"/>
                <w:kern w:val="0"/>
                <w:sz w:val="26"/>
                <w:szCs w:val="26"/>
                <w:lang w:eastAsia="zh-CN"/>
                <w14:ligatures w14:val="none"/>
              </w:rPr>
              <w:t>Tỷ trọng (%)</w:t>
            </w:r>
          </w:p>
        </w:tc>
        <w:tc>
          <w:tcPr>
            <w:tcW w:w="1146" w:type="dxa"/>
            <w:tcBorders>
              <w:top w:val="nil"/>
              <w:left w:val="nil"/>
              <w:bottom w:val="single" w:sz="4" w:space="0" w:color="auto"/>
              <w:right w:val="single" w:sz="4" w:space="0" w:color="auto"/>
            </w:tcBorders>
            <w:shd w:val="clear" w:color="000000" w:fill="DDEBF7"/>
            <w:noWrap/>
            <w:vAlign w:val="center"/>
            <w:hideMark/>
          </w:tcPr>
          <w:p w14:paraId="31473D01"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890" w:type="dxa"/>
            <w:tcBorders>
              <w:top w:val="nil"/>
              <w:left w:val="nil"/>
              <w:bottom w:val="single" w:sz="4" w:space="0" w:color="auto"/>
              <w:right w:val="single" w:sz="4" w:space="0" w:color="auto"/>
            </w:tcBorders>
            <w:shd w:val="clear" w:color="000000" w:fill="DDEBF7"/>
            <w:noWrap/>
            <w:vAlign w:val="center"/>
            <w:hideMark/>
          </w:tcPr>
          <w:p w14:paraId="14FC2F59" w14:textId="3EDC4868" w:rsidR="00E36D7F" w:rsidRPr="002B008A" w:rsidRDefault="005B626B"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B626B">
              <w:rPr>
                <w:rFonts w:ascii="Times New Roman" w:eastAsia="Times New Roman" w:hAnsi="Times New Roman" w:cs="Times New Roman"/>
                <w:b/>
                <w:bCs/>
                <w:color w:val="000000"/>
                <w:kern w:val="0"/>
                <w:sz w:val="26"/>
                <w:szCs w:val="26"/>
                <w:lang w:eastAsia="zh-CN"/>
                <w14:ligatures w14:val="none"/>
              </w:rPr>
              <w:t>Tỷ trọng (%)</w:t>
            </w:r>
          </w:p>
        </w:tc>
        <w:tc>
          <w:tcPr>
            <w:tcW w:w="1094" w:type="dxa"/>
            <w:tcBorders>
              <w:top w:val="nil"/>
              <w:left w:val="nil"/>
              <w:bottom w:val="single" w:sz="4" w:space="0" w:color="auto"/>
              <w:right w:val="single" w:sz="4" w:space="0" w:color="auto"/>
            </w:tcBorders>
            <w:shd w:val="clear" w:color="000000" w:fill="DDEBF7"/>
            <w:noWrap/>
            <w:vAlign w:val="center"/>
            <w:hideMark/>
          </w:tcPr>
          <w:p w14:paraId="29B136F6"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898" w:type="dxa"/>
            <w:tcBorders>
              <w:top w:val="nil"/>
              <w:left w:val="nil"/>
              <w:bottom w:val="single" w:sz="4" w:space="0" w:color="auto"/>
              <w:right w:val="single" w:sz="4" w:space="0" w:color="auto"/>
            </w:tcBorders>
            <w:shd w:val="clear" w:color="000000" w:fill="DDEBF7"/>
            <w:noWrap/>
            <w:vAlign w:val="center"/>
            <w:hideMark/>
          </w:tcPr>
          <w:p w14:paraId="0E9635BD"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c>
          <w:tcPr>
            <w:tcW w:w="945" w:type="dxa"/>
            <w:tcBorders>
              <w:top w:val="nil"/>
              <w:left w:val="nil"/>
              <w:bottom w:val="single" w:sz="4" w:space="0" w:color="auto"/>
              <w:right w:val="single" w:sz="4" w:space="0" w:color="auto"/>
            </w:tcBorders>
            <w:shd w:val="clear" w:color="000000" w:fill="DDEBF7"/>
            <w:noWrap/>
            <w:vAlign w:val="center"/>
            <w:hideMark/>
          </w:tcPr>
          <w:p w14:paraId="33985A3E"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058" w:type="dxa"/>
            <w:tcBorders>
              <w:top w:val="nil"/>
              <w:left w:val="nil"/>
              <w:bottom w:val="single" w:sz="4" w:space="0" w:color="auto"/>
              <w:right w:val="single" w:sz="4" w:space="0" w:color="auto"/>
            </w:tcBorders>
            <w:shd w:val="clear" w:color="000000" w:fill="DDEBF7"/>
            <w:noWrap/>
            <w:vAlign w:val="center"/>
            <w:hideMark/>
          </w:tcPr>
          <w:p w14:paraId="76CADA68" w14:textId="77777777" w:rsidR="00E36D7F" w:rsidRPr="002B008A" w:rsidRDefault="00E36D7F" w:rsidP="00E36D7F">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r>
      <w:tr w:rsidR="00FB2F6E" w:rsidRPr="002B008A" w14:paraId="4EB1524B"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5E96DAFD" w14:textId="77777777" w:rsidR="00FB2F6E" w:rsidRPr="002B008A" w:rsidRDefault="00FB2F6E" w:rsidP="00FB2F6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 Doanh số cho vay SXKD đối với KHCN</w:t>
            </w:r>
          </w:p>
        </w:tc>
        <w:tc>
          <w:tcPr>
            <w:tcW w:w="965" w:type="dxa"/>
            <w:tcBorders>
              <w:top w:val="single" w:sz="4" w:space="0" w:color="auto"/>
              <w:left w:val="single" w:sz="4" w:space="0" w:color="auto"/>
              <w:bottom w:val="single" w:sz="4" w:space="0" w:color="auto"/>
              <w:right w:val="single" w:sz="4" w:space="0" w:color="auto"/>
            </w:tcBorders>
            <w:noWrap/>
            <w:vAlign w:val="center"/>
            <w:hideMark/>
          </w:tcPr>
          <w:p w14:paraId="5C5BFE5D" w14:textId="4F802626"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308,64</w:t>
            </w:r>
          </w:p>
        </w:tc>
        <w:tc>
          <w:tcPr>
            <w:tcW w:w="1071" w:type="dxa"/>
            <w:tcBorders>
              <w:top w:val="single" w:sz="4" w:space="0" w:color="auto"/>
              <w:left w:val="nil"/>
              <w:bottom w:val="single" w:sz="4" w:space="0" w:color="auto"/>
              <w:right w:val="single" w:sz="4" w:space="0" w:color="auto"/>
            </w:tcBorders>
            <w:noWrap/>
            <w:vAlign w:val="center"/>
            <w:hideMark/>
          </w:tcPr>
          <w:p w14:paraId="503A298C" w14:textId="1455136D"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056" w:type="dxa"/>
            <w:tcBorders>
              <w:top w:val="single" w:sz="4" w:space="0" w:color="auto"/>
              <w:left w:val="nil"/>
              <w:bottom w:val="single" w:sz="4" w:space="0" w:color="auto"/>
              <w:right w:val="single" w:sz="4" w:space="0" w:color="auto"/>
            </w:tcBorders>
            <w:noWrap/>
            <w:vAlign w:val="center"/>
            <w:hideMark/>
          </w:tcPr>
          <w:p w14:paraId="6258D20C" w14:textId="36F2EF82"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417,28</w:t>
            </w:r>
          </w:p>
        </w:tc>
        <w:tc>
          <w:tcPr>
            <w:tcW w:w="980" w:type="dxa"/>
            <w:tcBorders>
              <w:top w:val="single" w:sz="4" w:space="0" w:color="auto"/>
              <w:left w:val="nil"/>
              <w:bottom w:val="single" w:sz="4" w:space="0" w:color="auto"/>
              <w:right w:val="single" w:sz="4" w:space="0" w:color="auto"/>
            </w:tcBorders>
            <w:noWrap/>
            <w:vAlign w:val="center"/>
            <w:hideMark/>
          </w:tcPr>
          <w:p w14:paraId="047F0FAC" w14:textId="12CDC3A7"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146" w:type="dxa"/>
            <w:tcBorders>
              <w:top w:val="single" w:sz="4" w:space="0" w:color="auto"/>
              <w:left w:val="nil"/>
              <w:bottom w:val="single" w:sz="4" w:space="0" w:color="auto"/>
              <w:right w:val="single" w:sz="4" w:space="0" w:color="auto"/>
            </w:tcBorders>
            <w:noWrap/>
            <w:vAlign w:val="center"/>
            <w:hideMark/>
          </w:tcPr>
          <w:p w14:paraId="1988EFE3" w14:textId="3BD69F61"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512,73</w:t>
            </w:r>
          </w:p>
        </w:tc>
        <w:tc>
          <w:tcPr>
            <w:tcW w:w="890" w:type="dxa"/>
            <w:tcBorders>
              <w:top w:val="single" w:sz="4" w:space="0" w:color="auto"/>
              <w:left w:val="nil"/>
              <w:bottom w:val="single" w:sz="4" w:space="0" w:color="auto"/>
              <w:right w:val="single" w:sz="4" w:space="0" w:color="auto"/>
            </w:tcBorders>
            <w:noWrap/>
            <w:vAlign w:val="center"/>
            <w:hideMark/>
          </w:tcPr>
          <w:p w14:paraId="356785FF" w14:textId="15553278"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094" w:type="dxa"/>
            <w:tcBorders>
              <w:top w:val="single" w:sz="4" w:space="0" w:color="auto"/>
              <w:left w:val="nil"/>
              <w:bottom w:val="single" w:sz="4" w:space="0" w:color="auto"/>
              <w:right w:val="single" w:sz="4" w:space="0" w:color="auto"/>
            </w:tcBorders>
            <w:noWrap/>
            <w:vAlign w:val="center"/>
            <w:hideMark/>
          </w:tcPr>
          <w:p w14:paraId="5F8C59C2" w14:textId="6E1E81B2"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108,64</w:t>
            </w:r>
          </w:p>
        </w:tc>
        <w:tc>
          <w:tcPr>
            <w:tcW w:w="898" w:type="dxa"/>
            <w:tcBorders>
              <w:top w:val="single" w:sz="4" w:space="0" w:color="auto"/>
              <w:left w:val="nil"/>
              <w:bottom w:val="single" w:sz="4" w:space="0" w:color="auto"/>
              <w:right w:val="single" w:sz="4" w:space="0" w:color="auto"/>
            </w:tcBorders>
            <w:noWrap/>
            <w:vAlign w:val="center"/>
            <w:hideMark/>
          </w:tcPr>
          <w:p w14:paraId="265C4451" w14:textId="762B82A6"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35,20</w:t>
            </w:r>
          </w:p>
        </w:tc>
        <w:tc>
          <w:tcPr>
            <w:tcW w:w="945" w:type="dxa"/>
            <w:tcBorders>
              <w:top w:val="single" w:sz="4" w:space="0" w:color="auto"/>
              <w:left w:val="nil"/>
              <w:bottom w:val="single" w:sz="4" w:space="0" w:color="auto"/>
              <w:right w:val="single" w:sz="4" w:space="0" w:color="auto"/>
            </w:tcBorders>
            <w:noWrap/>
            <w:vAlign w:val="center"/>
            <w:hideMark/>
          </w:tcPr>
          <w:p w14:paraId="3CB58CED" w14:textId="567E8E04"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95,45</w:t>
            </w:r>
          </w:p>
        </w:tc>
        <w:tc>
          <w:tcPr>
            <w:tcW w:w="1058" w:type="dxa"/>
            <w:tcBorders>
              <w:top w:val="single" w:sz="4" w:space="0" w:color="auto"/>
              <w:left w:val="nil"/>
              <w:bottom w:val="single" w:sz="4" w:space="0" w:color="auto"/>
              <w:right w:val="single" w:sz="4" w:space="0" w:color="auto"/>
            </w:tcBorders>
            <w:noWrap/>
            <w:vAlign w:val="center"/>
            <w:hideMark/>
          </w:tcPr>
          <w:p w14:paraId="1BEC2E1A" w14:textId="7B4BB5AF"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22,87</w:t>
            </w:r>
          </w:p>
        </w:tc>
      </w:tr>
      <w:tr w:rsidR="00FB2F6E" w:rsidRPr="002B008A" w14:paraId="18614330"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03AEDF97"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965" w:type="dxa"/>
            <w:tcBorders>
              <w:top w:val="nil"/>
              <w:left w:val="single" w:sz="4" w:space="0" w:color="auto"/>
              <w:bottom w:val="single" w:sz="4" w:space="0" w:color="auto"/>
              <w:right w:val="single" w:sz="4" w:space="0" w:color="auto"/>
            </w:tcBorders>
            <w:noWrap/>
            <w:vAlign w:val="center"/>
            <w:hideMark/>
          </w:tcPr>
          <w:p w14:paraId="66C45D40" w14:textId="34D3E274"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hAnsi="Times New Roman" w:cs="Times New Roman"/>
                <w:color w:val="000000"/>
                <w:sz w:val="26"/>
                <w:szCs w:val="26"/>
              </w:rPr>
              <w:t>225,41</w:t>
            </w:r>
          </w:p>
        </w:tc>
        <w:tc>
          <w:tcPr>
            <w:tcW w:w="1071" w:type="dxa"/>
            <w:tcBorders>
              <w:top w:val="nil"/>
              <w:left w:val="nil"/>
              <w:bottom w:val="single" w:sz="4" w:space="0" w:color="auto"/>
              <w:right w:val="single" w:sz="4" w:space="0" w:color="auto"/>
            </w:tcBorders>
            <w:noWrap/>
            <w:vAlign w:val="center"/>
            <w:hideMark/>
          </w:tcPr>
          <w:p w14:paraId="163A3F56" w14:textId="76716383"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73,03</w:t>
            </w:r>
          </w:p>
        </w:tc>
        <w:tc>
          <w:tcPr>
            <w:tcW w:w="1056" w:type="dxa"/>
            <w:tcBorders>
              <w:top w:val="nil"/>
              <w:left w:val="nil"/>
              <w:bottom w:val="single" w:sz="4" w:space="0" w:color="auto"/>
              <w:right w:val="single" w:sz="4" w:space="0" w:color="auto"/>
            </w:tcBorders>
            <w:noWrap/>
            <w:vAlign w:val="center"/>
            <w:hideMark/>
          </w:tcPr>
          <w:p w14:paraId="539C8CF9" w14:textId="5C1B62C1"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308,57</w:t>
            </w:r>
          </w:p>
        </w:tc>
        <w:tc>
          <w:tcPr>
            <w:tcW w:w="980" w:type="dxa"/>
            <w:tcBorders>
              <w:top w:val="nil"/>
              <w:left w:val="nil"/>
              <w:bottom w:val="single" w:sz="4" w:space="0" w:color="auto"/>
              <w:right w:val="single" w:sz="4" w:space="0" w:color="auto"/>
            </w:tcBorders>
            <w:noWrap/>
            <w:vAlign w:val="center"/>
            <w:hideMark/>
          </w:tcPr>
          <w:p w14:paraId="37D91848" w14:textId="57E2725B"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73,95</w:t>
            </w:r>
          </w:p>
        </w:tc>
        <w:tc>
          <w:tcPr>
            <w:tcW w:w="1146" w:type="dxa"/>
            <w:tcBorders>
              <w:top w:val="nil"/>
              <w:left w:val="nil"/>
              <w:bottom w:val="single" w:sz="4" w:space="0" w:color="auto"/>
              <w:right w:val="single" w:sz="4" w:space="0" w:color="auto"/>
            </w:tcBorders>
            <w:noWrap/>
            <w:vAlign w:val="center"/>
            <w:hideMark/>
          </w:tcPr>
          <w:p w14:paraId="1E85443F" w14:textId="22FD2B42"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379,66</w:t>
            </w:r>
          </w:p>
        </w:tc>
        <w:tc>
          <w:tcPr>
            <w:tcW w:w="890" w:type="dxa"/>
            <w:tcBorders>
              <w:top w:val="nil"/>
              <w:left w:val="nil"/>
              <w:bottom w:val="single" w:sz="4" w:space="0" w:color="auto"/>
              <w:right w:val="single" w:sz="4" w:space="0" w:color="auto"/>
            </w:tcBorders>
            <w:noWrap/>
            <w:vAlign w:val="center"/>
            <w:hideMark/>
          </w:tcPr>
          <w:p w14:paraId="7997E04D" w14:textId="0AB8A19C"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74,05</w:t>
            </w:r>
          </w:p>
        </w:tc>
        <w:tc>
          <w:tcPr>
            <w:tcW w:w="1094" w:type="dxa"/>
            <w:tcBorders>
              <w:top w:val="nil"/>
              <w:left w:val="nil"/>
              <w:bottom w:val="single" w:sz="4" w:space="0" w:color="auto"/>
              <w:right w:val="single" w:sz="4" w:space="0" w:color="auto"/>
            </w:tcBorders>
            <w:noWrap/>
            <w:vAlign w:val="center"/>
            <w:hideMark/>
          </w:tcPr>
          <w:p w14:paraId="5284EBBF" w14:textId="267C7C20"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83,16</w:t>
            </w:r>
          </w:p>
        </w:tc>
        <w:tc>
          <w:tcPr>
            <w:tcW w:w="898" w:type="dxa"/>
            <w:tcBorders>
              <w:top w:val="nil"/>
              <w:left w:val="nil"/>
              <w:bottom w:val="single" w:sz="4" w:space="0" w:color="auto"/>
              <w:right w:val="single" w:sz="4" w:space="0" w:color="auto"/>
            </w:tcBorders>
            <w:noWrap/>
            <w:vAlign w:val="center"/>
            <w:hideMark/>
          </w:tcPr>
          <w:p w14:paraId="5054EF4E" w14:textId="2C1B836B"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36,89</w:t>
            </w:r>
          </w:p>
        </w:tc>
        <w:tc>
          <w:tcPr>
            <w:tcW w:w="945" w:type="dxa"/>
            <w:tcBorders>
              <w:top w:val="nil"/>
              <w:left w:val="nil"/>
              <w:bottom w:val="single" w:sz="4" w:space="0" w:color="auto"/>
              <w:right w:val="single" w:sz="4" w:space="0" w:color="auto"/>
            </w:tcBorders>
            <w:noWrap/>
            <w:vAlign w:val="center"/>
            <w:hideMark/>
          </w:tcPr>
          <w:p w14:paraId="656D52E8" w14:textId="3932D507"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71,09</w:t>
            </w:r>
          </w:p>
        </w:tc>
        <w:tc>
          <w:tcPr>
            <w:tcW w:w="1058" w:type="dxa"/>
            <w:tcBorders>
              <w:top w:val="nil"/>
              <w:left w:val="nil"/>
              <w:bottom w:val="single" w:sz="4" w:space="0" w:color="auto"/>
              <w:right w:val="single" w:sz="4" w:space="0" w:color="auto"/>
            </w:tcBorders>
            <w:noWrap/>
            <w:vAlign w:val="center"/>
            <w:hideMark/>
          </w:tcPr>
          <w:p w14:paraId="2E128ABD" w14:textId="678F65D2"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23,04</w:t>
            </w:r>
          </w:p>
        </w:tc>
      </w:tr>
      <w:tr w:rsidR="00FB2F6E" w:rsidRPr="002B008A" w14:paraId="00586C4B"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665B49B3"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965" w:type="dxa"/>
            <w:tcBorders>
              <w:top w:val="nil"/>
              <w:left w:val="single" w:sz="4" w:space="0" w:color="auto"/>
              <w:bottom w:val="single" w:sz="4" w:space="0" w:color="auto"/>
              <w:right w:val="single" w:sz="4" w:space="0" w:color="auto"/>
            </w:tcBorders>
            <w:noWrap/>
            <w:vAlign w:val="center"/>
            <w:hideMark/>
          </w:tcPr>
          <w:p w14:paraId="572739E2" w14:textId="7D454136"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2B008A">
              <w:rPr>
                <w:rFonts w:ascii="Times New Roman" w:hAnsi="Times New Roman" w:cs="Times New Roman"/>
                <w:color w:val="000000"/>
                <w:sz w:val="26"/>
                <w:szCs w:val="26"/>
              </w:rPr>
              <w:t>83,23</w:t>
            </w:r>
          </w:p>
        </w:tc>
        <w:tc>
          <w:tcPr>
            <w:tcW w:w="1071" w:type="dxa"/>
            <w:tcBorders>
              <w:top w:val="nil"/>
              <w:left w:val="nil"/>
              <w:bottom w:val="single" w:sz="4" w:space="0" w:color="auto"/>
              <w:right w:val="single" w:sz="4" w:space="0" w:color="auto"/>
            </w:tcBorders>
            <w:noWrap/>
            <w:vAlign w:val="center"/>
            <w:hideMark/>
          </w:tcPr>
          <w:p w14:paraId="16E4757C" w14:textId="0CF900EC"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26,97</w:t>
            </w:r>
          </w:p>
        </w:tc>
        <w:tc>
          <w:tcPr>
            <w:tcW w:w="1056" w:type="dxa"/>
            <w:tcBorders>
              <w:top w:val="nil"/>
              <w:left w:val="nil"/>
              <w:bottom w:val="single" w:sz="4" w:space="0" w:color="auto"/>
              <w:right w:val="single" w:sz="4" w:space="0" w:color="auto"/>
            </w:tcBorders>
            <w:noWrap/>
            <w:vAlign w:val="center"/>
            <w:hideMark/>
          </w:tcPr>
          <w:p w14:paraId="557BDC7A" w14:textId="21BA7FFE"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108,71</w:t>
            </w:r>
          </w:p>
        </w:tc>
        <w:tc>
          <w:tcPr>
            <w:tcW w:w="980" w:type="dxa"/>
            <w:tcBorders>
              <w:top w:val="nil"/>
              <w:left w:val="nil"/>
              <w:bottom w:val="single" w:sz="4" w:space="0" w:color="auto"/>
              <w:right w:val="single" w:sz="4" w:space="0" w:color="auto"/>
            </w:tcBorders>
            <w:noWrap/>
            <w:vAlign w:val="center"/>
            <w:hideMark/>
          </w:tcPr>
          <w:p w14:paraId="0BC62AA3" w14:textId="71FF4272"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26,05</w:t>
            </w:r>
          </w:p>
        </w:tc>
        <w:tc>
          <w:tcPr>
            <w:tcW w:w="1146" w:type="dxa"/>
            <w:tcBorders>
              <w:top w:val="nil"/>
              <w:left w:val="nil"/>
              <w:bottom w:val="single" w:sz="4" w:space="0" w:color="auto"/>
              <w:right w:val="single" w:sz="4" w:space="0" w:color="auto"/>
            </w:tcBorders>
            <w:noWrap/>
            <w:vAlign w:val="center"/>
            <w:hideMark/>
          </w:tcPr>
          <w:p w14:paraId="4C5E5B6C" w14:textId="1C8EF204"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133,07</w:t>
            </w:r>
          </w:p>
        </w:tc>
        <w:tc>
          <w:tcPr>
            <w:tcW w:w="890" w:type="dxa"/>
            <w:tcBorders>
              <w:top w:val="nil"/>
              <w:left w:val="nil"/>
              <w:bottom w:val="single" w:sz="4" w:space="0" w:color="auto"/>
              <w:right w:val="single" w:sz="4" w:space="0" w:color="auto"/>
            </w:tcBorders>
            <w:noWrap/>
            <w:vAlign w:val="center"/>
            <w:hideMark/>
          </w:tcPr>
          <w:p w14:paraId="5AE61E84" w14:textId="1892A2BD"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25,95</w:t>
            </w:r>
          </w:p>
        </w:tc>
        <w:tc>
          <w:tcPr>
            <w:tcW w:w="1094" w:type="dxa"/>
            <w:tcBorders>
              <w:top w:val="nil"/>
              <w:left w:val="nil"/>
              <w:bottom w:val="single" w:sz="4" w:space="0" w:color="auto"/>
              <w:right w:val="single" w:sz="4" w:space="0" w:color="auto"/>
            </w:tcBorders>
            <w:noWrap/>
            <w:vAlign w:val="center"/>
            <w:hideMark/>
          </w:tcPr>
          <w:p w14:paraId="492D9774" w14:textId="565CE463"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25,48</w:t>
            </w:r>
          </w:p>
        </w:tc>
        <w:tc>
          <w:tcPr>
            <w:tcW w:w="898" w:type="dxa"/>
            <w:tcBorders>
              <w:top w:val="nil"/>
              <w:left w:val="nil"/>
              <w:bottom w:val="single" w:sz="4" w:space="0" w:color="auto"/>
              <w:right w:val="single" w:sz="4" w:space="0" w:color="auto"/>
            </w:tcBorders>
            <w:noWrap/>
            <w:vAlign w:val="center"/>
            <w:hideMark/>
          </w:tcPr>
          <w:p w14:paraId="75180D63" w14:textId="7B421FC2"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30,61</w:t>
            </w:r>
          </w:p>
        </w:tc>
        <w:tc>
          <w:tcPr>
            <w:tcW w:w="945" w:type="dxa"/>
            <w:tcBorders>
              <w:top w:val="nil"/>
              <w:left w:val="nil"/>
              <w:bottom w:val="single" w:sz="4" w:space="0" w:color="auto"/>
              <w:right w:val="single" w:sz="4" w:space="0" w:color="auto"/>
            </w:tcBorders>
            <w:noWrap/>
            <w:vAlign w:val="center"/>
            <w:hideMark/>
          </w:tcPr>
          <w:p w14:paraId="36C67D69" w14:textId="3F347B66"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24,36</w:t>
            </w:r>
          </w:p>
        </w:tc>
        <w:tc>
          <w:tcPr>
            <w:tcW w:w="1058" w:type="dxa"/>
            <w:tcBorders>
              <w:top w:val="nil"/>
              <w:left w:val="nil"/>
              <w:bottom w:val="single" w:sz="4" w:space="0" w:color="auto"/>
              <w:right w:val="single" w:sz="4" w:space="0" w:color="auto"/>
            </w:tcBorders>
            <w:noWrap/>
            <w:vAlign w:val="center"/>
            <w:hideMark/>
          </w:tcPr>
          <w:p w14:paraId="77C5F517" w14:textId="6D8A6CC1"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22,41</w:t>
            </w:r>
          </w:p>
        </w:tc>
      </w:tr>
      <w:tr w:rsidR="00FB2F6E" w:rsidRPr="002B008A" w14:paraId="26AA33B5"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5B3F3350" w14:textId="77777777" w:rsidR="00FB2F6E" w:rsidRPr="002B008A" w:rsidRDefault="00FB2F6E" w:rsidP="00FB2F6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 Doanh số thu nợ cho vay SXKD đối với KHCN</w:t>
            </w:r>
          </w:p>
        </w:tc>
        <w:tc>
          <w:tcPr>
            <w:tcW w:w="965" w:type="dxa"/>
            <w:tcBorders>
              <w:top w:val="nil"/>
              <w:left w:val="single" w:sz="4" w:space="0" w:color="auto"/>
              <w:bottom w:val="single" w:sz="4" w:space="0" w:color="auto"/>
              <w:right w:val="single" w:sz="4" w:space="0" w:color="auto"/>
            </w:tcBorders>
            <w:noWrap/>
            <w:vAlign w:val="center"/>
            <w:hideMark/>
          </w:tcPr>
          <w:p w14:paraId="22A07B80" w14:textId="711D1D75"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214,34</w:t>
            </w:r>
          </w:p>
        </w:tc>
        <w:tc>
          <w:tcPr>
            <w:tcW w:w="1071" w:type="dxa"/>
            <w:tcBorders>
              <w:top w:val="nil"/>
              <w:left w:val="nil"/>
              <w:bottom w:val="single" w:sz="4" w:space="0" w:color="auto"/>
              <w:right w:val="single" w:sz="4" w:space="0" w:color="auto"/>
            </w:tcBorders>
            <w:noWrap/>
            <w:vAlign w:val="center"/>
            <w:hideMark/>
          </w:tcPr>
          <w:p w14:paraId="01AEB3E5" w14:textId="6CFC525C"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056" w:type="dxa"/>
            <w:tcBorders>
              <w:top w:val="nil"/>
              <w:left w:val="nil"/>
              <w:bottom w:val="single" w:sz="4" w:space="0" w:color="auto"/>
              <w:right w:val="single" w:sz="4" w:space="0" w:color="auto"/>
            </w:tcBorders>
            <w:noWrap/>
            <w:vAlign w:val="center"/>
            <w:hideMark/>
          </w:tcPr>
          <w:p w14:paraId="26381C3A" w14:textId="7522E10A"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283,91</w:t>
            </w:r>
          </w:p>
        </w:tc>
        <w:tc>
          <w:tcPr>
            <w:tcW w:w="980" w:type="dxa"/>
            <w:tcBorders>
              <w:top w:val="nil"/>
              <w:left w:val="nil"/>
              <w:bottom w:val="single" w:sz="4" w:space="0" w:color="auto"/>
              <w:right w:val="single" w:sz="4" w:space="0" w:color="auto"/>
            </w:tcBorders>
            <w:noWrap/>
            <w:vAlign w:val="center"/>
            <w:hideMark/>
          </w:tcPr>
          <w:p w14:paraId="519FB437" w14:textId="2E23CB8E"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146" w:type="dxa"/>
            <w:tcBorders>
              <w:top w:val="nil"/>
              <w:left w:val="nil"/>
              <w:bottom w:val="single" w:sz="4" w:space="0" w:color="auto"/>
              <w:right w:val="single" w:sz="4" w:space="0" w:color="auto"/>
            </w:tcBorders>
            <w:noWrap/>
            <w:vAlign w:val="center"/>
            <w:hideMark/>
          </w:tcPr>
          <w:p w14:paraId="76D175F9" w14:textId="238225D9"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346,48</w:t>
            </w:r>
          </w:p>
        </w:tc>
        <w:tc>
          <w:tcPr>
            <w:tcW w:w="890" w:type="dxa"/>
            <w:tcBorders>
              <w:top w:val="nil"/>
              <w:left w:val="nil"/>
              <w:bottom w:val="single" w:sz="4" w:space="0" w:color="auto"/>
              <w:right w:val="single" w:sz="4" w:space="0" w:color="auto"/>
            </w:tcBorders>
            <w:noWrap/>
            <w:vAlign w:val="center"/>
            <w:hideMark/>
          </w:tcPr>
          <w:p w14:paraId="5CA7C30C" w14:textId="764E4535"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094" w:type="dxa"/>
            <w:tcBorders>
              <w:top w:val="nil"/>
              <w:left w:val="nil"/>
              <w:bottom w:val="single" w:sz="4" w:space="0" w:color="auto"/>
              <w:right w:val="single" w:sz="4" w:space="0" w:color="auto"/>
            </w:tcBorders>
            <w:noWrap/>
            <w:vAlign w:val="center"/>
            <w:hideMark/>
          </w:tcPr>
          <w:p w14:paraId="2AF28B49" w14:textId="1B6AA5E3"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69,57</w:t>
            </w:r>
          </w:p>
        </w:tc>
        <w:tc>
          <w:tcPr>
            <w:tcW w:w="898" w:type="dxa"/>
            <w:tcBorders>
              <w:top w:val="nil"/>
              <w:left w:val="nil"/>
              <w:bottom w:val="single" w:sz="4" w:space="0" w:color="auto"/>
              <w:right w:val="single" w:sz="4" w:space="0" w:color="auto"/>
            </w:tcBorders>
            <w:noWrap/>
            <w:vAlign w:val="center"/>
            <w:hideMark/>
          </w:tcPr>
          <w:p w14:paraId="35D646E3" w14:textId="324A3241"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32,46</w:t>
            </w:r>
          </w:p>
        </w:tc>
        <w:tc>
          <w:tcPr>
            <w:tcW w:w="945" w:type="dxa"/>
            <w:tcBorders>
              <w:top w:val="nil"/>
              <w:left w:val="nil"/>
              <w:bottom w:val="single" w:sz="4" w:space="0" w:color="auto"/>
              <w:right w:val="single" w:sz="4" w:space="0" w:color="auto"/>
            </w:tcBorders>
            <w:noWrap/>
            <w:vAlign w:val="center"/>
            <w:hideMark/>
          </w:tcPr>
          <w:p w14:paraId="786A445C" w14:textId="70E16B20"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62,57</w:t>
            </w:r>
          </w:p>
        </w:tc>
        <w:tc>
          <w:tcPr>
            <w:tcW w:w="1058" w:type="dxa"/>
            <w:tcBorders>
              <w:top w:val="nil"/>
              <w:left w:val="nil"/>
              <w:bottom w:val="single" w:sz="4" w:space="0" w:color="auto"/>
              <w:right w:val="single" w:sz="4" w:space="0" w:color="auto"/>
            </w:tcBorders>
            <w:noWrap/>
            <w:vAlign w:val="center"/>
            <w:hideMark/>
          </w:tcPr>
          <w:p w14:paraId="1FCD6BB8" w14:textId="5E6F6ABC"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22,04</w:t>
            </w:r>
          </w:p>
        </w:tc>
      </w:tr>
      <w:tr w:rsidR="00FB2F6E" w:rsidRPr="002B008A" w14:paraId="2616D137"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6A8E73A1"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965" w:type="dxa"/>
            <w:tcBorders>
              <w:top w:val="nil"/>
              <w:left w:val="single" w:sz="4" w:space="0" w:color="auto"/>
              <w:bottom w:val="single" w:sz="4" w:space="0" w:color="auto"/>
              <w:right w:val="single" w:sz="4" w:space="0" w:color="auto"/>
            </w:tcBorders>
            <w:noWrap/>
            <w:vAlign w:val="center"/>
            <w:hideMark/>
          </w:tcPr>
          <w:p w14:paraId="75F6CF43" w14:textId="58EAA8F3"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163,52</w:t>
            </w:r>
          </w:p>
        </w:tc>
        <w:tc>
          <w:tcPr>
            <w:tcW w:w="1071" w:type="dxa"/>
            <w:tcBorders>
              <w:top w:val="nil"/>
              <w:left w:val="nil"/>
              <w:bottom w:val="single" w:sz="4" w:space="0" w:color="auto"/>
              <w:right w:val="single" w:sz="4" w:space="0" w:color="auto"/>
            </w:tcBorders>
            <w:noWrap/>
            <w:vAlign w:val="center"/>
            <w:hideMark/>
          </w:tcPr>
          <w:p w14:paraId="187A2D23" w14:textId="33FE596E"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76,29</w:t>
            </w:r>
          </w:p>
        </w:tc>
        <w:tc>
          <w:tcPr>
            <w:tcW w:w="1056" w:type="dxa"/>
            <w:tcBorders>
              <w:top w:val="nil"/>
              <w:left w:val="nil"/>
              <w:bottom w:val="single" w:sz="4" w:space="0" w:color="auto"/>
              <w:right w:val="single" w:sz="4" w:space="0" w:color="auto"/>
            </w:tcBorders>
            <w:noWrap/>
            <w:vAlign w:val="center"/>
            <w:hideMark/>
          </w:tcPr>
          <w:p w14:paraId="22224B7E" w14:textId="515E8632"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218,47</w:t>
            </w:r>
          </w:p>
        </w:tc>
        <w:tc>
          <w:tcPr>
            <w:tcW w:w="980" w:type="dxa"/>
            <w:tcBorders>
              <w:top w:val="nil"/>
              <w:left w:val="nil"/>
              <w:bottom w:val="single" w:sz="4" w:space="0" w:color="auto"/>
              <w:right w:val="single" w:sz="4" w:space="0" w:color="auto"/>
            </w:tcBorders>
            <w:noWrap/>
            <w:vAlign w:val="center"/>
            <w:hideMark/>
          </w:tcPr>
          <w:p w14:paraId="18B6E7F5" w14:textId="1CEB22EF"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76,95</w:t>
            </w:r>
          </w:p>
        </w:tc>
        <w:tc>
          <w:tcPr>
            <w:tcW w:w="1146" w:type="dxa"/>
            <w:tcBorders>
              <w:top w:val="nil"/>
              <w:left w:val="nil"/>
              <w:bottom w:val="single" w:sz="4" w:space="0" w:color="auto"/>
              <w:right w:val="single" w:sz="4" w:space="0" w:color="auto"/>
            </w:tcBorders>
            <w:noWrap/>
            <w:vAlign w:val="center"/>
            <w:hideMark/>
          </w:tcPr>
          <w:p w14:paraId="3BED6AE9" w14:textId="5C63A67C"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266,83</w:t>
            </w:r>
          </w:p>
        </w:tc>
        <w:tc>
          <w:tcPr>
            <w:tcW w:w="890" w:type="dxa"/>
            <w:tcBorders>
              <w:top w:val="nil"/>
              <w:left w:val="nil"/>
              <w:bottom w:val="single" w:sz="4" w:space="0" w:color="auto"/>
              <w:right w:val="single" w:sz="4" w:space="0" w:color="auto"/>
            </w:tcBorders>
            <w:noWrap/>
            <w:vAlign w:val="center"/>
            <w:hideMark/>
          </w:tcPr>
          <w:p w14:paraId="1E2B3C5F" w14:textId="0C405C66"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77,01</w:t>
            </w:r>
          </w:p>
        </w:tc>
        <w:tc>
          <w:tcPr>
            <w:tcW w:w="1094" w:type="dxa"/>
            <w:tcBorders>
              <w:top w:val="nil"/>
              <w:left w:val="nil"/>
              <w:bottom w:val="single" w:sz="4" w:space="0" w:color="auto"/>
              <w:right w:val="single" w:sz="4" w:space="0" w:color="auto"/>
            </w:tcBorders>
            <w:noWrap/>
            <w:vAlign w:val="center"/>
            <w:hideMark/>
          </w:tcPr>
          <w:p w14:paraId="7BB7C62D" w14:textId="1043F063"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54,95</w:t>
            </w:r>
          </w:p>
        </w:tc>
        <w:tc>
          <w:tcPr>
            <w:tcW w:w="898" w:type="dxa"/>
            <w:tcBorders>
              <w:top w:val="nil"/>
              <w:left w:val="nil"/>
              <w:bottom w:val="single" w:sz="4" w:space="0" w:color="auto"/>
              <w:right w:val="single" w:sz="4" w:space="0" w:color="auto"/>
            </w:tcBorders>
            <w:noWrap/>
            <w:vAlign w:val="center"/>
            <w:hideMark/>
          </w:tcPr>
          <w:p w14:paraId="543A98FE" w14:textId="63FF65DE"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33,60</w:t>
            </w:r>
          </w:p>
        </w:tc>
        <w:tc>
          <w:tcPr>
            <w:tcW w:w="945" w:type="dxa"/>
            <w:tcBorders>
              <w:top w:val="nil"/>
              <w:left w:val="nil"/>
              <w:bottom w:val="single" w:sz="4" w:space="0" w:color="auto"/>
              <w:right w:val="single" w:sz="4" w:space="0" w:color="auto"/>
            </w:tcBorders>
            <w:noWrap/>
            <w:vAlign w:val="center"/>
            <w:hideMark/>
          </w:tcPr>
          <w:p w14:paraId="670C30CC" w14:textId="0A3CD9ED"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48,36</w:t>
            </w:r>
          </w:p>
        </w:tc>
        <w:tc>
          <w:tcPr>
            <w:tcW w:w="1058" w:type="dxa"/>
            <w:tcBorders>
              <w:top w:val="nil"/>
              <w:left w:val="nil"/>
              <w:bottom w:val="single" w:sz="4" w:space="0" w:color="auto"/>
              <w:right w:val="single" w:sz="4" w:space="0" w:color="auto"/>
            </w:tcBorders>
            <w:noWrap/>
            <w:vAlign w:val="center"/>
            <w:hideMark/>
          </w:tcPr>
          <w:p w14:paraId="59B8EADC" w14:textId="418DE783"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22,14</w:t>
            </w:r>
          </w:p>
        </w:tc>
      </w:tr>
      <w:tr w:rsidR="00FB2F6E" w:rsidRPr="002B008A" w14:paraId="442CB44E"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5464F5E8"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965" w:type="dxa"/>
            <w:tcBorders>
              <w:top w:val="nil"/>
              <w:left w:val="single" w:sz="4" w:space="0" w:color="auto"/>
              <w:bottom w:val="single" w:sz="4" w:space="0" w:color="auto"/>
              <w:right w:val="single" w:sz="4" w:space="0" w:color="auto"/>
            </w:tcBorders>
            <w:noWrap/>
            <w:vAlign w:val="center"/>
            <w:hideMark/>
          </w:tcPr>
          <w:p w14:paraId="403AB7B2" w14:textId="4E5143E9"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50,82</w:t>
            </w:r>
          </w:p>
        </w:tc>
        <w:tc>
          <w:tcPr>
            <w:tcW w:w="1071" w:type="dxa"/>
            <w:tcBorders>
              <w:top w:val="nil"/>
              <w:left w:val="nil"/>
              <w:bottom w:val="single" w:sz="4" w:space="0" w:color="auto"/>
              <w:right w:val="single" w:sz="4" w:space="0" w:color="auto"/>
            </w:tcBorders>
            <w:noWrap/>
            <w:vAlign w:val="center"/>
            <w:hideMark/>
          </w:tcPr>
          <w:p w14:paraId="27A60F84" w14:textId="0DC77F59"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23,71</w:t>
            </w:r>
          </w:p>
        </w:tc>
        <w:tc>
          <w:tcPr>
            <w:tcW w:w="1056" w:type="dxa"/>
            <w:tcBorders>
              <w:top w:val="nil"/>
              <w:left w:val="nil"/>
              <w:bottom w:val="single" w:sz="4" w:space="0" w:color="auto"/>
              <w:right w:val="single" w:sz="4" w:space="0" w:color="auto"/>
            </w:tcBorders>
            <w:noWrap/>
            <w:vAlign w:val="center"/>
            <w:hideMark/>
          </w:tcPr>
          <w:p w14:paraId="28AE0B5A" w14:textId="2EAFD81A"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65,44</w:t>
            </w:r>
          </w:p>
        </w:tc>
        <w:tc>
          <w:tcPr>
            <w:tcW w:w="980" w:type="dxa"/>
            <w:tcBorders>
              <w:top w:val="nil"/>
              <w:left w:val="nil"/>
              <w:bottom w:val="single" w:sz="4" w:space="0" w:color="auto"/>
              <w:right w:val="single" w:sz="4" w:space="0" w:color="auto"/>
            </w:tcBorders>
            <w:noWrap/>
            <w:vAlign w:val="center"/>
            <w:hideMark/>
          </w:tcPr>
          <w:p w14:paraId="37F651B7" w14:textId="0DA2AD9F"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23,05</w:t>
            </w:r>
          </w:p>
        </w:tc>
        <w:tc>
          <w:tcPr>
            <w:tcW w:w="1146" w:type="dxa"/>
            <w:tcBorders>
              <w:top w:val="nil"/>
              <w:left w:val="nil"/>
              <w:bottom w:val="single" w:sz="4" w:space="0" w:color="auto"/>
              <w:right w:val="single" w:sz="4" w:space="0" w:color="auto"/>
            </w:tcBorders>
            <w:noWrap/>
            <w:vAlign w:val="center"/>
            <w:hideMark/>
          </w:tcPr>
          <w:p w14:paraId="7FA9A109" w14:textId="5AB47791"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79,65</w:t>
            </w:r>
          </w:p>
        </w:tc>
        <w:tc>
          <w:tcPr>
            <w:tcW w:w="890" w:type="dxa"/>
            <w:tcBorders>
              <w:top w:val="nil"/>
              <w:left w:val="nil"/>
              <w:bottom w:val="single" w:sz="4" w:space="0" w:color="auto"/>
              <w:right w:val="single" w:sz="4" w:space="0" w:color="auto"/>
            </w:tcBorders>
            <w:noWrap/>
            <w:vAlign w:val="center"/>
            <w:hideMark/>
          </w:tcPr>
          <w:p w14:paraId="2993C205" w14:textId="56543FB1"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22,99</w:t>
            </w:r>
          </w:p>
        </w:tc>
        <w:tc>
          <w:tcPr>
            <w:tcW w:w="1094" w:type="dxa"/>
            <w:tcBorders>
              <w:top w:val="nil"/>
              <w:left w:val="nil"/>
              <w:bottom w:val="single" w:sz="4" w:space="0" w:color="auto"/>
              <w:right w:val="single" w:sz="4" w:space="0" w:color="auto"/>
            </w:tcBorders>
            <w:noWrap/>
            <w:vAlign w:val="center"/>
            <w:hideMark/>
          </w:tcPr>
          <w:p w14:paraId="2486F516" w14:textId="28E7742A"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14,62</w:t>
            </w:r>
          </w:p>
        </w:tc>
        <w:tc>
          <w:tcPr>
            <w:tcW w:w="898" w:type="dxa"/>
            <w:tcBorders>
              <w:top w:val="nil"/>
              <w:left w:val="nil"/>
              <w:bottom w:val="single" w:sz="4" w:space="0" w:color="auto"/>
              <w:right w:val="single" w:sz="4" w:space="0" w:color="auto"/>
            </w:tcBorders>
            <w:noWrap/>
            <w:vAlign w:val="center"/>
            <w:hideMark/>
          </w:tcPr>
          <w:p w14:paraId="68751A77" w14:textId="4DB2BD74"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28,77</w:t>
            </w:r>
          </w:p>
        </w:tc>
        <w:tc>
          <w:tcPr>
            <w:tcW w:w="945" w:type="dxa"/>
            <w:tcBorders>
              <w:top w:val="nil"/>
              <w:left w:val="nil"/>
              <w:bottom w:val="single" w:sz="4" w:space="0" w:color="auto"/>
              <w:right w:val="single" w:sz="4" w:space="0" w:color="auto"/>
            </w:tcBorders>
            <w:noWrap/>
            <w:vAlign w:val="center"/>
            <w:hideMark/>
          </w:tcPr>
          <w:p w14:paraId="6F854063" w14:textId="2E193F5E"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14,21</w:t>
            </w:r>
          </w:p>
        </w:tc>
        <w:tc>
          <w:tcPr>
            <w:tcW w:w="1058" w:type="dxa"/>
            <w:tcBorders>
              <w:top w:val="nil"/>
              <w:left w:val="nil"/>
              <w:bottom w:val="single" w:sz="4" w:space="0" w:color="auto"/>
              <w:right w:val="single" w:sz="4" w:space="0" w:color="auto"/>
            </w:tcBorders>
            <w:noWrap/>
            <w:vAlign w:val="center"/>
            <w:hideMark/>
          </w:tcPr>
          <w:p w14:paraId="66040B27" w14:textId="6E6A24D9"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21,71</w:t>
            </w:r>
          </w:p>
        </w:tc>
      </w:tr>
      <w:tr w:rsidR="00FB2F6E" w:rsidRPr="002B008A" w14:paraId="26739FD4"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020DE5B6" w14:textId="77777777" w:rsidR="00FB2F6E" w:rsidRPr="002B008A" w:rsidRDefault="00FB2F6E" w:rsidP="00FB2F6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 Dư nợ cho vay sản xuất kinh doanh</w:t>
            </w:r>
          </w:p>
        </w:tc>
        <w:tc>
          <w:tcPr>
            <w:tcW w:w="965" w:type="dxa"/>
            <w:tcBorders>
              <w:top w:val="nil"/>
              <w:left w:val="single" w:sz="4" w:space="0" w:color="auto"/>
              <w:bottom w:val="single" w:sz="4" w:space="0" w:color="auto"/>
              <w:right w:val="single" w:sz="4" w:space="0" w:color="auto"/>
            </w:tcBorders>
            <w:noWrap/>
            <w:vAlign w:val="center"/>
            <w:hideMark/>
          </w:tcPr>
          <w:p w14:paraId="6A3234A2" w14:textId="26A17B9F"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403,17</w:t>
            </w:r>
          </w:p>
        </w:tc>
        <w:tc>
          <w:tcPr>
            <w:tcW w:w="1071" w:type="dxa"/>
            <w:tcBorders>
              <w:top w:val="nil"/>
              <w:left w:val="nil"/>
              <w:bottom w:val="single" w:sz="4" w:space="0" w:color="auto"/>
              <w:right w:val="single" w:sz="4" w:space="0" w:color="auto"/>
            </w:tcBorders>
            <w:noWrap/>
            <w:vAlign w:val="center"/>
            <w:hideMark/>
          </w:tcPr>
          <w:p w14:paraId="231A0991" w14:textId="4D5F3C1E"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056" w:type="dxa"/>
            <w:tcBorders>
              <w:top w:val="nil"/>
              <w:left w:val="nil"/>
              <w:bottom w:val="single" w:sz="4" w:space="0" w:color="auto"/>
              <w:right w:val="single" w:sz="4" w:space="0" w:color="auto"/>
            </w:tcBorders>
            <w:shd w:val="clear" w:color="000000" w:fill="FFFFFF"/>
            <w:noWrap/>
            <w:vAlign w:val="center"/>
            <w:hideMark/>
          </w:tcPr>
          <w:p w14:paraId="38EDBA92" w14:textId="37FA316F"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536,54</w:t>
            </w:r>
          </w:p>
        </w:tc>
        <w:tc>
          <w:tcPr>
            <w:tcW w:w="980" w:type="dxa"/>
            <w:tcBorders>
              <w:top w:val="nil"/>
              <w:left w:val="nil"/>
              <w:bottom w:val="single" w:sz="4" w:space="0" w:color="auto"/>
              <w:right w:val="single" w:sz="4" w:space="0" w:color="auto"/>
            </w:tcBorders>
            <w:shd w:val="clear" w:color="000000" w:fill="FFFFFF"/>
            <w:noWrap/>
            <w:vAlign w:val="center"/>
            <w:hideMark/>
          </w:tcPr>
          <w:p w14:paraId="131B440A" w14:textId="17D015AC"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146" w:type="dxa"/>
            <w:tcBorders>
              <w:top w:val="nil"/>
              <w:left w:val="nil"/>
              <w:bottom w:val="single" w:sz="4" w:space="0" w:color="auto"/>
              <w:right w:val="single" w:sz="4" w:space="0" w:color="auto"/>
            </w:tcBorders>
            <w:shd w:val="clear" w:color="000000" w:fill="FFFFFF"/>
            <w:noWrap/>
            <w:vAlign w:val="center"/>
            <w:hideMark/>
          </w:tcPr>
          <w:p w14:paraId="180DF4AC" w14:textId="0A7048BB"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702,79</w:t>
            </w:r>
          </w:p>
        </w:tc>
        <w:tc>
          <w:tcPr>
            <w:tcW w:w="890" w:type="dxa"/>
            <w:tcBorders>
              <w:top w:val="nil"/>
              <w:left w:val="nil"/>
              <w:bottom w:val="single" w:sz="4" w:space="0" w:color="auto"/>
              <w:right w:val="single" w:sz="4" w:space="0" w:color="auto"/>
            </w:tcBorders>
            <w:noWrap/>
            <w:vAlign w:val="center"/>
            <w:hideMark/>
          </w:tcPr>
          <w:p w14:paraId="6A70376F" w14:textId="54EA7C97"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094" w:type="dxa"/>
            <w:tcBorders>
              <w:top w:val="nil"/>
              <w:left w:val="nil"/>
              <w:bottom w:val="single" w:sz="4" w:space="0" w:color="auto"/>
              <w:right w:val="single" w:sz="4" w:space="0" w:color="auto"/>
            </w:tcBorders>
            <w:noWrap/>
            <w:vAlign w:val="center"/>
            <w:hideMark/>
          </w:tcPr>
          <w:p w14:paraId="6E0B8C11" w14:textId="2D9B6C53"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133,37</w:t>
            </w:r>
          </w:p>
        </w:tc>
        <w:tc>
          <w:tcPr>
            <w:tcW w:w="898" w:type="dxa"/>
            <w:tcBorders>
              <w:top w:val="nil"/>
              <w:left w:val="nil"/>
              <w:bottom w:val="single" w:sz="4" w:space="0" w:color="auto"/>
              <w:right w:val="single" w:sz="4" w:space="0" w:color="auto"/>
            </w:tcBorders>
            <w:noWrap/>
            <w:vAlign w:val="center"/>
            <w:hideMark/>
          </w:tcPr>
          <w:p w14:paraId="4C0953D9" w14:textId="09CB20F5"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33,08</w:t>
            </w:r>
          </w:p>
        </w:tc>
        <w:tc>
          <w:tcPr>
            <w:tcW w:w="945" w:type="dxa"/>
            <w:tcBorders>
              <w:top w:val="nil"/>
              <w:left w:val="nil"/>
              <w:bottom w:val="single" w:sz="4" w:space="0" w:color="auto"/>
              <w:right w:val="single" w:sz="4" w:space="0" w:color="auto"/>
            </w:tcBorders>
            <w:noWrap/>
            <w:vAlign w:val="center"/>
            <w:hideMark/>
          </w:tcPr>
          <w:p w14:paraId="1CE2866C" w14:textId="184977AA"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166,25</w:t>
            </w:r>
          </w:p>
        </w:tc>
        <w:tc>
          <w:tcPr>
            <w:tcW w:w="1058" w:type="dxa"/>
            <w:tcBorders>
              <w:top w:val="nil"/>
              <w:left w:val="nil"/>
              <w:bottom w:val="single" w:sz="4" w:space="0" w:color="auto"/>
              <w:right w:val="single" w:sz="4" w:space="0" w:color="auto"/>
            </w:tcBorders>
            <w:noWrap/>
            <w:vAlign w:val="center"/>
            <w:hideMark/>
          </w:tcPr>
          <w:p w14:paraId="394BA7DD" w14:textId="5BFE7EEB"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30,99</w:t>
            </w:r>
          </w:p>
        </w:tc>
      </w:tr>
      <w:tr w:rsidR="00FB2F6E" w:rsidRPr="002B008A" w14:paraId="262A592C"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3CC759FD"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965" w:type="dxa"/>
            <w:tcBorders>
              <w:top w:val="nil"/>
              <w:left w:val="single" w:sz="4" w:space="0" w:color="auto"/>
              <w:bottom w:val="single" w:sz="4" w:space="0" w:color="auto"/>
              <w:right w:val="single" w:sz="4" w:space="0" w:color="auto"/>
            </w:tcBorders>
            <w:noWrap/>
            <w:vAlign w:val="center"/>
            <w:hideMark/>
          </w:tcPr>
          <w:p w14:paraId="46D40DCF" w14:textId="20D1053C"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282,36</w:t>
            </w:r>
          </w:p>
        </w:tc>
        <w:tc>
          <w:tcPr>
            <w:tcW w:w="1071" w:type="dxa"/>
            <w:tcBorders>
              <w:top w:val="nil"/>
              <w:left w:val="nil"/>
              <w:bottom w:val="single" w:sz="4" w:space="0" w:color="auto"/>
              <w:right w:val="single" w:sz="4" w:space="0" w:color="auto"/>
            </w:tcBorders>
            <w:noWrap/>
            <w:vAlign w:val="center"/>
            <w:hideMark/>
          </w:tcPr>
          <w:p w14:paraId="5022A24E" w14:textId="7E08FB30"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70,03</w:t>
            </w:r>
          </w:p>
        </w:tc>
        <w:tc>
          <w:tcPr>
            <w:tcW w:w="1056" w:type="dxa"/>
            <w:tcBorders>
              <w:top w:val="nil"/>
              <w:left w:val="nil"/>
              <w:bottom w:val="single" w:sz="4" w:space="0" w:color="auto"/>
              <w:right w:val="single" w:sz="4" w:space="0" w:color="auto"/>
            </w:tcBorders>
            <w:shd w:val="clear" w:color="000000" w:fill="FFFFFF"/>
            <w:noWrap/>
            <w:vAlign w:val="center"/>
            <w:hideMark/>
          </w:tcPr>
          <w:p w14:paraId="5BB95796" w14:textId="41185F90"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372,46</w:t>
            </w:r>
          </w:p>
        </w:tc>
        <w:tc>
          <w:tcPr>
            <w:tcW w:w="980" w:type="dxa"/>
            <w:tcBorders>
              <w:top w:val="nil"/>
              <w:left w:val="nil"/>
              <w:bottom w:val="single" w:sz="4" w:space="0" w:color="auto"/>
              <w:right w:val="single" w:sz="4" w:space="0" w:color="auto"/>
            </w:tcBorders>
            <w:shd w:val="clear" w:color="000000" w:fill="FFFFFF"/>
            <w:noWrap/>
            <w:vAlign w:val="center"/>
            <w:hideMark/>
          </w:tcPr>
          <w:p w14:paraId="7061F9BE" w14:textId="297CBF99"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69,42</w:t>
            </w:r>
          </w:p>
        </w:tc>
        <w:tc>
          <w:tcPr>
            <w:tcW w:w="1146" w:type="dxa"/>
            <w:tcBorders>
              <w:top w:val="nil"/>
              <w:left w:val="nil"/>
              <w:bottom w:val="single" w:sz="4" w:space="0" w:color="auto"/>
              <w:right w:val="single" w:sz="4" w:space="0" w:color="auto"/>
            </w:tcBorders>
            <w:shd w:val="clear" w:color="000000" w:fill="FFFFFF"/>
            <w:noWrap/>
            <w:vAlign w:val="center"/>
            <w:hideMark/>
          </w:tcPr>
          <w:p w14:paraId="79B6EF92" w14:textId="0B31993E"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485,29</w:t>
            </w:r>
          </w:p>
        </w:tc>
        <w:tc>
          <w:tcPr>
            <w:tcW w:w="890" w:type="dxa"/>
            <w:tcBorders>
              <w:top w:val="nil"/>
              <w:left w:val="nil"/>
              <w:bottom w:val="single" w:sz="4" w:space="0" w:color="auto"/>
              <w:right w:val="single" w:sz="4" w:space="0" w:color="auto"/>
            </w:tcBorders>
            <w:noWrap/>
            <w:vAlign w:val="center"/>
            <w:hideMark/>
          </w:tcPr>
          <w:p w14:paraId="7A11B67C" w14:textId="47E0136D"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69,05</w:t>
            </w:r>
          </w:p>
        </w:tc>
        <w:tc>
          <w:tcPr>
            <w:tcW w:w="1094" w:type="dxa"/>
            <w:tcBorders>
              <w:top w:val="nil"/>
              <w:left w:val="nil"/>
              <w:bottom w:val="single" w:sz="4" w:space="0" w:color="auto"/>
              <w:right w:val="single" w:sz="4" w:space="0" w:color="auto"/>
            </w:tcBorders>
            <w:noWrap/>
            <w:vAlign w:val="center"/>
            <w:hideMark/>
          </w:tcPr>
          <w:p w14:paraId="1492BC65" w14:textId="6097D0E1"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90,10</w:t>
            </w:r>
          </w:p>
        </w:tc>
        <w:tc>
          <w:tcPr>
            <w:tcW w:w="898" w:type="dxa"/>
            <w:tcBorders>
              <w:top w:val="nil"/>
              <w:left w:val="nil"/>
              <w:bottom w:val="single" w:sz="4" w:space="0" w:color="auto"/>
              <w:right w:val="single" w:sz="4" w:space="0" w:color="auto"/>
            </w:tcBorders>
            <w:noWrap/>
            <w:vAlign w:val="center"/>
            <w:hideMark/>
          </w:tcPr>
          <w:p w14:paraId="5C522038" w14:textId="53F254FF"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31,91</w:t>
            </w:r>
          </w:p>
        </w:tc>
        <w:tc>
          <w:tcPr>
            <w:tcW w:w="945" w:type="dxa"/>
            <w:tcBorders>
              <w:top w:val="nil"/>
              <w:left w:val="nil"/>
              <w:bottom w:val="single" w:sz="4" w:space="0" w:color="auto"/>
              <w:right w:val="single" w:sz="4" w:space="0" w:color="auto"/>
            </w:tcBorders>
            <w:noWrap/>
            <w:vAlign w:val="center"/>
            <w:hideMark/>
          </w:tcPr>
          <w:p w14:paraId="55AAE0A8" w14:textId="06CD5152"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112,83</w:t>
            </w:r>
          </w:p>
        </w:tc>
        <w:tc>
          <w:tcPr>
            <w:tcW w:w="1058" w:type="dxa"/>
            <w:tcBorders>
              <w:top w:val="nil"/>
              <w:left w:val="nil"/>
              <w:bottom w:val="single" w:sz="4" w:space="0" w:color="auto"/>
              <w:right w:val="single" w:sz="4" w:space="0" w:color="auto"/>
            </w:tcBorders>
            <w:noWrap/>
            <w:vAlign w:val="center"/>
            <w:hideMark/>
          </w:tcPr>
          <w:p w14:paraId="17795E7B" w14:textId="0F735110"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30,29</w:t>
            </w:r>
          </w:p>
        </w:tc>
      </w:tr>
      <w:tr w:rsidR="00FB2F6E" w:rsidRPr="002B008A" w14:paraId="20EB7DAC"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41ABA136"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965" w:type="dxa"/>
            <w:tcBorders>
              <w:top w:val="nil"/>
              <w:left w:val="single" w:sz="4" w:space="0" w:color="auto"/>
              <w:bottom w:val="single" w:sz="4" w:space="0" w:color="auto"/>
              <w:right w:val="single" w:sz="4" w:space="0" w:color="auto"/>
            </w:tcBorders>
            <w:noWrap/>
            <w:vAlign w:val="center"/>
            <w:hideMark/>
          </w:tcPr>
          <w:p w14:paraId="70545F3E" w14:textId="5103716B"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120,81</w:t>
            </w:r>
          </w:p>
        </w:tc>
        <w:tc>
          <w:tcPr>
            <w:tcW w:w="1071" w:type="dxa"/>
            <w:tcBorders>
              <w:top w:val="nil"/>
              <w:left w:val="nil"/>
              <w:bottom w:val="single" w:sz="4" w:space="0" w:color="auto"/>
              <w:right w:val="single" w:sz="4" w:space="0" w:color="auto"/>
            </w:tcBorders>
            <w:noWrap/>
            <w:vAlign w:val="center"/>
            <w:hideMark/>
          </w:tcPr>
          <w:p w14:paraId="6FD6CA6D" w14:textId="320859AA"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29,97</w:t>
            </w:r>
          </w:p>
        </w:tc>
        <w:tc>
          <w:tcPr>
            <w:tcW w:w="1056" w:type="dxa"/>
            <w:tcBorders>
              <w:top w:val="nil"/>
              <w:left w:val="nil"/>
              <w:bottom w:val="single" w:sz="4" w:space="0" w:color="auto"/>
              <w:right w:val="single" w:sz="4" w:space="0" w:color="auto"/>
            </w:tcBorders>
            <w:shd w:val="clear" w:color="000000" w:fill="FFFFFF"/>
            <w:noWrap/>
            <w:vAlign w:val="center"/>
            <w:hideMark/>
          </w:tcPr>
          <w:p w14:paraId="1E20B003" w14:textId="620BC642"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164,08</w:t>
            </w:r>
          </w:p>
        </w:tc>
        <w:tc>
          <w:tcPr>
            <w:tcW w:w="980" w:type="dxa"/>
            <w:tcBorders>
              <w:top w:val="nil"/>
              <w:left w:val="nil"/>
              <w:bottom w:val="single" w:sz="4" w:space="0" w:color="auto"/>
              <w:right w:val="single" w:sz="4" w:space="0" w:color="auto"/>
            </w:tcBorders>
            <w:shd w:val="clear" w:color="000000" w:fill="FFFFFF"/>
            <w:noWrap/>
            <w:vAlign w:val="center"/>
            <w:hideMark/>
          </w:tcPr>
          <w:p w14:paraId="670D12AB" w14:textId="5F817A41"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30,58</w:t>
            </w:r>
          </w:p>
        </w:tc>
        <w:tc>
          <w:tcPr>
            <w:tcW w:w="1146" w:type="dxa"/>
            <w:tcBorders>
              <w:top w:val="nil"/>
              <w:left w:val="nil"/>
              <w:bottom w:val="single" w:sz="4" w:space="0" w:color="auto"/>
              <w:right w:val="single" w:sz="4" w:space="0" w:color="auto"/>
            </w:tcBorders>
            <w:shd w:val="clear" w:color="000000" w:fill="FFFFFF"/>
            <w:noWrap/>
            <w:vAlign w:val="center"/>
            <w:hideMark/>
          </w:tcPr>
          <w:p w14:paraId="7B921112" w14:textId="3B842498"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217,50</w:t>
            </w:r>
          </w:p>
        </w:tc>
        <w:tc>
          <w:tcPr>
            <w:tcW w:w="890" w:type="dxa"/>
            <w:tcBorders>
              <w:top w:val="nil"/>
              <w:left w:val="nil"/>
              <w:bottom w:val="single" w:sz="4" w:space="0" w:color="auto"/>
              <w:right w:val="single" w:sz="4" w:space="0" w:color="auto"/>
            </w:tcBorders>
            <w:noWrap/>
            <w:vAlign w:val="center"/>
            <w:hideMark/>
          </w:tcPr>
          <w:p w14:paraId="2DA5CF69" w14:textId="66A24D77"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30,95</w:t>
            </w:r>
          </w:p>
        </w:tc>
        <w:tc>
          <w:tcPr>
            <w:tcW w:w="1094" w:type="dxa"/>
            <w:tcBorders>
              <w:top w:val="nil"/>
              <w:left w:val="nil"/>
              <w:bottom w:val="single" w:sz="4" w:space="0" w:color="auto"/>
              <w:right w:val="single" w:sz="4" w:space="0" w:color="auto"/>
            </w:tcBorders>
            <w:noWrap/>
            <w:vAlign w:val="center"/>
            <w:hideMark/>
          </w:tcPr>
          <w:p w14:paraId="4D12A9F6" w14:textId="6AC09613"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43,27</w:t>
            </w:r>
          </w:p>
        </w:tc>
        <w:tc>
          <w:tcPr>
            <w:tcW w:w="898" w:type="dxa"/>
            <w:tcBorders>
              <w:top w:val="nil"/>
              <w:left w:val="nil"/>
              <w:bottom w:val="single" w:sz="4" w:space="0" w:color="auto"/>
              <w:right w:val="single" w:sz="4" w:space="0" w:color="auto"/>
            </w:tcBorders>
            <w:noWrap/>
            <w:vAlign w:val="center"/>
            <w:hideMark/>
          </w:tcPr>
          <w:p w14:paraId="600F32C2" w14:textId="5F28C431"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35,82</w:t>
            </w:r>
          </w:p>
        </w:tc>
        <w:tc>
          <w:tcPr>
            <w:tcW w:w="945" w:type="dxa"/>
            <w:tcBorders>
              <w:top w:val="nil"/>
              <w:left w:val="nil"/>
              <w:bottom w:val="single" w:sz="4" w:space="0" w:color="auto"/>
              <w:right w:val="single" w:sz="4" w:space="0" w:color="auto"/>
            </w:tcBorders>
            <w:noWrap/>
            <w:vAlign w:val="center"/>
            <w:hideMark/>
          </w:tcPr>
          <w:p w14:paraId="421B2800" w14:textId="28AD6D23"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53,42</w:t>
            </w:r>
          </w:p>
        </w:tc>
        <w:tc>
          <w:tcPr>
            <w:tcW w:w="1058" w:type="dxa"/>
            <w:tcBorders>
              <w:top w:val="nil"/>
              <w:left w:val="nil"/>
              <w:bottom w:val="single" w:sz="4" w:space="0" w:color="auto"/>
              <w:right w:val="single" w:sz="4" w:space="0" w:color="auto"/>
            </w:tcBorders>
            <w:noWrap/>
            <w:vAlign w:val="center"/>
            <w:hideMark/>
          </w:tcPr>
          <w:p w14:paraId="26DA5494" w14:textId="7E5A0085"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32,56</w:t>
            </w:r>
          </w:p>
        </w:tc>
      </w:tr>
      <w:tr w:rsidR="00FB2F6E" w:rsidRPr="002B008A" w14:paraId="6DC42B09"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0540E30A" w14:textId="77777777" w:rsidR="00FB2F6E" w:rsidRPr="002B008A" w:rsidRDefault="00FB2F6E" w:rsidP="00FB2F6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 Nợ xấu</w:t>
            </w:r>
          </w:p>
        </w:tc>
        <w:tc>
          <w:tcPr>
            <w:tcW w:w="965" w:type="dxa"/>
            <w:tcBorders>
              <w:top w:val="nil"/>
              <w:left w:val="single" w:sz="4" w:space="0" w:color="auto"/>
              <w:bottom w:val="single" w:sz="4" w:space="0" w:color="auto"/>
              <w:right w:val="single" w:sz="4" w:space="0" w:color="auto"/>
            </w:tcBorders>
            <w:noWrap/>
            <w:vAlign w:val="center"/>
            <w:hideMark/>
          </w:tcPr>
          <w:p w14:paraId="2552A8E9" w14:textId="42E777B0"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2,61</w:t>
            </w:r>
          </w:p>
        </w:tc>
        <w:tc>
          <w:tcPr>
            <w:tcW w:w="1071" w:type="dxa"/>
            <w:tcBorders>
              <w:top w:val="nil"/>
              <w:left w:val="nil"/>
              <w:bottom w:val="single" w:sz="4" w:space="0" w:color="auto"/>
              <w:right w:val="single" w:sz="4" w:space="0" w:color="auto"/>
            </w:tcBorders>
            <w:noWrap/>
            <w:vAlign w:val="center"/>
            <w:hideMark/>
          </w:tcPr>
          <w:p w14:paraId="6F26C7E9" w14:textId="7F43DEC7"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056" w:type="dxa"/>
            <w:tcBorders>
              <w:top w:val="nil"/>
              <w:left w:val="nil"/>
              <w:bottom w:val="single" w:sz="4" w:space="0" w:color="auto"/>
              <w:right w:val="single" w:sz="4" w:space="0" w:color="auto"/>
            </w:tcBorders>
            <w:noWrap/>
            <w:vAlign w:val="center"/>
            <w:hideMark/>
          </w:tcPr>
          <w:p w14:paraId="3DD02A9C" w14:textId="001D39E3"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3,33</w:t>
            </w:r>
          </w:p>
        </w:tc>
        <w:tc>
          <w:tcPr>
            <w:tcW w:w="980" w:type="dxa"/>
            <w:tcBorders>
              <w:top w:val="nil"/>
              <w:left w:val="nil"/>
              <w:bottom w:val="single" w:sz="4" w:space="0" w:color="auto"/>
              <w:right w:val="single" w:sz="4" w:space="0" w:color="auto"/>
            </w:tcBorders>
            <w:noWrap/>
            <w:vAlign w:val="center"/>
            <w:hideMark/>
          </w:tcPr>
          <w:p w14:paraId="75FF6AFA" w14:textId="1C03C399"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146" w:type="dxa"/>
            <w:tcBorders>
              <w:top w:val="nil"/>
              <w:left w:val="nil"/>
              <w:bottom w:val="single" w:sz="4" w:space="0" w:color="auto"/>
              <w:right w:val="single" w:sz="4" w:space="0" w:color="auto"/>
            </w:tcBorders>
            <w:noWrap/>
            <w:vAlign w:val="center"/>
            <w:hideMark/>
          </w:tcPr>
          <w:p w14:paraId="62B7DD86" w14:textId="03F9E751"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4,98</w:t>
            </w:r>
          </w:p>
        </w:tc>
        <w:tc>
          <w:tcPr>
            <w:tcW w:w="890" w:type="dxa"/>
            <w:tcBorders>
              <w:top w:val="nil"/>
              <w:left w:val="nil"/>
              <w:bottom w:val="single" w:sz="4" w:space="0" w:color="auto"/>
              <w:right w:val="single" w:sz="4" w:space="0" w:color="auto"/>
            </w:tcBorders>
            <w:noWrap/>
            <w:vAlign w:val="center"/>
            <w:hideMark/>
          </w:tcPr>
          <w:p w14:paraId="42BA3C50" w14:textId="7FBEF9F0"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100</w:t>
            </w:r>
          </w:p>
        </w:tc>
        <w:tc>
          <w:tcPr>
            <w:tcW w:w="1094" w:type="dxa"/>
            <w:tcBorders>
              <w:top w:val="nil"/>
              <w:left w:val="nil"/>
              <w:bottom w:val="single" w:sz="4" w:space="0" w:color="auto"/>
              <w:right w:val="single" w:sz="4" w:space="0" w:color="auto"/>
            </w:tcBorders>
            <w:noWrap/>
            <w:vAlign w:val="center"/>
            <w:hideMark/>
          </w:tcPr>
          <w:p w14:paraId="7DA8B2B5" w14:textId="7E36C794"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0,72</w:t>
            </w:r>
          </w:p>
        </w:tc>
        <w:tc>
          <w:tcPr>
            <w:tcW w:w="898" w:type="dxa"/>
            <w:tcBorders>
              <w:top w:val="nil"/>
              <w:left w:val="nil"/>
              <w:bottom w:val="single" w:sz="4" w:space="0" w:color="auto"/>
              <w:right w:val="single" w:sz="4" w:space="0" w:color="auto"/>
            </w:tcBorders>
            <w:noWrap/>
            <w:vAlign w:val="center"/>
            <w:hideMark/>
          </w:tcPr>
          <w:p w14:paraId="4BDCCE4D" w14:textId="5497D001"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27,59</w:t>
            </w:r>
          </w:p>
        </w:tc>
        <w:tc>
          <w:tcPr>
            <w:tcW w:w="945" w:type="dxa"/>
            <w:tcBorders>
              <w:top w:val="nil"/>
              <w:left w:val="nil"/>
              <w:bottom w:val="single" w:sz="4" w:space="0" w:color="auto"/>
              <w:right w:val="single" w:sz="4" w:space="0" w:color="auto"/>
            </w:tcBorders>
            <w:noWrap/>
            <w:vAlign w:val="center"/>
            <w:hideMark/>
          </w:tcPr>
          <w:p w14:paraId="70E3463F" w14:textId="5FF9748B"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1,65</w:t>
            </w:r>
          </w:p>
        </w:tc>
        <w:tc>
          <w:tcPr>
            <w:tcW w:w="1058" w:type="dxa"/>
            <w:tcBorders>
              <w:top w:val="nil"/>
              <w:left w:val="nil"/>
              <w:bottom w:val="single" w:sz="4" w:space="0" w:color="auto"/>
              <w:right w:val="single" w:sz="4" w:space="0" w:color="auto"/>
            </w:tcBorders>
            <w:noWrap/>
            <w:vAlign w:val="center"/>
            <w:hideMark/>
          </w:tcPr>
          <w:p w14:paraId="5A0ADCC4" w14:textId="0ED77250" w:rsidR="00FB2F6E" w:rsidRPr="002B008A" w:rsidRDefault="00FB2F6E" w:rsidP="00FB2F6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49,55</w:t>
            </w:r>
          </w:p>
        </w:tc>
      </w:tr>
      <w:tr w:rsidR="00FB2F6E" w:rsidRPr="002B008A" w14:paraId="00E0BE21"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19B3DE53"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965" w:type="dxa"/>
            <w:tcBorders>
              <w:top w:val="nil"/>
              <w:left w:val="single" w:sz="4" w:space="0" w:color="auto"/>
              <w:bottom w:val="single" w:sz="4" w:space="0" w:color="auto"/>
              <w:right w:val="single" w:sz="4" w:space="0" w:color="auto"/>
            </w:tcBorders>
            <w:noWrap/>
            <w:vAlign w:val="center"/>
            <w:hideMark/>
          </w:tcPr>
          <w:p w14:paraId="2464D8EA" w14:textId="754B5300"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2,04</w:t>
            </w:r>
          </w:p>
        </w:tc>
        <w:tc>
          <w:tcPr>
            <w:tcW w:w="1071" w:type="dxa"/>
            <w:tcBorders>
              <w:top w:val="nil"/>
              <w:left w:val="nil"/>
              <w:bottom w:val="single" w:sz="4" w:space="0" w:color="auto"/>
              <w:right w:val="single" w:sz="4" w:space="0" w:color="auto"/>
            </w:tcBorders>
            <w:noWrap/>
            <w:vAlign w:val="center"/>
            <w:hideMark/>
          </w:tcPr>
          <w:p w14:paraId="4BE25CC7" w14:textId="7DE28B84"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78,16</w:t>
            </w:r>
          </w:p>
        </w:tc>
        <w:tc>
          <w:tcPr>
            <w:tcW w:w="1056" w:type="dxa"/>
            <w:tcBorders>
              <w:top w:val="nil"/>
              <w:left w:val="nil"/>
              <w:bottom w:val="single" w:sz="4" w:space="0" w:color="auto"/>
              <w:right w:val="single" w:sz="4" w:space="0" w:color="auto"/>
            </w:tcBorders>
            <w:noWrap/>
            <w:vAlign w:val="center"/>
            <w:hideMark/>
          </w:tcPr>
          <w:p w14:paraId="460E1AFB" w14:textId="1CABA36D"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2,59</w:t>
            </w:r>
          </w:p>
        </w:tc>
        <w:tc>
          <w:tcPr>
            <w:tcW w:w="980" w:type="dxa"/>
            <w:tcBorders>
              <w:top w:val="nil"/>
              <w:left w:val="nil"/>
              <w:bottom w:val="single" w:sz="4" w:space="0" w:color="auto"/>
              <w:right w:val="single" w:sz="4" w:space="0" w:color="auto"/>
            </w:tcBorders>
            <w:noWrap/>
            <w:vAlign w:val="center"/>
            <w:hideMark/>
          </w:tcPr>
          <w:p w14:paraId="262DDD1C" w14:textId="1D565032"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77,78</w:t>
            </w:r>
          </w:p>
        </w:tc>
        <w:tc>
          <w:tcPr>
            <w:tcW w:w="1146" w:type="dxa"/>
            <w:tcBorders>
              <w:top w:val="nil"/>
              <w:left w:val="nil"/>
              <w:bottom w:val="single" w:sz="4" w:space="0" w:color="auto"/>
              <w:right w:val="single" w:sz="4" w:space="0" w:color="auto"/>
            </w:tcBorders>
            <w:noWrap/>
            <w:vAlign w:val="center"/>
            <w:hideMark/>
          </w:tcPr>
          <w:p w14:paraId="4888516A" w14:textId="6308FD13"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3,87</w:t>
            </w:r>
          </w:p>
        </w:tc>
        <w:tc>
          <w:tcPr>
            <w:tcW w:w="890" w:type="dxa"/>
            <w:tcBorders>
              <w:top w:val="nil"/>
              <w:left w:val="nil"/>
              <w:bottom w:val="single" w:sz="4" w:space="0" w:color="auto"/>
              <w:right w:val="single" w:sz="4" w:space="0" w:color="auto"/>
            </w:tcBorders>
            <w:noWrap/>
            <w:vAlign w:val="center"/>
            <w:hideMark/>
          </w:tcPr>
          <w:p w14:paraId="30A82BF8" w14:textId="629745C7"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77,71</w:t>
            </w:r>
          </w:p>
        </w:tc>
        <w:tc>
          <w:tcPr>
            <w:tcW w:w="1094" w:type="dxa"/>
            <w:tcBorders>
              <w:top w:val="nil"/>
              <w:left w:val="nil"/>
              <w:bottom w:val="single" w:sz="4" w:space="0" w:color="auto"/>
              <w:right w:val="single" w:sz="4" w:space="0" w:color="auto"/>
            </w:tcBorders>
            <w:noWrap/>
            <w:vAlign w:val="center"/>
            <w:hideMark/>
          </w:tcPr>
          <w:p w14:paraId="3EABA87A" w14:textId="03629E2B"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0,55</w:t>
            </w:r>
          </w:p>
        </w:tc>
        <w:tc>
          <w:tcPr>
            <w:tcW w:w="898" w:type="dxa"/>
            <w:tcBorders>
              <w:top w:val="nil"/>
              <w:left w:val="nil"/>
              <w:bottom w:val="single" w:sz="4" w:space="0" w:color="auto"/>
              <w:right w:val="single" w:sz="4" w:space="0" w:color="auto"/>
            </w:tcBorders>
            <w:noWrap/>
            <w:vAlign w:val="center"/>
            <w:hideMark/>
          </w:tcPr>
          <w:p w14:paraId="5A6B32ED" w14:textId="60D09306"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26,96</w:t>
            </w:r>
          </w:p>
        </w:tc>
        <w:tc>
          <w:tcPr>
            <w:tcW w:w="945" w:type="dxa"/>
            <w:tcBorders>
              <w:top w:val="nil"/>
              <w:left w:val="nil"/>
              <w:bottom w:val="single" w:sz="4" w:space="0" w:color="auto"/>
              <w:right w:val="single" w:sz="4" w:space="0" w:color="auto"/>
            </w:tcBorders>
            <w:noWrap/>
            <w:vAlign w:val="center"/>
            <w:hideMark/>
          </w:tcPr>
          <w:p w14:paraId="5D8D896F" w14:textId="5CD26C02"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1,28</w:t>
            </w:r>
          </w:p>
        </w:tc>
        <w:tc>
          <w:tcPr>
            <w:tcW w:w="1058" w:type="dxa"/>
            <w:tcBorders>
              <w:top w:val="nil"/>
              <w:left w:val="nil"/>
              <w:bottom w:val="single" w:sz="4" w:space="0" w:color="auto"/>
              <w:right w:val="single" w:sz="4" w:space="0" w:color="auto"/>
            </w:tcBorders>
            <w:noWrap/>
            <w:vAlign w:val="center"/>
            <w:hideMark/>
          </w:tcPr>
          <w:p w14:paraId="19DE5147" w14:textId="26C57D44"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49,42</w:t>
            </w:r>
          </w:p>
        </w:tc>
      </w:tr>
      <w:tr w:rsidR="00FB2F6E" w:rsidRPr="002B008A" w14:paraId="7F48C281" w14:textId="77777777" w:rsidTr="00FB2F6E">
        <w:trPr>
          <w:trHeight w:val="227"/>
        </w:trPr>
        <w:tc>
          <w:tcPr>
            <w:tcW w:w="4133" w:type="dxa"/>
            <w:tcBorders>
              <w:top w:val="nil"/>
              <w:left w:val="single" w:sz="4" w:space="0" w:color="auto"/>
              <w:bottom w:val="single" w:sz="4" w:space="0" w:color="auto"/>
              <w:right w:val="single" w:sz="4" w:space="0" w:color="auto"/>
            </w:tcBorders>
            <w:noWrap/>
            <w:vAlign w:val="center"/>
            <w:hideMark/>
          </w:tcPr>
          <w:p w14:paraId="48EAA758"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965" w:type="dxa"/>
            <w:tcBorders>
              <w:top w:val="nil"/>
              <w:left w:val="single" w:sz="4" w:space="0" w:color="auto"/>
              <w:bottom w:val="single" w:sz="4" w:space="0" w:color="auto"/>
              <w:right w:val="single" w:sz="4" w:space="0" w:color="auto"/>
            </w:tcBorders>
            <w:noWrap/>
            <w:vAlign w:val="center"/>
            <w:hideMark/>
          </w:tcPr>
          <w:p w14:paraId="6D22AD04" w14:textId="602BAAD4"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0,57</w:t>
            </w:r>
          </w:p>
        </w:tc>
        <w:tc>
          <w:tcPr>
            <w:tcW w:w="1071" w:type="dxa"/>
            <w:tcBorders>
              <w:top w:val="nil"/>
              <w:left w:val="nil"/>
              <w:bottom w:val="single" w:sz="4" w:space="0" w:color="auto"/>
              <w:right w:val="single" w:sz="4" w:space="0" w:color="auto"/>
            </w:tcBorders>
            <w:noWrap/>
            <w:vAlign w:val="center"/>
            <w:hideMark/>
          </w:tcPr>
          <w:p w14:paraId="665453C8" w14:textId="2FC0F64D"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21,84</w:t>
            </w:r>
          </w:p>
        </w:tc>
        <w:tc>
          <w:tcPr>
            <w:tcW w:w="1056" w:type="dxa"/>
            <w:tcBorders>
              <w:top w:val="nil"/>
              <w:left w:val="nil"/>
              <w:bottom w:val="single" w:sz="4" w:space="0" w:color="auto"/>
              <w:right w:val="single" w:sz="4" w:space="0" w:color="auto"/>
            </w:tcBorders>
            <w:noWrap/>
            <w:vAlign w:val="center"/>
            <w:hideMark/>
          </w:tcPr>
          <w:p w14:paraId="4C1F1E0F" w14:textId="0B838C28"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0,74</w:t>
            </w:r>
          </w:p>
        </w:tc>
        <w:tc>
          <w:tcPr>
            <w:tcW w:w="980" w:type="dxa"/>
            <w:tcBorders>
              <w:top w:val="nil"/>
              <w:left w:val="nil"/>
              <w:bottom w:val="single" w:sz="4" w:space="0" w:color="auto"/>
              <w:right w:val="single" w:sz="4" w:space="0" w:color="auto"/>
            </w:tcBorders>
            <w:noWrap/>
            <w:vAlign w:val="center"/>
            <w:hideMark/>
          </w:tcPr>
          <w:p w14:paraId="60D10FB2" w14:textId="56839665"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22,22</w:t>
            </w:r>
          </w:p>
        </w:tc>
        <w:tc>
          <w:tcPr>
            <w:tcW w:w="1146" w:type="dxa"/>
            <w:tcBorders>
              <w:top w:val="nil"/>
              <w:left w:val="nil"/>
              <w:bottom w:val="single" w:sz="4" w:space="0" w:color="auto"/>
              <w:right w:val="single" w:sz="4" w:space="0" w:color="auto"/>
            </w:tcBorders>
            <w:noWrap/>
            <w:vAlign w:val="center"/>
            <w:hideMark/>
          </w:tcPr>
          <w:p w14:paraId="4F540F3B" w14:textId="192440AF"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1,11</w:t>
            </w:r>
          </w:p>
        </w:tc>
        <w:tc>
          <w:tcPr>
            <w:tcW w:w="890" w:type="dxa"/>
            <w:tcBorders>
              <w:top w:val="nil"/>
              <w:left w:val="nil"/>
              <w:bottom w:val="single" w:sz="4" w:space="0" w:color="auto"/>
              <w:right w:val="single" w:sz="4" w:space="0" w:color="auto"/>
            </w:tcBorders>
            <w:noWrap/>
            <w:vAlign w:val="center"/>
            <w:hideMark/>
          </w:tcPr>
          <w:p w14:paraId="66D93607" w14:textId="5D38057B"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22,29</w:t>
            </w:r>
          </w:p>
        </w:tc>
        <w:tc>
          <w:tcPr>
            <w:tcW w:w="1094" w:type="dxa"/>
            <w:tcBorders>
              <w:top w:val="nil"/>
              <w:left w:val="nil"/>
              <w:bottom w:val="single" w:sz="4" w:space="0" w:color="auto"/>
              <w:right w:val="single" w:sz="4" w:space="0" w:color="auto"/>
            </w:tcBorders>
            <w:noWrap/>
            <w:vAlign w:val="center"/>
            <w:hideMark/>
          </w:tcPr>
          <w:p w14:paraId="35FAA474" w14:textId="187727BC"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0,17</w:t>
            </w:r>
          </w:p>
        </w:tc>
        <w:tc>
          <w:tcPr>
            <w:tcW w:w="898" w:type="dxa"/>
            <w:tcBorders>
              <w:top w:val="nil"/>
              <w:left w:val="nil"/>
              <w:bottom w:val="single" w:sz="4" w:space="0" w:color="auto"/>
              <w:right w:val="single" w:sz="4" w:space="0" w:color="auto"/>
            </w:tcBorders>
            <w:noWrap/>
            <w:vAlign w:val="center"/>
            <w:hideMark/>
          </w:tcPr>
          <w:p w14:paraId="6B83BDEB" w14:textId="62E93AA8"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29,82</w:t>
            </w:r>
          </w:p>
        </w:tc>
        <w:tc>
          <w:tcPr>
            <w:tcW w:w="945" w:type="dxa"/>
            <w:tcBorders>
              <w:top w:val="nil"/>
              <w:left w:val="nil"/>
              <w:bottom w:val="single" w:sz="4" w:space="0" w:color="auto"/>
              <w:right w:val="single" w:sz="4" w:space="0" w:color="auto"/>
            </w:tcBorders>
            <w:noWrap/>
            <w:vAlign w:val="center"/>
            <w:hideMark/>
          </w:tcPr>
          <w:p w14:paraId="3819E106" w14:textId="3BA13F7F"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0,37</w:t>
            </w:r>
          </w:p>
        </w:tc>
        <w:tc>
          <w:tcPr>
            <w:tcW w:w="1058" w:type="dxa"/>
            <w:tcBorders>
              <w:top w:val="nil"/>
              <w:left w:val="nil"/>
              <w:bottom w:val="single" w:sz="4" w:space="0" w:color="auto"/>
              <w:right w:val="single" w:sz="4" w:space="0" w:color="auto"/>
            </w:tcBorders>
            <w:noWrap/>
            <w:vAlign w:val="center"/>
            <w:hideMark/>
          </w:tcPr>
          <w:p w14:paraId="53DA785F" w14:textId="3FBE278D" w:rsidR="00FB2F6E" w:rsidRPr="002B008A" w:rsidRDefault="00FB2F6E" w:rsidP="00FB2F6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50,00</w:t>
            </w:r>
          </w:p>
        </w:tc>
      </w:tr>
      <w:tr w:rsidR="00FB2F6E" w:rsidRPr="002B008A" w14:paraId="65D9A1E6" w14:textId="77777777" w:rsidTr="007630C5">
        <w:trPr>
          <w:trHeight w:val="227"/>
        </w:trPr>
        <w:tc>
          <w:tcPr>
            <w:tcW w:w="4133" w:type="dxa"/>
            <w:tcBorders>
              <w:top w:val="nil"/>
              <w:left w:val="single" w:sz="4" w:space="0" w:color="auto"/>
              <w:bottom w:val="single" w:sz="4" w:space="0" w:color="auto"/>
              <w:right w:val="single" w:sz="4" w:space="0" w:color="auto"/>
            </w:tcBorders>
            <w:noWrap/>
            <w:vAlign w:val="center"/>
            <w:hideMark/>
          </w:tcPr>
          <w:p w14:paraId="255AC195" w14:textId="77777777" w:rsidR="00FB2F6E" w:rsidRPr="002B008A" w:rsidRDefault="00FB2F6E" w:rsidP="00FB2F6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5. Tỷ lệ nợ xấu (%)</w:t>
            </w:r>
          </w:p>
        </w:tc>
        <w:tc>
          <w:tcPr>
            <w:tcW w:w="2036" w:type="dxa"/>
            <w:gridSpan w:val="2"/>
            <w:tcBorders>
              <w:top w:val="single" w:sz="4" w:space="0" w:color="auto"/>
              <w:left w:val="single" w:sz="4" w:space="0" w:color="auto"/>
              <w:bottom w:val="single" w:sz="4" w:space="0" w:color="auto"/>
              <w:right w:val="single" w:sz="4" w:space="0" w:color="000000"/>
            </w:tcBorders>
            <w:noWrap/>
            <w:vAlign w:val="center"/>
            <w:hideMark/>
          </w:tcPr>
          <w:p w14:paraId="25C12834" w14:textId="4E4C2908" w:rsidR="00FB2F6E" w:rsidRPr="002B008A" w:rsidRDefault="00FB2F6E" w:rsidP="00FB2F6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0,65</w:t>
            </w:r>
          </w:p>
        </w:tc>
        <w:tc>
          <w:tcPr>
            <w:tcW w:w="2036" w:type="dxa"/>
            <w:gridSpan w:val="2"/>
            <w:tcBorders>
              <w:top w:val="single" w:sz="4" w:space="0" w:color="auto"/>
              <w:left w:val="nil"/>
              <w:bottom w:val="single" w:sz="4" w:space="0" w:color="auto"/>
              <w:right w:val="single" w:sz="4" w:space="0" w:color="000000"/>
            </w:tcBorders>
            <w:noWrap/>
            <w:vAlign w:val="bottom"/>
            <w:hideMark/>
          </w:tcPr>
          <w:p w14:paraId="7E3019C5" w14:textId="5161CF72" w:rsidR="00FB2F6E" w:rsidRPr="002B008A" w:rsidRDefault="00FB2F6E" w:rsidP="00FB2F6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0,62</w:t>
            </w:r>
          </w:p>
        </w:tc>
        <w:tc>
          <w:tcPr>
            <w:tcW w:w="2036" w:type="dxa"/>
            <w:gridSpan w:val="2"/>
            <w:tcBorders>
              <w:top w:val="single" w:sz="4" w:space="0" w:color="auto"/>
              <w:left w:val="nil"/>
              <w:bottom w:val="single" w:sz="4" w:space="0" w:color="auto"/>
              <w:right w:val="single" w:sz="4" w:space="0" w:color="000000"/>
            </w:tcBorders>
            <w:noWrap/>
            <w:vAlign w:val="bottom"/>
            <w:hideMark/>
          </w:tcPr>
          <w:p w14:paraId="16599454" w14:textId="7231933E" w:rsidR="00FB2F6E" w:rsidRPr="002B008A" w:rsidRDefault="00FB2F6E" w:rsidP="00FB2F6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hAnsi="Times New Roman" w:cs="Times New Roman"/>
                <w:b/>
                <w:bCs/>
                <w:color w:val="000000"/>
                <w:sz w:val="26"/>
                <w:szCs w:val="26"/>
              </w:rPr>
              <w:t>0,71</w:t>
            </w:r>
          </w:p>
        </w:tc>
        <w:tc>
          <w:tcPr>
            <w:tcW w:w="3995" w:type="dxa"/>
            <w:gridSpan w:val="4"/>
            <w:vMerge w:val="restart"/>
            <w:tcBorders>
              <w:top w:val="single" w:sz="4" w:space="0" w:color="auto"/>
              <w:left w:val="nil"/>
              <w:right w:val="single" w:sz="4" w:space="0" w:color="000000"/>
            </w:tcBorders>
            <w:noWrap/>
            <w:vAlign w:val="center"/>
          </w:tcPr>
          <w:p w14:paraId="4FC8CFD3" w14:textId="385E8C59" w:rsidR="00FB2F6E" w:rsidRPr="002B008A" w:rsidRDefault="00FB2F6E" w:rsidP="00FB2F6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p>
        </w:tc>
      </w:tr>
      <w:tr w:rsidR="00FB2F6E" w:rsidRPr="002B008A" w14:paraId="3427147A" w14:textId="77777777" w:rsidTr="007630C5">
        <w:trPr>
          <w:trHeight w:val="227"/>
        </w:trPr>
        <w:tc>
          <w:tcPr>
            <w:tcW w:w="4133" w:type="dxa"/>
            <w:tcBorders>
              <w:top w:val="nil"/>
              <w:left w:val="single" w:sz="4" w:space="0" w:color="auto"/>
              <w:bottom w:val="single" w:sz="4" w:space="0" w:color="auto"/>
              <w:right w:val="single" w:sz="4" w:space="0" w:color="auto"/>
            </w:tcBorders>
            <w:noWrap/>
            <w:vAlign w:val="center"/>
            <w:hideMark/>
          </w:tcPr>
          <w:p w14:paraId="6924E2FF"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Ngắn hạn</w:t>
            </w:r>
          </w:p>
        </w:tc>
        <w:tc>
          <w:tcPr>
            <w:tcW w:w="2036" w:type="dxa"/>
            <w:gridSpan w:val="2"/>
            <w:tcBorders>
              <w:top w:val="single" w:sz="4" w:space="0" w:color="auto"/>
              <w:left w:val="single" w:sz="4" w:space="0" w:color="auto"/>
              <w:bottom w:val="single" w:sz="4" w:space="0" w:color="auto"/>
              <w:right w:val="single" w:sz="4" w:space="0" w:color="000000"/>
            </w:tcBorders>
            <w:noWrap/>
            <w:vAlign w:val="center"/>
            <w:hideMark/>
          </w:tcPr>
          <w:p w14:paraId="472546CC" w14:textId="2C6F8F42" w:rsidR="00FB2F6E" w:rsidRPr="002B008A" w:rsidRDefault="00FB2F6E" w:rsidP="00FB2F6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0,72</w:t>
            </w:r>
          </w:p>
        </w:tc>
        <w:tc>
          <w:tcPr>
            <w:tcW w:w="2036" w:type="dxa"/>
            <w:gridSpan w:val="2"/>
            <w:tcBorders>
              <w:top w:val="single" w:sz="4" w:space="0" w:color="auto"/>
              <w:left w:val="nil"/>
              <w:bottom w:val="single" w:sz="4" w:space="0" w:color="auto"/>
              <w:right w:val="single" w:sz="4" w:space="0" w:color="000000"/>
            </w:tcBorders>
            <w:noWrap/>
            <w:vAlign w:val="bottom"/>
            <w:hideMark/>
          </w:tcPr>
          <w:p w14:paraId="7C19EB1B" w14:textId="41F22741" w:rsidR="00FB2F6E" w:rsidRPr="002B008A" w:rsidRDefault="00FB2F6E" w:rsidP="00FB2F6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0,70</w:t>
            </w:r>
          </w:p>
        </w:tc>
        <w:tc>
          <w:tcPr>
            <w:tcW w:w="2036" w:type="dxa"/>
            <w:gridSpan w:val="2"/>
            <w:tcBorders>
              <w:top w:val="single" w:sz="4" w:space="0" w:color="auto"/>
              <w:left w:val="nil"/>
              <w:bottom w:val="single" w:sz="4" w:space="0" w:color="auto"/>
              <w:right w:val="single" w:sz="4" w:space="0" w:color="000000"/>
            </w:tcBorders>
            <w:noWrap/>
            <w:vAlign w:val="bottom"/>
            <w:hideMark/>
          </w:tcPr>
          <w:p w14:paraId="095D5356" w14:textId="757A58DC" w:rsidR="00FB2F6E" w:rsidRPr="002B008A" w:rsidRDefault="00FB2F6E" w:rsidP="00FB2F6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0,80</w:t>
            </w:r>
          </w:p>
        </w:tc>
        <w:tc>
          <w:tcPr>
            <w:tcW w:w="3995" w:type="dxa"/>
            <w:gridSpan w:val="4"/>
            <w:vMerge/>
            <w:tcBorders>
              <w:left w:val="nil"/>
              <w:right w:val="single" w:sz="4" w:space="0" w:color="000000"/>
            </w:tcBorders>
            <w:noWrap/>
            <w:vAlign w:val="center"/>
          </w:tcPr>
          <w:p w14:paraId="6F83F3A6" w14:textId="5993EE10" w:rsidR="00FB2F6E" w:rsidRPr="002B008A" w:rsidRDefault="00FB2F6E" w:rsidP="00FB2F6E">
            <w:pPr>
              <w:spacing w:after="0" w:line="240" w:lineRule="auto"/>
              <w:jc w:val="center"/>
              <w:rPr>
                <w:rFonts w:ascii="Times New Roman" w:eastAsia="Times New Roman" w:hAnsi="Times New Roman" w:cs="Times New Roman"/>
                <w:color w:val="000000"/>
                <w:kern w:val="0"/>
                <w:sz w:val="26"/>
                <w:szCs w:val="26"/>
                <w:lang w:eastAsia="zh-CN"/>
                <w14:ligatures w14:val="none"/>
              </w:rPr>
            </w:pPr>
          </w:p>
        </w:tc>
      </w:tr>
      <w:tr w:rsidR="00FB2F6E" w:rsidRPr="002B008A" w14:paraId="4ADEB6C1" w14:textId="77777777" w:rsidTr="007630C5">
        <w:trPr>
          <w:trHeight w:val="227"/>
        </w:trPr>
        <w:tc>
          <w:tcPr>
            <w:tcW w:w="4133" w:type="dxa"/>
            <w:tcBorders>
              <w:top w:val="nil"/>
              <w:left w:val="single" w:sz="4" w:space="0" w:color="auto"/>
              <w:bottom w:val="single" w:sz="4" w:space="0" w:color="auto"/>
              <w:right w:val="single" w:sz="4" w:space="0" w:color="auto"/>
            </w:tcBorders>
            <w:noWrap/>
            <w:vAlign w:val="center"/>
            <w:hideMark/>
          </w:tcPr>
          <w:p w14:paraId="5A4958D2" w14:textId="77777777" w:rsidR="00FB2F6E" w:rsidRPr="002B008A" w:rsidRDefault="00FB2F6E" w:rsidP="00FB2F6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Trung - dài hạn</w:t>
            </w:r>
          </w:p>
        </w:tc>
        <w:tc>
          <w:tcPr>
            <w:tcW w:w="2036" w:type="dxa"/>
            <w:gridSpan w:val="2"/>
            <w:tcBorders>
              <w:top w:val="single" w:sz="4" w:space="0" w:color="auto"/>
              <w:left w:val="single" w:sz="4" w:space="0" w:color="auto"/>
              <w:bottom w:val="single" w:sz="4" w:space="0" w:color="auto"/>
              <w:right w:val="single" w:sz="4" w:space="0" w:color="000000"/>
            </w:tcBorders>
            <w:noWrap/>
            <w:vAlign w:val="center"/>
            <w:hideMark/>
          </w:tcPr>
          <w:p w14:paraId="4AE15B96" w14:textId="033A7FB9" w:rsidR="00FB2F6E" w:rsidRPr="002B008A" w:rsidRDefault="00FB2F6E" w:rsidP="00FB2F6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0,47</w:t>
            </w:r>
          </w:p>
        </w:tc>
        <w:tc>
          <w:tcPr>
            <w:tcW w:w="2036" w:type="dxa"/>
            <w:gridSpan w:val="2"/>
            <w:tcBorders>
              <w:top w:val="single" w:sz="4" w:space="0" w:color="auto"/>
              <w:left w:val="nil"/>
              <w:bottom w:val="single" w:sz="4" w:space="0" w:color="auto"/>
              <w:right w:val="single" w:sz="4" w:space="0" w:color="000000"/>
            </w:tcBorders>
            <w:noWrap/>
            <w:vAlign w:val="bottom"/>
            <w:hideMark/>
          </w:tcPr>
          <w:p w14:paraId="42836787" w14:textId="6FD75D8B" w:rsidR="00FB2F6E" w:rsidRPr="002B008A" w:rsidRDefault="00FB2F6E" w:rsidP="00FB2F6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0,45</w:t>
            </w:r>
          </w:p>
        </w:tc>
        <w:tc>
          <w:tcPr>
            <w:tcW w:w="2036" w:type="dxa"/>
            <w:gridSpan w:val="2"/>
            <w:tcBorders>
              <w:top w:val="single" w:sz="4" w:space="0" w:color="auto"/>
              <w:left w:val="nil"/>
              <w:bottom w:val="single" w:sz="4" w:space="0" w:color="auto"/>
              <w:right w:val="single" w:sz="4" w:space="0" w:color="000000"/>
            </w:tcBorders>
            <w:noWrap/>
            <w:vAlign w:val="bottom"/>
            <w:hideMark/>
          </w:tcPr>
          <w:p w14:paraId="46277E4F" w14:textId="2C494931" w:rsidR="00FB2F6E" w:rsidRPr="002B008A" w:rsidRDefault="00FB2F6E" w:rsidP="00FB2F6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hAnsi="Times New Roman" w:cs="Times New Roman"/>
                <w:color w:val="000000"/>
                <w:sz w:val="26"/>
                <w:szCs w:val="26"/>
              </w:rPr>
              <w:t>0,51</w:t>
            </w:r>
          </w:p>
        </w:tc>
        <w:tc>
          <w:tcPr>
            <w:tcW w:w="3995" w:type="dxa"/>
            <w:gridSpan w:val="4"/>
            <w:vMerge/>
            <w:tcBorders>
              <w:left w:val="nil"/>
              <w:bottom w:val="single" w:sz="4" w:space="0" w:color="auto"/>
              <w:right w:val="single" w:sz="4" w:space="0" w:color="000000"/>
            </w:tcBorders>
            <w:noWrap/>
            <w:vAlign w:val="center"/>
          </w:tcPr>
          <w:p w14:paraId="5C191F9D" w14:textId="50BA7B47" w:rsidR="00FB2F6E" w:rsidRPr="002B008A" w:rsidRDefault="00FB2F6E" w:rsidP="00FB2F6E">
            <w:pPr>
              <w:spacing w:after="0" w:line="240" w:lineRule="auto"/>
              <w:jc w:val="center"/>
              <w:rPr>
                <w:rFonts w:ascii="Times New Roman" w:eastAsia="Times New Roman" w:hAnsi="Times New Roman" w:cs="Times New Roman"/>
                <w:color w:val="000000"/>
                <w:kern w:val="0"/>
                <w:sz w:val="26"/>
                <w:szCs w:val="26"/>
                <w:lang w:eastAsia="zh-CN"/>
                <w14:ligatures w14:val="none"/>
              </w:rPr>
            </w:pPr>
          </w:p>
        </w:tc>
      </w:tr>
    </w:tbl>
    <w:p w14:paraId="5C57140A" w14:textId="412B2774" w:rsidR="00D21BBF" w:rsidRPr="002B008A" w:rsidRDefault="00D21BBF" w:rsidP="00D21BBF">
      <w:pPr>
        <w:tabs>
          <w:tab w:val="left" w:pos="7088"/>
        </w:tabs>
        <w:spacing w:after="0" w:line="360" w:lineRule="auto"/>
        <w:ind w:left="1134" w:right="-780"/>
        <w:jc w:val="right"/>
        <w:rPr>
          <w:rFonts w:ascii="Times New Roman" w:hAnsi="Times New Roman" w:cs="Times New Roman"/>
          <w:i/>
          <w:iCs/>
          <w:color w:val="000000" w:themeColor="text1"/>
          <w:sz w:val="26"/>
          <w:szCs w:val="26"/>
          <w:lang w:val="vi-VN"/>
        </w:rPr>
      </w:pPr>
      <w:r w:rsidRPr="002B008A">
        <w:rPr>
          <w:rFonts w:ascii="Times New Roman" w:hAnsi="Times New Roman" w:cs="Times New Roman"/>
          <w:i/>
          <w:iCs/>
          <w:color w:val="000000" w:themeColor="text1"/>
          <w:sz w:val="26"/>
          <w:szCs w:val="26"/>
          <w:lang w:val="vi-VN"/>
        </w:rPr>
        <w:t xml:space="preserve">                                     ( Nguồn: Ngân hàng TMCP Quân đội – Chi nhánh Đà Nẵng giai đoạn năm 2023 – 2025)</w:t>
      </w:r>
      <w:r w:rsidRPr="002B008A">
        <w:rPr>
          <w:rFonts w:ascii="Times New Roman" w:hAnsi="Times New Roman" w:cs="Times New Roman"/>
          <w:i/>
          <w:iCs/>
          <w:color w:val="000000" w:themeColor="text1"/>
          <w:sz w:val="26"/>
          <w:szCs w:val="26"/>
          <w:lang w:val="vi-VN"/>
        </w:rPr>
        <w:tab/>
      </w:r>
      <w:r w:rsidRPr="002B008A">
        <w:rPr>
          <w:rFonts w:ascii="Times New Roman" w:hAnsi="Times New Roman" w:cs="Times New Roman"/>
          <w:i/>
          <w:iCs/>
          <w:color w:val="000000" w:themeColor="text1"/>
          <w:sz w:val="26"/>
          <w:szCs w:val="26"/>
          <w:lang w:val="vi-VN"/>
        </w:rPr>
        <w:tab/>
      </w:r>
    </w:p>
    <w:p w14:paraId="4742C79D" w14:textId="13A8A245" w:rsidR="00435073" w:rsidRPr="002B008A" w:rsidRDefault="00435073" w:rsidP="00435073">
      <w:pPr>
        <w:rPr>
          <w:rFonts w:ascii="Times New Roman" w:hAnsi="Times New Roman" w:cs="Times New Roman"/>
          <w:sz w:val="26"/>
          <w:szCs w:val="26"/>
          <w:lang w:val="vi-VN"/>
        </w:rPr>
        <w:sectPr w:rsidR="00435073" w:rsidRPr="002B008A" w:rsidSect="009E0361">
          <w:pgSz w:w="16838" w:h="11906" w:orient="landscape" w:code="9"/>
          <w:pgMar w:top="1134" w:right="1134" w:bottom="1134" w:left="1701" w:header="720" w:footer="720" w:gutter="0"/>
          <w:cols w:space="720"/>
          <w:docGrid w:linePitch="360"/>
        </w:sectPr>
      </w:pPr>
    </w:p>
    <w:p w14:paraId="7284DCF5" w14:textId="58DF3B11" w:rsidR="00E65A1E" w:rsidRPr="002B008A" w:rsidRDefault="00E65A1E" w:rsidP="00E65A1E">
      <w:pPr>
        <w:tabs>
          <w:tab w:val="left" w:pos="6210"/>
        </w:tabs>
        <w:spacing w:after="0" w:line="360" w:lineRule="auto"/>
        <w:ind w:firstLine="426"/>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lastRenderedPageBreak/>
        <w:t xml:space="preserve">Xét theo kỳ hạn, cho vay ngắn hạn chiếm khoảng 74% và tăng từ </w:t>
      </w:r>
      <w:r w:rsidR="007238E5" w:rsidRPr="002B008A">
        <w:rPr>
          <w:rFonts w:ascii="Times New Roman" w:hAnsi="Times New Roman" w:cs="Times New Roman"/>
          <w:color w:val="000000" w:themeColor="text1"/>
          <w:sz w:val="26"/>
          <w:szCs w:val="26"/>
          <w:lang w:val="vi-VN"/>
        </w:rPr>
        <w:t>225</w:t>
      </w:r>
      <w:r w:rsidRPr="002B008A">
        <w:rPr>
          <w:rFonts w:ascii="Times New Roman" w:hAnsi="Times New Roman" w:cs="Times New Roman"/>
          <w:color w:val="000000" w:themeColor="text1"/>
          <w:sz w:val="26"/>
          <w:szCs w:val="26"/>
          <w:lang w:val="vi-VN"/>
        </w:rPr>
        <w:t xml:space="preserve">,41 tỷ đồng năm 2023 lên 379,66 tỷ đồng năm 2025, phản ánh đây là phân khúc trọng tâm trong hoạt động cho vay SXKD đối với KHCN tại chi nhánh. Điều này phù hợp với đặc điểm kinh doanh nhỏ lẻ của khách hàng khi nhu cầu </w:t>
      </w:r>
      <w:r w:rsidR="002860A8" w:rsidRPr="002B008A">
        <w:rPr>
          <w:rFonts w:ascii="Times New Roman" w:hAnsi="Times New Roman" w:cs="Times New Roman"/>
          <w:color w:val="000000" w:themeColor="text1"/>
          <w:sz w:val="26"/>
          <w:szCs w:val="26"/>
          <w:lang w:val="vi-VN"/>
        </w:rPr>
        <w:t>v</w:t>
      </w:r>
      <w:r w:rsidRPr="002B008A">
        <w:rPr>
          <w:rFonts w:ascii="Times New Roman" w:hAnsi="Times New Roman" w:cs="Times New Roman"/>
          <w:color w:val="000000" w:themeColor="text1"/>
          <w:sz w:val="26"/>
          <w:szCs w:val="26"/>
          <w:lang w:val="vi-VN"/>
        </w:rPr>
        <w:t>ốn chủ yếu phục vụ bổ sung vốn lưu động như nhập hàng, thanh toán chi phí ngắn hạn và duy trì hoạt động kinh doanh. Từ phía ngân hàng, việc tập trung cho vay ngắn hạn cũng phù hợp với định hướng kiểm soát rủi ro nhờ thời gian thu hồi vốn nhanh và khả năng giám sát tốt hơn theo từng chu kỳ vay.</w:t>
      </w:r>
    </w:p>
    <w:p w14:paraId="6E1D902C" w14:textId="7B24D089" w:rsidR="00E65A1E" w:rsidRPr="002B008A" w:rsidRDefault="00E65A1E" w:rsidP="00E65A1E">
      <w:pPr>
        <w:tabs>
          <w:tab w:val="left" w:pos="6210"/>
        </w:tabs>
        <w:spacing w:after="0" w:line="360" w:lineRule="auto"/>
        <w:ind w:firstLine="426"/>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Trong khi đó, doanh số cho vay trung và dài hạn tăng từ </w:t>
      </w:r>
      <w:r w:rsidR="007238E5" w:rsidRPr="002B008A">
        <w:rPr>
          <w:rFonts w:ascii="Times New Roman" w:hAnsi="Times New Roman" w:cs="Times New Roman"/>
          <w:color w:val="000000" w:themeColor="text1"/>
          <w:sz w:val="26"/>
          <w:szCs w:val="26"/>
          <w:lang w:val="vi-VN"/>
        </w:rPr>
        <w:t>83</w:t>
      </w:r>
      <w:r w:rsidRPr="002B008A">
        <w:rPr>
          <w:rFonts w:ascii="Times New Roman" w:hAnsi="Times New Roman" w:cs="Times New Roman"/>
          <w:color w:val="000000" w:themeColor="text1"/>
          <w:sz w:val="26"/>
          <w:szCs w:val="26"/>
          <w:lang w:val="vi-VN"/>
        </w:rPr>
        <w:t xml:space="preserve">,23 tỷ đồng năm 2023 lên 133,07 tỷ đồng năm 2025, phản ánh nhu cầu đầu tư mở rộng hoạt động SXKD có xu hướng gia tăng. Tuy nhiên, các </w:t>
      </w:r>
      <w:r w:rsidR="00B9784C" w:rsidRPr="002B008A">
        <w:rPr>
          <w:rFonts w:ascii="Times New Roman" w:hAnsi="Times New Roman" w:cs="Times New Roman"/>
          <w:color w:val="000000" w:themeColor="text1"/>
          <w:sz w:val="26"/>
          <w:szCs w:val="26"/>
          <w:lang w:val="vi-VN"/>
        </w:rPr>
        <w:t>khoản cho</w:t>
      </w:r>
      <w:r w:rsidRPr="002B008A">
        <w:rPr>
          <w:rFonts w:ascii="Times New Roman" w:hAnsi="Times New Roman" w:cs="Times New Roman"/>
          <w:color w:val="000000" w:themeColor="text1"/>
          <w:sz w:val="26"/>
          <w:szCs w:val="26"/>
          <w:lang w:val="vi-VN"/>
        </w:rPr>
        <w:t xml:space="preserve"> vay này phụ thuộc lớn vào khả năng tạo dòng tiền trong dài hạn, trong khi KHCN</w:t>
      </w:r>
      <w:r w:rsidR="007335A6" w:rsidRPr="002B008A">
        <w:rPr>
          <w:rFonts w:ascii="Times New Roman" w:hAnsi="Times New Roman" w:cs="Times New Roman"/>
          <w:color w:val="000000" w:themeColor="text1"/>
          <w:sz w:val="26"/>
          <w:szCs w:val="26"/>
          <w:lang w:val="vi-VN"/>
        </w:rPr>
        <w:t xml:space="preserve"> </w:t>
      </w:r>
      <w:r w:rsidRPr="002B008A">
        <w:rPr>
          <w:rFonts w:ascii="Times New Roman" w:hAnsi="Times New Roman" w:cs="Times New Roman"/>
          <w:color w:val="000000" w:themeColor="text1"/>
          <w:sz w:val="26"/>
          <w:szCs w:val="26"/>
          <w:lang w:val="vi-VN"/>
        </w:rPr>
        <w:t>quy mô nhỏ dễ chịu tác động từ biến động thị trường, dẫn đến rủi ro kỳ hạn và áp lực thu hồi vốn cao hơn. Do đó, mặc dù góp phần hỗ trợ mở rộng hoạt động kinh doanh, cho vay trung và dài hạn vẫn tiềm ẩn mức độ rủi ro lớn hơn và cần được kiểm soát chặt chẽ.</w:t>
      </w:r>
    </w:p>
    <w:p w14:paraId="480A9C12" w14:textId="7B8B574E" w:rsidR="007A0011" w:rsidRPr="002B008A" w:rsidRDefault="007A0011" w:rsidP="007A0011">
      <w:pPr>
        <w:tabs>
          <w:tab w:val="left" w:pos="6210"/>
        </w:tabs>
        <w:spacing w:after="0" w:line="360" w:lineRule="auto"/>
        <w:ind w:firstLine="426"/>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Về khả năng thu hồi vốn, doanh số thu nợ của chi nhánh tăng từ 214,34 tỷ đồng năm 2023 lên 346,48 tỷ đồng năm 2025, cho thấy công tác thu hồi nợ vẫn duy trì tương đối ổn định qua các năm. Tuy nhiên, mức tăng của doanh số thu nợ chưa thực sự lớn so với tốc độ mở rộng tín dụng do trong giai đoạn 2023–2025, chi nhánh tập trung đẩy mạnh hoạt động cho vay nhằm đáp ứng nhu cầu vay vốn SXKD ngày càng gia tăng của KHCN trên địa bàn. Nguyên nhân chủ yếu là do phần lớn khách hàng vay vốn để bổ sung vốn lưu động nên nhu cầu vay mới và tái vay diễn ra thường xuyên. Thu nợ ngắn hạn chiếm tỷ trọng lớn khoảng 77% tổng doanh số thu nợ nên phụ thuộc nhiều vào tốc độ luân chuyển vốn và hiệu quả kinh doanh của khách hàng, trong khi các khoản cho vay trung và dài hạn chiếm tỷ trọng khoảng 23% có thời gian hoàn vốn dài hơn nên khả năng thu hồi vốn chưa thể tăng nhanh trong ngắn hạn.</w:t>
      </w:r>
    </w:p>
    <w:p w14:paraId="533C5751" w14:textId="190169CE" w:rsidR="0057268D" w:rsidRPr="002B008A" w:rsidRDefault="00682ED6" w:rsidP="00E65A1E">
      <w:pPr>
        <w:tabs>
          <w:tab w:val="left" w:pos="6210"/>
        </w:tabs>
        <w:spacing w:after="0" w:line="360" w:lineRule="auto"/>
        <w:ind w:firstLine="426"/>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Dư nợ cho vay SXKD đối với KHCN tăng mạnh từ 403,17 tỷ đồng năm 2023 lên 702,79 tỷ đồng năm 2025, vượt xa tốc độ tăng trưởng của doanh số thu nợ. </w:t>
      </w:r>
      <w:r w:rsidR="00AD0071" w:rsidRPr="002B008A">
        <w:rPr>
          <w:rFonts w:ascii="Times New Roman" w:hAnsi="Times New Roman" w:cs="Times New Roman"/>
          <w:color w:val="000000" w:themeColor="text1"/>
          <w:sz w:val="26"/>
          <w:szCs w:val="26"/>
          <w:lang w:val="vi-VN"/>
        </w:rPr>
        <w:t>Diễn biến này cho thấy quy mô tín dụng mở rộng nhanh hơn khả năng thu hồi vốn, làm gia tăng áp lực quản lý dư nợ tại chi nhánh</w:t>
      </w:r>
      <w:r w:rsidRPr="002B008A">
        <w:rPr>
          <w:rFonts w:ascii="Times New Roman" w:hAnsi="Times New Roman" w:cs="Times New Roman"/>
          <w:color w:val="000000" w:themeColor="text1"/>
          <w:sz w:val="26"/>
          <w:szCs w:val="26"/>
          <w:lang w:val="vi-VN"/>
        </w:rPr>
        <w:t xml:space="preserve">. Trong cơ cấu, cho vay ngắn hạn vẫn chiếm tỷ trọng chủ đạo gần 70%, tuy nhiên dư nợ trung và dài hạn đã tăng lên 217,50 tỷ đồng, tương ứng 30,95% vào năm 2025. </w:t>
      </w:r>
      <w:r w:rsidR="0057268D" w:rsidRPr="002B008A">
        <w:rPr>
          <w:rFonts w:ascii="Times New Roman" w:hAnsi="Times New Roman" w:cs="Times New Roman"/>
          <w:color w:val="000000" w:themeColor="text1"/>
          <w:sz w:val="26"/>
          <w:szCs w:val="26"/>
          <w:lang w:val="vi-VN"/>
        </w:rPr>
        <w:t xml:space="preserve">Khi dòng tiền từ hoạt động kinh doanh chưa quay về kịp, </w:t>
      </w:r>
      <w:r w:rsidR="0057268D" w:rsidRPr="002B008A">
        <w:rPr>
          <w:rFonts w:ascii="Times New Roman" w:hAnsi="Times New Roman" w:cs="Times New Roman"/>
          <w:color w:val="000000" w:themeColor="text1"/>
          <w:sz w:val="26"/>
          <w:szCs w:val="26"/>
          <w:lang w:val="vi-VN"/>
        </w:rPr>
        <w:lastRenderedPageBreak/>
        <w:t>khách hàng phải tiếp tục sử dụng vốn vay để bù đắp thiếu hụt, đồng thời việc mở rộng đầu tư làm gia tăng tỷ trọng vốn dài hạn, từ đó làm giảm tốc độ luân chuyển vốn.</w:t>
      </w:r>
    </w:p>
    <w:p w14:paraId="27D44E86" w14:textId="3E95F529" w:rsidR="00535FB0" w:rsidRPr="002B008A" w:rsidRDefault="007A0011" w:rsidP="00E65A1E">
      <w:pPr>
        <w:tabs>
          <w:tab w:val="left" w:pos="6210"/>
        </w:tabs>
        <w:spacing w:after="0" w:line="360" w:lineRule="auto"/>
        <w:ind w:firstLine="426"/>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Về chất lượng tín dụng, nợ xấu trong cho vay SXKD đối với KHCN tại chi nhánh tăng từ 2,61 tỷ đồng năm 2023 lên 4,98 tỷ đồng năm 2025, trong khi tỷ lệ nợ xấu biến động từ 0,65% xuống 0,62% rồi tăng lên 0,71%, phản ánh chất lượng tín dụng chưa thực sự ổn định. Nợ xấu tập trung chủ yếu ở các khoản </w:t>
      </w:r>
      <w:r w:rsidR="00B9784C" w:rsidRPr="002B008A">
        <w:rPr>
          <w:rFonts w:ascii="Times New Roman" w:hAnsi="Times New Roman" w:cs="Times New Roman"/>
          <w:color w:val="000000" w:themeColor="text1"/>
          <w:sz w:val="26"/>
          <w:szCs w:val="26"/>
          <w:lang w:val="vi-VN"/>
        </w:rPr>
        <w:t xml:space="preserve">cho </w:t>
      </w:r>
      <w:r w:rsidRPr="002B008A">
        <w:rPr>
          <w:rFonts w:ascii="Times New Roman" w:hAnsi="Times New Roman" w:cs="Times New Roman"/>
          <w:color w:val="000000" w:themeColor="text1"/>
          <w:sz w:val="26"/>
          <w:szCs w:val="26"/>
          <w:lang w:val="vi-VN"/>
        </w:rPr>
        <w:t xml:space="preserve">vay ngắn hạn, chiếm khoảng 77%, cao hơn nhiều so với trung và dài hạn khoảng 23%. Nguyên nhân chủ yếu do các khoản </w:t>
      </w:r>
      <w:r w:rsidR="00B9784C" w:rsidRPr="002B008A">
        <w:rPr>
          <w:rFonts w:ascii="Times New Roman" w:hAnsi="Times New Roman" w:cs="Times New Roman"/>
          <w:color w:val="000000" w:themeColor="text1"/>
          <w:sz w:val="26"/>
          <w:szCs w:val="26"/>
          <w:lang w:val="vi-VN"/>
        </w:rPr>
        <w:t xml:space="preserve">cho </w:t>
      </w:r>
      <w:r w:rsidRPr="002B008A">
        <w:rPr>
          <w:rFonts w:ascii="Times New Roman" w:hAnsi="Times New Roman" w:cs="Times New Roman"/>
          <w:color w:val="000000" w:themeColor="text1"/>
          <w:sz w:val="26"/>
          <w:szCs w:val="26"/>
          <w:lang w:val="vi-VN"/>
        </w:rPr>
        <w:t>vay này phụ thuộc trực tiếp vào dòng tiền kinh doanh ngắn hạn, trong khi khả năng tạo dòng tiền của KHCN thường chịu tác động nhanh từ biến động thị trường và sức mua tiêu dùng. KHCN cũng thường ưu tiên sử dụng dòng tiền để tái đầu tư hàng hóa nhằm duy trì khả năng xoay vòng vốn nên việc trả nợ trong một số trường hợp chưa đúng tiến độ. Vì vậy khi hàng tồn kho luân chuyển chậm hoặc công nợ kéo dài, khả năng thanh toán của khách hàng sẽ suy giảm, từ đó làm gia tăng nguy cơ phát sinh nợ quá hạn. Ngoài ra, công tác giám sát các khoản</w:t>
      </w:r>
      <w:r w:rsidR="00B9784C" w:rsidRPr="002B008A">
        <w:rPr>
          <w:rFonts w:ascii="Times New Roman" w:hAnsi="Times New Roman" w:cs="Times New Roman"/>
          <w:color w:val="000000" w:themeColor="text1"/>
          <w:sz w:val="26"/>
          <w:szCs w:val="26"/>
          <w:lang w:val="vi-VN"/>
        </w:rPr>
        <w:t xml:space="preserve"> cho</w:t>
      </w:r>
      <w:r w:rsidRPr="002B008A">
        <w:rPr>
          <w:rFonts w:ascii="Times New Roman" w:hAnsi="Times New Roman" w:cs="Times New Roman"/>
          <w:color w:val="000000" w:themeColor="text1"/>
          <w:sz w:val="26"/>
          <w:szCs w:val="26"/>
          <w:lang w:val="vi-VN"/>
        </w:rPr>
        <w:t xml:space="preserve"> vay nhỏ lẻ còn gặp nhiều khó khăn do số lượng khách hàng lớn và phân tán ở nhiều ngành nghề kinh doanh khác nhau, làm áp lực quản lý và kiểm soát rủi ro tín dụng tại chi nhánh ngày càng lớn hơn.</w:t>
      </w:r>
    </w:p>
    <w:p w14:paraId="3B98CBAB" w14:textId="6851DE91" w:rsidR="00E65A1E" w:rsidRPr="002B008A" w:rsidRDefault="00E65A1E" w:rsidP="00E65A1E">
      <w:pPr>
        <w:tabs>
          <w:tab w:val="left" w:pos="6210"/>
        </w:tabs>
        <w:spacing w:after="0" w:line="360" w:lineRule="auto"/>
        <w:ind w:firstLine="426"/>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Nhìn chung, cho vay SXKD đối với KHCN vẫn tăng trưởng mạnh về quy mô nhưng hiệu quả chưa thực sự tương xứng. Việc tỷ lệ thu nợ giảm, dư nợ tăng nhanh hơn thu nợ và nợ xấu gia tăng phản ánh sự lệch pha giữa tốc độ mở rộng tín dụng và khả năng tạo dòng tiền của khách hàng. Nếu không được kiểm soát chặt chẽ, rủi ro tín dụng có thể tiếp tục tích lũy và gia tăng trong trung và dài hạn.</w:t>
      </w:r>
    </w:p>
    <w:p w14:paraId="75247E59" w14:textId="4D2FA608" w:rsidR="0001033E" w:rsidRPr="002B008A" w:rsidRDefault="0001033E" w:rsidP="004E66A4">
      <w:pPr>
        <w:pStyle w:val="ListParagraph"/>
        <w:numPr>
          <w:ilvl w:val="0"/>
          <w:numId w:val="4"/>
        </w:numPr>
        <w:tabs>
          <w:tab w:val="left" w:pos="851"/>
        </w:tabs>
        <w:spacing w:after="0" w:line="360" w:lineRule="auto"/>
        <w:ind w:left="0" w:firstLine="567"/>
        <w:jc w:val="both"/>
        <w:rPr>
          <w:rFonts w:ascii="Times New Roman" w:hAnsi="Times New Roman" w:cs="Times New Roman"/>
          <w:b/>
          <w:bCs/>
          <w:color w:val="000000" w:themeColor="text1"/>
          <w:sz w:val="26"/>
          <w:szCs w:val="26"/>
          <w:lang w:val="vi-VN"/>
        </w:rPr>
      </w:pPr>
      <w:r w:rsidRPr="002B008A">
        <w:rPr>
          <w:rFonts w:ascii="Times New Roman" w:hAnsi="Times New Roman" w:cs="Times New Roman"/>
          <w:b/>
          <w:bCs/>
          <w:color w:val="000000" w:themeColor="text1"/>
          <w:sz w:val="26"/>
          <w:szCs w:val="26"/>
          <w:lang w:val="vi-VN"/>
        </w:rPr>
        <w:t xml:space="preserve">Tình hình hoạt động cho vay sản xuất kinh doanh đối với khách hàng cá nhân phân phân mục đích tại Ngân hàng TMCP Quân đội – Chi nhánh Đà </w:t>
      </w:r>
      <w:r w:rsidR="00BE2DA5" w:rsidRPr="002B008A">
        <w:rPr>
          <w:rFonts w:ascii="Times New Roman" w:hAnsi="Times New Roman" w:cs="Times New Roman"/>
          <w:b/>
          <w:bCs/>
          <w:color w:val="000000" w:themeColor="text1"/>
          <w:sz w:val="26"/>
          <w:szCs w:val="26"/>
          <w:lang w:val="vi-VN"/>
        </w:rPr>
        <w:t>Nẵng.</w:t>
      </w:r>
    </w:p>
    <w:p w14:paraId="14101A37" w14:textId="28138238" w:rsidR="0001033E" w:rsidRPr="002B008A" w:rsidRDefault="0001033E" w:rsidP="0001033E">
      <w:pPr>
        <w:tabs>
          <w:tab w:val="left" w:pos="6210"/>
        </w:tabs>
        <w:spacing w:after="0" w:line="360" w:lineRule="auto"/>
        <w:ind w:firstLine="567"/>
        <w:jc w:val="both"/>
        <w:rPr>
          <w:rFonts w:ascii="Times New Roman" w:hAnsi="Times New Roman" w:cs="Times New Roman"/>
          <w:color w:val="000000" w:themeColor="text1"/>
          <w:sz w:val="26"/>
          <w:szCs w:val="26"/>
          <w:lang w:val="vi-VN"/>
        </w:rPr>
        <w:sectPr w:rsidR="0001033E" w:rsidRPr="002B008A" w:rsidSect="009E0361">
          <w:pgSz w:w="11906" w:h="16838" w:code="9"/>
          <w:pgMar w:top="1134" w:right="1134" w:bottom="1134" w:left="1701" w:header="720" w:footer="720" w:gutter="0"/>
          <w:cols w:space="720"/>
          <w:docGrid w:linePitch="360"/>
        </w:sectPr>
      </w:pPr>
      <w:r w:rsidRPr="002B008A">
        <w:rPr>
          <w:rFonts w:ascii="Times New Roman" w:hAnsi="Times New Roman" w:cs="Times New Roman"/>
          <w:color w:val="000000" w:themeColor="text1"/>
          <w:sz w:val="26"/>
          <w:szCs w:val="26"/>
          <w:lang w:val="vi-VN"/>
        </w:rPr>
        <w:t xml:space="preserve">Mỗi mục đích vay vốn sẽ có đặc điểm và mức độ rủi ro khác nhau, vì vậy cơ cấu cho vay theo mục đích cũng phản ánh khá rõ định hướng tín dụng của ngân hàng. Dựa vào bảng số liệu trên, có thể thấy trong giai đoạn 2023–2025, hoạt động cho vay </w:t>
      </w:r>
      <w:r w:rsidR="000F71E3" w:rsidRPr="002B008A">
        <w:rPr>
          <w:rFonts w:ascii="Times New Roman" w:hAnsi="Times New Roman" w:cs="Times New Roman"/>
          <w:color w:val="000000" w:themeColor="text1"/>
          <w:sz w:val="26"/>
          <w:szCs w:val="26"/>
          <w:lang w:val="vi-VN"/>
        </w:rPr>
        <w:t xml:space="preserve">SXKD đối với KHCN </w:t>
      </w:r>
      <w:r w:rsidRPr="002B008A">
        <w:rPr>
          <w:rFonts w:ascii="Times New Roman" w:hAnsi="Times New Roman" w:cs="Times New Roman"/>
          <w:color w:val="000000" w:themeColor="text1"/>
          <w:sz w:val="26"/>
          <w:szCs w:val="26"/>
          <w:lang w:val="vi-VN"/>
        </w:rPr>
        <w:t>có sự thay đổi giữa các mục đích vay thông qua các chỉ tiêu như doanh số cho vay, thu nợ, dư nợ và nợ xấu. Qua đó cho thấy cách phân bổ nguồn vốn cũng như hiệu quả sử dụng vốn ở từng nhóm mục đích vay.</w:t>
      </w:r>
    </w:p>
    <w:p w14:paraId="11B73396" w14:textId="2A59F395" w:rsidR="0001033E" w:rsidRPr="00545BE9" w:rsidRDefault="00EB0E27" w:rsidP="00EB0E27">
      <w:pPr>
        <w:pStyle w:val="Caption"/>
        <w:jc w:val="center"/>
        <w:rPr>
          <w:rFonts w:ascii="Times New Roman" w:hAnsi="Times New Roman" w:cs="Times New Roman"/>
          <w:b/>
          <w:bCs/>
          <w:i w:val="0"/>
          <w:iCs w:val="0"/>
          <w:color w:val="000000" w:themeColor="text1"/>
          <w:sz w:val="26"/>
          <w:szCs w:val="26"/>
          <w:lang w:val="vi-VN"/>
        </w:rPr>
      </w:pPr>
      <w:bookmarkStart w:id="55" w:name="_Toc230367583"/>
      <w:r w:rsidRPr="00545BE9">
        <w:rPr>
          <w:rFonts w:ascii="Times New Roman" w:hAnsi="Times New Roman" w:cs="Times New Roman"/>
          <w:b/>
          <w:bCs/>
          <w:i w:val="0"/>
          <w:iCs w:val="0"/>
          <w:color w:val="000000" w:themeColor="text1"/>
          <w:sz w:val="26"/>
          <w:szCs w:val="26"/>
          <w:lang w:val="vi-VN"/>
        </w:rPr>
        <w:lastRenderedPageBreak/>
        <w:t>Bảng 2.</w:t>
      </w:r>
      <w:r w:rsidRPr="002B008A">
        <w:rPr>
          <w:rFonts w:ascii="Times New Roman" w:hAnsi="Times New Roman" w:cs="Times New Roman"/>
          <w:b/>
          <w:bCs/>
          <w:i w:val="0"/>
          <w:iCs w:val="0"/>
          <w:color w:val="000000" w:themeColor="text1"/>
          <w:sz w:val="26"/>
          <w:szCs w:val="26"/>
        </w:rPr>
        <w:fldChar w:fldCharType="begin"/>
      </w:r>
      <w:r w:rsidRPr="00545BE9">
        <w:rPr>
          <w:rFonts w:ascii="Times New Roman" w:hAnsi="Times New Roman" w:cs="Times New Roman"/>
          <w:b/>
          <w:bCs/>
          <w:i w:val="0"/>
          <w:iCs w:val="0"/>
          <w:color w:val="000000" w:themeColor="text1"/>
          <w:sz w:val="26"/>
          <w:szCs w:val="26"/>
          <w:lang w:val="vi-VN"/>
        </w:rPr>
        <w:instrText xml:space="preserve"> SEQ Bảng_2. \* ARABIC </w:instrText>
      </w:r>
      <w:r w:rsidRPr="002B008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7</w:t>
      </w:r>
      <w:r w:rsidRPr="002B008A">
        <w:rPr>
          <w:rFonts w:ascii="Times New Roman" w:hAnsi="Times New Roman" w:cs="Times New Roman"/>
          <w:b/>
          <w:bCs/>
          <w:i w:val="0"/>
          <w:iCs w:val="0"/>
          <w:color w:val="000000" w:themeColor="text1"/>
          <w:sz w:val="26"/>
          <w:szCs w:val="26"/>
        </w:rPr>
        <w:fldChar w:fldCharType="end"/>
      </w:r>
      <w:r w:rsidR="00882F4F" w:rsidRPr="00545BE9">
        <w:rPr>
          <w:rFonts w:ascii="Times New Roman" w:hAnsi="Times New Roman" w:cs="Times New Roman"/>
          <w:b/>
          <w:bCs/>
          <w:i w:val="0"/>
          <w:iCs w:val="0"/>
          <w:color w:val="000000" w:themeColor="text1"/>
          <w:sz w:val="26"/>
          <w:szCs w:val="26"/>
          <w:lang w:val="vi-VN"/>
        </w:rPr>
        <w:t xml:space="preserve"> </w:t>
      </w:r>
      <w:r w:rsidR="0001033E" w:rsidRPr="002B008A">
        <w:rPr>
          <w:rFonts w:ascii="Times New Roman" w:hAnsi="Times New Roman" w:cs="Times New Roman"/>
          <w:b/>
          <w:bCs/>
          <w:i w:val="0"/>
          <w:iCs w:val="0"/>
          <w:color w:val="000000" w:themeColor="text1"/>
          <w:sz w:val="26"/>
          <w:szCs w:val="26"/>
          <w:lang w:val="vi-VN"/>
        </w:rPr>
        <w:t xml:space="preserve">Tình hình hoạt động cho vay sản xuất kinh doanh đối với khách hàng cá nhân phân theo mục đích tại Ngân hàng TMCP Quân đội – Chi nhánh Đà </w:t>
      </w:r>
      <w:r w:rsidR="00BE2DA5" w:rsidRPr="002B008A">
        <w:rPr>
          <w:rFonts w:ascii="Times New Roman" w:hAnsi="Times New Roman" w:cs="Times New Roman"/>
          <w:b/>
          <w:bCs/>
          <w:i w:val="0"/>
          <w:iCs w:val="0"/>
          <w:color w:val="000000" w:themeColor="text1"/>
          <w:sz w:val="26"/>
          <w:szCs w:val="26"/>
          <w:lang w:val="vi-VN"/>
        </w:rPr>
        <w:t>Nẵng.</w:t>
      </w:r>
      <w:bookmarkEnd w:id="55"/>
    </w:p>
    <w:p w14:paraId="69541AFF" w14:textId="62E83438" w:rsidR="009E0361" w:rsidRPr="009E0361" w:rsidRDefault="0001033E" w:rsidP="009E0361">
      <w:pPr>
        <w:tabs>
          <w:tab w:val="left" w:pos="6210"/>
        </w:tabs>
        <w:spacing w:after="0" w:line="312" w:lineRule="auto"/>
        <w:ind w:firstLine="567"/>
        <w:jc w:val="right"/>
        <w:rPr>
          <w:rFonts w:ascii="Times New Roman" w:hAnsi="Times New Roman" w:cs="Times New Roman"/>
          <w:i/>
          <w:iCs/>
          <w:color w:val="000000" w:themeColor="text1"/>
          <w:sz w:val="26"/>
          <w:szCs w:val="26"/>
          <w:lang w:val="vi-VN"/>
        </w:rPr>
      </w:pPr>
      <w:r w:rsidRPr="002B008A">
        <w:rPr>
          <w:rFonts w:ascii="Times New Roman" w:hAnsi="Times New Roman" w:cs="Times New Roman"/>
          <w:i/>
          <w:iCs/>
          <w:color w:val="000000" w:themeColor="text1"/>
          <w:sz w:val="26"/>
          <w:szCs w:val="26"/>
          <w:lang w:val="vi-VN"/>
        </w:rPr>
        <w:t>Đ</w:t>
      </w:r>
      <w:r w:rsidR="00EF0259" w:rsidRPr="002B008A">
        <w:rPr>
          <w:rFonts w:ascii="Times New Roman" w:hAnsi="Times New Roman" w:cs="Times New Roman"/>
          <w:i/>
          <w:iCs/>
          <w:color w:val="000000" w:themeColor="text1"/>
          <w:sz w:val="26"/>
          <w:szCs w:val="26"/>
        </w:rPr>
        <w:t>ơn vị tính</w:t>
      </w:r>
      <w:r w:rsidRPr="002B008A">
        <w:rPr>
          <w:rFonts w:ascii="Times New Roman" w:hAnsi="Times New Roman" w:cs="Times New Roman"/>
          <w:i/>
          <w:iCs/>
          <w:color w:val="000000" w:themeColor="text1"/>
          <w:sz w:val="26"/>
          <w:szCs w:val="26"/>
          <w:lang w:val="vi-VN"/>
        </w:rPr>
        <w:t>: Tỷ đồng</w:t>
      </w:r>
    </w:p>
    <w:tbl>
      <w:tblPr>
        <w:tblW w:w="13941" w:type="dxa"/>
        <w:tblLayout w:type="fixed"/>
        <w:tblLook w:val="04A0" w:firstRow="1" w:lastRow="0" w:firstColumn="1" w:lastColumn="0" w:noHBand="0" w:noVBand="1"/>
      </w:tblPr>
      <w:tblGrid>
        <w:gridCol w:w="4047"/>
        <w:gridCol w:w="945"/>
        <w:gridCol w:w="1049"/>
        <w:gridCol w:w="1034"/>
        <w:gridCol w:w="960"/>
        <w:gridCol w:w="1122"/>
        <w:gridCol w:w="872"/>
        <w:gridCol w:w="1071"/>
        <w:gridCol w:w="880"/>
        <w:gridCol w:w="925"/>
        <w:gridCol w:w="1036"/>
      </w:tblGrid>
      <w:tr w:rsidR="009E0361" w:rsidRPr="00545BE9" w14:paraId="519A0660" w14:textId="77777777" w:rsidTr="00545BE9">
        <w:trPr>
          <w:trHeight w:val="234"/>
        </w:trPr>
        <w:tc>
          <w:tcPr>
            <w:tcW w:w="4047"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0E92ED13"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Chỉ tiêu</w:t>
            </w:r>
          </w:p>
        </w:tc>
        <w:tc>
          <w:tcPr>
            <w:tcW w:w="1994"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359DBB42"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Năm 2023</w:t>
            </w:r>
          </w:p>
        </w:tc>
        <w:tc>
          <w:tcPr>
            <w:tcW w:w="1994"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7F25A625"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Năm 2024</w:t>
            </w:r>
          </w:p>
        </w:tc>
        <w:tc>
          <w:tcPr>
            <w:tcW w:w="1994"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6263CB1B"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Năm 2025</w:t>
            </w:r>
          </w:p>
        </w:tc>
        <w:tc>
          <w:tcPr>
            <w:tcW w:w="1951"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2973B9C7"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Chênh lệch 2024/2023</w:t>
            </w:r>
          </w:p>
        </w:tc>
        <w:tc>
          <w:tcPr>
            <w:tcW w:w="1961"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57AAE181"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Chênh lệch 2025/2024</w:t>
            </w:r>
          </w:p>
        </w:tc>
      </w:tr>
      <w:tr w:rsidR="009E0361" w:rsidRPr="00545BE9" w14:paraId="3D253203" w14:textId="77777777" w:rsidTr="00545BE9">
        <w:trPr>
          <w:trHeight w:val="234"/>
        </w:trPr>
        <w:tc>
          <w:tcPr>
            <w:tcW w:w="4047" w:type="dxa"/>
            <w:vMerge/>
            <w:tcBorders>
              <w:top w:val="single" w:sz="4" w:space="0" w:color="auto"/>
              <w:left w:val="single" w:sz="4" w:space="0" w:color="auto"/>
              <w:bottom w:val="single" w:sz="4" w:space="0" w:color="000000"/>
              <w:right w:val="single" w:sz="4" w:space="0" w:color="auto"/>
            </w:tcBorders>
            <w:vAlign w:val="center"/>
            <w:hideMark/>
          </w:tcPr>
          <w:p w14:paraId="1CF37C06"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p>
        </w:tc>
        <w:tc>
          <w:tcPr>
            <w:tcW w:w="945" w:type="dxa"/>
            <w:tcBorders>
              <w:top w:val="nil"/>
              <w:left w:val="nil"/>
              <w:bottom w:val="single" w:sz="4" w:space="0" w:color="auto"/>
              <w:right w:val="single" w:sz="4" w:space="0" w:color="auto"/>
            </w:tcBorders>
            <w:shd w:val="clear" w:color="000000" w:fill="DDEBF7"/>
            <w:noWrap/>
            <w:vAlign w:val="center"/>
            <w:hideMark/>
          </w:tcPr>
          <w:p w14:paraId="43E9C247"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Số tiền</w:t>
            </w:r>
          </w:p>
        </w:tc>
        <w:tc>
          <w:tcPr>
            <w:tcW w:w="1048" w:type="dxa"/>
            <w:tcBorders>
              <w:top w:val="nil"/>
              <w:left w:val="nil"/>
              <w:bottom w:val="single" w:sz="4" w:space="0" w:color="auto"/>
              <w:right w:val="single" w:sz="4" w:space="0" w:color="auto"/>
            </w:tcBorders>
            <w:shd w:val="clear" w:color="000000" w:fill="DDEBF7"/>
            <w:noWrap/>
            <w:vAlign w:val="center"/>
            <w:hideMark/>
          </w:tcPr>
          <w:p w14:paraId="79CEFE4C"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Tỷ trọng (%)</w:t>
            </w:r>
          </w:p>
        </w:tc>
        <w:tc>
          <w:tcPr>
            <w:tcW w:w="1034" w:type="dxa"/>
            <w:tcBorders>
              <w:top w:val="nil"/>
              <w:left w:val="nil"/>
              <w:bottom w:val="single" w:sz="4" w:space="0" w:color="auto"/>
              <w:right w:val="single" w:sz="4" w:space="0" w:color="auto"/>
            </w:tcBorders>
            <w:shd w:val="clear" w:color="000000" w:fill="DDEBF7"/>
            <w:noWrap/>
            <w:vAlign w:val="center"/>
            <w:hideMark/>
          </w:tcPr>
          <w:p w14:paraId="14FEA804"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Số tiền</w:t>
            </w:r>
          </w:p>
        </w:tc>
        <w:tc>
          <w:tcPr>
            <w:tcW w:w="959" w:type="dxa"/>
            <w:tcBorders>
              <w:top w:val="nil"/>
              <w:left w:val="nil"/>
              <w:bottom w:val="single" w:sz="4" w:space="0" w:color="auto"/>
              <w:right w:val="single" w:sz="4" w:space="0" w:color="auto"/>
            </w:tcBorders>
            <w:shd w:val="clear" w:color="000000" w:fill="DDEBF7"/>
            <w:noWrap/>
            <w:vAlign w:val="center"/>
            <w:hideMark/>
          </w:tcPr>
          <w:p w14:paraId="0880656B"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Tỷ trọng (%)</w:t>
            </w:r>
          </w:p>
        </w:tc>
        <w:tc>
          <w:tcPr>
            <w:tcW w:w="1122" w:type="dxa"/>
            <w:tcBorders>
              <w:top w:val="nil"/>
              <w:left w:val="nil"/>
              <w:bottom w:val="single" w:sz="4" w:space="0" w:color="auto"/>
              <w:right w:val="single" w:sz="4" w:space="0" w:color="auto"/>
            </w:tcBorders>
            <w:shd w:val="clear" w:color="000000" w:fill="DDEBF7"/>
            <w:noWrap/>
            <w:vAlign w:val="center"/>
            <w:hideMark/>
          </w:tcPr>
          <w:p w14:paraId="40BF63AE"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Số tiền</w:t>
            </w:r>
          </w:p>
        </w:tc>
        <w:tc>
          <w:tcPr>
            <w:tcW w:w="871" w:type="dxa"/>
            <w:tcBorders>
              <w:top w:val="nil"/>
              <w:left w:val="nil"/>
              <w:bottom w:val="single" w:sz="4" w:space="0" w:color="auto"/>
              <w:right w:val="single" w:sz="4" w:space="0" w:color="auto"/>
            </w:tcBorders>
            <w:shd w:val="clear" w:color="000000" w:fill="DDEBF7"/>
            <w:noWrap/>
            <w:vAlign w:val="center"/>
            <w:hideMark/>
          </w:tcPr>
          <w:p w14:paraId="095FF1B1"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Tỷ trọng (%)</w:t>
            </w:r>
          </w:p>
        </w:tc>
        <w:tc>
          <w:tcPr>
            <w:tcW w:w="1071" w:type="dxa"/>
            <w:tcBorders>
              <w:top w:val="nil"/>
              <w:left w:val="nil"/>
              <w:bottom w:val="single" w:sz="4" w:space="0" w:color="auto"/>
              <w:right w:val="single" w:sz="4" w:space="0" w:color="auto"/>
            </w:tcBorders>
            <w:shd w:val="clear" w:color="000000" w:fill="DDEBF7"/>
            <w:noWrap/>
            <w:vAlign w:val="center"/>
            <w:hideMark/>
          </w:tcPr>
          <w:p w14:paraId="40C7C0DC"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Số tiền</w:t>
            </w:r>
          </w:p>
        </w:tc>
        <w:tc>
          <w:tcPr>
            <w:tcW w:w="879" w:type="dxa"/>
            <w:tcBorders>
              <w:top w:val="nil"/>
              <w:left w:val="nil"/>
              <w:bottom w:val="single" w:sz="4" w:space="0" w:color="auto"/>
              <w:right w:val="single" w:sz="4" w:space="0" w:color="auto"/>
            </w:tcBorders>
            <w:shd w:val="clear" w:color="000000" w:fill="DDEBF7"/>
            <w:noWrap/>
            <w:vAlign w:val="center"/>
            <w:hideMark/>
          </w:tcPr>
          <w:p w14:paraId="4A3E7C2E"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Tỷ lệ (%)</w:t>
            </w:r>
          </w:p>
        </w:tc>
        <w:tc>
          <w:tcPr>
            <w:tcW w:w="925" w:type="dxa"/>
            <w:tcBorders>
              <w:top w:val="nil"/>
              <w:left w:val="nil"/>
              <w:bottom w:val="single" w:sz="4" w:space="0" w:color="auto"/>
              <w:right w:val="single" w:sz="4" w:space="0" w:color="auto"/>
            </w:tcBorders>
            <w:shd w:val="clear" w:color="000000" w:fill="DDEBF7"/>
            <w:noWrap/>
            <w:vAlign w:val="center"/>
            <w:hideMark/>
          </w:tcPr>
          <w:p w14:paraId="5A2EDCC2"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Số tiền</w:t>
            </w:r>
          </w:p>
        </w:tc>
        <w:tc>
          <w:tcPr>
            <w:tcW w:w="1036" w:type="dxa"/>
            <w:tcBorders>
              <w:top w:val="nil"/>
              <w:left w:val="nil"/>
              <w:bottom w:val="single" w:sz="4" w:space="0" w:color="auto"/>
              <w:right w:val="single" w:sz="4" w:space="0" w:color="auto"/>
            </w:tcBorders>
            <w:shd w:val="clear" w:color="000000" w:fill="DDEBF7"/>
            <w:noWrap/>
            <w:vAlign w:val="center"/>
            <w:hideMark/>
          </w:tcPr>
          <w:p w14:paraId="52D7D578" w14:textId="77777777" w:rsidR="009E0361" w:rsidRPr="00545BE9" w:rsidRDefault="009E0361"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Tỷ lệ (%)</w:t>
            </w:r>
          </w:p>
        </w:tc>
      </w:tr>
      <w:tr w:rsidR="009E0361" w:rsidRPr="00545BE9" w14:paraId="1715FD7A"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56FC79A0" w14:textId="26EF3681" w:rsidR="009E0361" w:rsidRPr="00545BE9" w:rsidRDefault="009E0361" w:rsidP="009E0361">
            <w:pPr>
              <w:spacing w:after="0" w:line="240" w:lineRule="auto"/>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1. Doanh số cho vay SXKD đối với KHCN</w:t>
            </w:r>
          </w:p>
        </w:tc>
        <w:tc>
          <w:tcPr>
            <w:tcW w:w="945" w:type="dxa"/>
            <w:tcBorders>
              <w:top w:val="single" w:sz="4" w:space="0" w:color="auto"/>
              <w:left w:val="single" w:sz="4" w:space="0" w:color="auto"/>
              <w:bottom w:val="single" w:sz="4" w:space="0" w:color="auto"/>
              <w:right w:val="single" w:sz="4" w:space="0" w:color="auto"/>
            </w:tcBorders>
            <w:noWrap/>
            <w:vAlign w:val="center"/>
            <w:hideMark/>
          </w:tcPr>
          <w:p w14:paraId="2ED2D57A" w14:textId="5D17577A"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308,61</w:t>
            </w:r>
          </w:p>
        </w:tc>
        <w:tc>
          <w:tcPr>
            <w:tcW w:w="1048" w:type="dxa"/>
            <w:tcBorders>
              <w:top w:val="single" w:sz="4" w:space="0" w:color="auto"/>
              <w:left w:val="nil"/>
              <w:bottom w:val="single" w:sz="4" w:space="0" w:color="auto"/>
              <w:right w:val="single" w:sz="4" w:space="0" w:color="auto"/>
            </w:tcBorders>
            <w:noWrap/>
            <w:vAlign w:val="center"/>
            <w:hideMark/>
          </w:tcPr>
          <w:p w14:paraId="695487CD" w14:textId="504D1BF2"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034" w:type="dxa"/>
            <w:tcBorders>
              <w:top w:val="single" w:sz="4" w:space="0" w:color="auto"/>
              <w:left w:val="nil"/>
              <w:bottom w:val="single" w:sz="4" w:space="0" w:color="auto"/>
              <w:right w:val="single" w:sz="4" w:space="0" w:color="auto"/>
            </w:tcBorders>
            <w:noWrap/>
            <w:vAlign w:val="center"/>
            <w:hideMark/>
          </w:tcPr>
          <w:p w14:paraId="6AEAC58C" w14:textId="64ABBB14"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417,28</w:t>
            </w:r>
          </w:p>
        </w:tc>
        <w:tc>
          <w:tcPr>
            <w:tcW w:w="959" w:type="dxa"/>
            <w:tcBorders>
              <w:top w:val="single" w:sz="4" w:space="0" w:color="auto"/>
              <w:left w:val="nil"/>
              <w:bottom w:val="single" w:sz="4" w:space="0" w:color="auto"/>
              <w:right w:val="single" w:sz="4" w:space="0" w:color="auto"/>
            </w:tcBorders>
            <w:noWrap/>
            <w:vAlign w:val="center"/>
            <w:hideMark/>
          </w:tcPr>
          <w:p w14:paraId="4BA97249" w14:textId="23498158"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122" w:type="dxa"/>
            <w:tcBorders>
              <w:top w:val="single" w:sz="4" w:space="0" w:color="auto"/>
              <w:left w:val="nil"/>
              <w:bottom w:val="single" w:sz="4" w:space="0" w:color="auto"/>
              <w:right w:val="single" w:sz="4" w:space="0" w:color="auto"/>
            </w:tcBorders>
            <w:noWrap/>
            <w:vAlign w:val="center"/>
            <w:hideMark/>
          </w:tcPr>
          <w:p w14:paraId="3E92400C" w14:textId="0655429F"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512,73</w:t>
            </w:r>
          </w:p>
        </w:tc>
        <w:tc>
          <w:tcPr>
            <w:tcW w:w="871" w:type="dxa"/>
            <w:tcBorders>
              <w:top w:val="single" w:sz="4" w:space="0" w:color="auto"/>
              <w:left w:val="nil"/>
              <w:bottom w:val="single" w:sz="4" w:space="0" w:color="auto"/>
              <w:right w:val="single" w:sz="4" w:space="0" w:color="auto"/>
            </w:tcBorders>
            <w:noWrap/>
            <w:vAlign w:val="center"/>
            <w:hideMark/>
          </w:tcPr>
          <w:p w14:paraId="0BAFEAEC" w14:textId="0A4F6703"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071" w:type="dxa"/>
            <w:tcBorders>
              <w:top w:val="single" w:sz="4" w:space="0" w:color="auto"/>
              <w:left w:val="nil"/>
              <w:bottom w:val="single" w:sz="4" w:space="0" w:color="auto"/>
              <w:right w:val="single" w:sz="4" w:space="0" w:color="auto"/>
            </w:tcBorders>
            <w:noWrap/>
            <w:vAlign w:val="center"/>
            <w:hideMark/>
          </w:tcPr>
          <w:p w14:paraId="76D41C0C" w14:textId="717A8A28"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108,67</w:t>
            </w:r>
          </w:p>
        </w:tc>
        <w:tc>
          <w:tcPr>
            <w:tcW w:w="879" w:type="dxa"/>
            <w:tcBorders>
              <w:top w:val="single" w:sz="4" w:space="0" w:color="auto"/>
              <w:left w:val="nil"/>
              <w:bottom w:val="single" w:sz="4" w:space="0" w:color="auto"/>
              <w:right w:val="single" w:sz="4" w:space="0" w:color="auto"/>
            </w:tcBorders>
            <w:noWrap/>
            <w:vAlign w:val="center"/>
            <w:hideMark/>
          </w:tcPr>
          <w:p w14:paraId="42450107" w14:textId="4996A126"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35,21</w:t>
            </w:r>
          </w:p>
        </w:tc>
        <w:tc>
          <w:tcPr>
            <w:tcW w:w="925" w:type="dxa"/>
            <w:tcBorders>
              <w:top w:val="single" w:sz="4" w:space="0" w:color="auto"/>
              <w:left w:val="nil"/>
              <w:bottom w:val="single" w:sz="4" w:space="0" w:color="auto"/>
              <w:right w:val="single" w:sz="4" w:space="0" w:color="auto"/>
            </w:tcBorders>
            <w:noWrap/>
            <w:vAlign w:val="center"/>
            <w:hideMark/>
          </w:tcPr>
          <w:p w14:paraId="6C454F5E" w14:textId="4B32A44C"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95,45</w:t>
            </w:r>
          </w:p>
        </w:tc>
        <w:tc>
          <w:tcPr>
            <w:tcW w:w="1036" w:type="dxa"/>
            <w:tcBorders>
              <w:top w:val="single" w:sz="4" w:space="0" w:color="auto"/>
              <w:left w:val="nil"/>
              <w:bottom w:val="single" w:sz="4" w:space="0" w:color="auto"/>
              <w:right w:val="single" w:sz="4" w:space="0" w:color="auto"/>
            </w:tcBorders>
            <w:noWrap/>
            <w:vAlign w:val="center"/>
            <w:hideMark/>
          </w:tcPr>
          <w:p w14:paraId="3A02C395" w14:textId="54EDE4AA"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22,87</w:t>
            </w:r>
          </w:p>
        </w:tc>
      </w:tr>
      <w:tr w:rsidR="009E0361" w:rsidRPr="00545BE9" w14:paraId="73246725"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41A9FCB3" w14:textId="3305AAF1"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 xml:space="preserve">Cho vay </w:t>
            </w:r>
            <w:r w:rsidRPr="00545BE9">
              <w:rPr>
                <w:rFonts w:ascii="Times New Roman" w:hAnsi="Times New Roman" w:cs="Times New Roman"/>
                <w:sz w:val="26"/>
                <w:szCs w:val="26"/>
              </w:rPr>
              <w:t xml:space="preserve"> </w:t>
            </w:r>
            <w:r w:rsidRPr="00545BE9">
              <w:rPr>
                <w:rFonts w:ascii="Times New Roman" w:eastAsia="Times New Roman" w:hAnsi="Times New Roman" w:cs="Times New Roman"/>
                <w:color w:val="000000"/>
                <w:kern w:val="0"/>
                <w:sz w:val="26"/>
                <w:szCs w:val="26"/>
                <w:lang w:eastAsia="zh-CN"/>
                <w14:ligatures w14:val="none"/>
              </w:rPr>
              <w:t>bổ sung vốn lưu động</w:t>
            </w:r>
          </w:p>
        </w:tc>
        <w:tc>
          <w:tcPr>
            <w:tcW w:w="945" w:type="dxa"/>
            <w:tcBorders>
              <w:top w:val="nil"/>
              <w:left w:val="single" w:sz="4" w:space="0" w:color="auto"/>
              <w:bottom w:val="single" w:sz="4" w:space="0" w:color="auto"/>
              <w:right w:val="single" w:sz="4" w:space="0" w:color="auto"/>
            </w:tcBorders>
            <w:noWrap/>
            <w:vAlign w:val="center"/>
            <w:hideMark/>
          </w:tcPr>
          <w:p w14:paraId="31502E87" w14:textId="173B4AB4"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545BE9">
              <w:rPr>
                <w:rFonts w:ascii="Times New Roman" w:hAnsi="Times New Roman" w:cs="Times New Roman"/>
                <w:color w:val="000000"/>
                <w:sz w:val="26"/>
                <w:szCs w:val="26"/>
              </w:rPr>
              <w:t>226,66</w:t>
            </w:r>
          </w:p>
        </w:tc>
        <w:tc>
          <w:tcPr>
            <w:tcW w:w="1048" w:type="dxa"/>
            <w:tcBorders>
              <w:top w:val="nil"/>
              <w:left w:val="nil"/>
              <w:bottom w:val="single" w:sz="4" w:space="0" w:color="auto"/>
              <w:right w:val="single" w:sz="4" w:space="0" w:color="auto"/>
            </w:tcBorders>
            <w:noWrap/>
            <w:vAlign w:val="center"/>
            <w:hideMark/>
          </w:tcPr>
          <w:p w14:paraId="6C15C02A" w14:textId="1406FB11"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73,45</w:t>
            </w:r>
          </w:p>
        </w:tc>
        <w:tc>
          <w:tcPr>
            <w:tcW w:w="1034" w:type="dxa"/>
            <w:tcBorders>
              <w:top w:val="nil"/>
              <w:left w:val="nil"/>
              <w:bottom w:val="single" w:sz="4" w:space="0" w:color="auto"/>
              <w:right w:val="single" w:sz="4" w:space="0" w:color="auto"/>
            </w:tcBorders>
            <w:noWrap/>
            <w:vAlign w:val="center"/>
            <w:hideMark/>
          </w:tcPr>
          <w:p w14:paraId="197A0445" w14:textId="5A2CBED2"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305,83</w:t>
            </w:r>
          </w:p>
        </w:tc>
        <w:tc>
          <w:tcPr>
            <w:tcW w:w="959" w:type="dxa"/>
            <w:tcBorders>
              <w:top w:val="nil"/>
              <w:left w:val="nil"/>
              <w:bottom w:val="single" w:sz="4" w:space="0" w:color="auto"/>
              <w:right w:val="single" w:sz="4" w:space="0" w:color="auto"/>
            </w:tcBorders>
            <w:noWrap/>
            <w:vAlign w:val="center"/>
            <w:hideMark/>
          </w:tcPr>
          <w:p w14:paraId="79028C07" w14:textId="265434F0"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73,29</w:t>
            </w:r>
          </w:p>
        </w:tc>
        <w:tc>
          <w:tcPr>
            <w:tcW w:w="1122" w:type="dxa"/>
            <w:tcBorders>
              <w:top w:val="nil"/>
              <w:left w:val="nil"/>
              <w:bottom w:val="single" w:sz="4" w:space="0" w:color="auto"/>
              <w:right w:val="single" w:sz="4" w:space="0" w:color="auto"/>
            </w:tcBorders>
            <w:noWrap/>
            <w:vAlign w:val="center"/>
            <w:hideMark/>
          </w:tcPr>
          <w:p w14:paraId="71C2D4E3" w14:textId="45E1124A"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375,41</w:t>
            </w:r>
          </w:p>
        </w:tc>
        <w:tc>
          <w:tcPr>
            <w:tcW w:w="871" w:type="dxa"/>
            <w:tcBorders>
              <w:top w:val="nil"/>
              <w:left w:val="nil"/>
              <w:bottom w:val="single" w:sz="4" w:space="0" w:color="auto"/>
              <w:right w:val="single" w:sz="4" w:space="0" w:color="auto"/>
            </w:tcBorders>
            <w:noWrap/>
            <w:vAlign w:val="center"/>
            <w:hideMark/>
          </w:tcPr>
          <w:p w14:paraId="5A6DFB7A" w14:textId="77DEDCF1"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73,22</w:t>
            </w:r>
          </w:p>
        </w:tc>
        <w:tc>
          <w:tcPr>
            <w:tcW w:w="1071" w:type="dxa"/>
            <w:tcBorders>
              <w:top w:val="nil"/>
              <w:left w:val="nil"/>
              <w:bottom w:val="single" w:sz="4" w:space="0" w:color="auto"/>
              <w:right w:val="single" w:sz="4" w:space="0" w:color="auto"/>
            </w:tcBorders>
            <w:noWrap/>
            <w:vAlign w:val="center"/>
            <w:hideMark/>
          </w:tcPr>
          <w:p w14:paraId="485570A1" w14:textId="0FA20F47"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79,17</w:t>
            </w:r>
          </w:p>
        </w:tc>
        <w:tc>
          <w:tcPr>
            <w:tcW w:w="879" w:type="dxa"/>
            <w:tcBorders>
              <w:top w:val="nil"/>
              <w:left w:val="nil"/>
              <w:bottom w:val="single" w:sz="4" w:space="0" w:color="auto"/>
              <w:right w:val="single" w:sz="4" w:space="0" w:color="auto"/>
            </w:tcBorders>
            <w:noWrap/>
            <w:vAlign w:val="center"/>
            <w:hideMark/>
          </w:tcPr>
          <w:p w14:paraId="10CEAD41" w14:textId="08928ACC"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34,93</w:t>
            </w:r>
          </w:p>
        </w:tc>
        <w:tc>
          <w:tcPr>
            <w:tcW w:w="925" w:type="dxa"/>
            <w:tcBorders>
              <w:top w:val="nil"/>
              <w:left w:val="nil"/>
              <w:bottom w:val="single" w:sz="4" w:space="0" w:color="auto"/>
              <w:right w:val="single" w:sz="4" w:space="0" w:color="auto"/>
            </w:tcBorders>
            <w:noWrap/>
            <w:vAlign w:val="center"/>
            <w:hideMark/>
          </w:tcPr>
          <w:p w14:paraId="63D94524" w14:textId="49A77908"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69,58</w:t>
            </w:r>
          </w:p>
        </w:tc>
        <w:tc>
          <w:tcPr>
            <w:tcW w:w="1036" w:type="dxa"/>
            <w:tcBorders>
              <w:top w:val="nil"/>
              <w:left w:val="nil"/>
              <w:bottom w:val="single" w:sz="4" w:space="0" w:color="auto"/>
              <w:right w:val="single" w:sz="4" w:space="0" w:color="auto"/>
            </w:tcBorders>
            <w:noWrap/>
            <w:vAlign w:val="center"/>
            <w:hideMark/>
          </w:tcPr>
          <w:p w14:paraId="213E6E91" w14:textId="44A550A5"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22,75</w:t>
            </w:r>
          </w:p>
        </w:tc>
      </w:tr>
      <w:tr w:rsidR="009E0361" w:rsidRPr="00545BE9" w14:paraId="63F0B0AE"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5695F8AA" w14:textId="55BA7508"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Cho vay đầu tư TSCĐ</w:t>
            </w:r>
          </w:p>
        </w:tc>
        <w:tc>
          <w:tcPr>
            <w:tcW w:w="945" w:type="dxa"/>
            <w:tcBorders>
              <w:top w:val="nil"/>
              <w:left w:val="single" w:sz="4" w:space="0" w:color="auto"/>
              <w:bottom w:val="single" w:sz="4" w:space="0" w:color="auto"/>
              <w:right w:val="single" w:sz="4" w:space="0" w:color="auto"/>
            </w:tcBorders>
            <w:noWrap/>
            <w:vAlign w:val="center"/>
            <w:hideMark/>
          </w:tcPr>
          <w:p w14:paraId="52718645" w14:textId="2E483847"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val="vi-VN" w:eastAsia="zh-CN"/>
                <w14:ligatures w14:val="none"/>
              </w:rPr>
            </w:pPr>
            <w:r w:rsidRPr="00545BE9">
              <w:rPr>
                <w:rFonts w:ascii="Times New Roman" w:hAnsi="Times New Roman" w:cs="Times New Roman"/>
                <w:color w:val="000000"/>
                <w:sz w:val="26"/>
                <w:szCs w:val="26"/>
                <w:lang w:val="vi-VN"/>
              </w:rPr>
              <w:t>81,95</w:t>
            </w:r>
          </w:p>
        </w:tc>
        <w:tc>
          <w:tcPr>
            <w:tcW w:w="1048" w:type="dxa"/>
            <w:tcBorders>
              <w:top w:val="nil"/>
              <w:left w:val="nil"/>
              <w:bottom w:val="single" w:sz="4" w:space="0" w:color="auto"/>
              <w:right w:val="single" w:sz="4" w:space="0" w:color="auto"/>
            </w:tcBorders>
            <w:noWrap/>
            <w:vAlign w:val="center"/>
            <w:hideMark/>
          </w:tcPr>
          <w:p w14:paraId="6838F036" w14:textId="5C399CB3"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26,55</w:t>
            </w:r>
          </w:p>
        </w:tc>
        <w:tc>
          <w:tcPr>
            <w:tcW w:w="1034" w:type="dxa"/>
            <w:tcBorders>
              <w:top w:val="nil"/>
              <w:left w:val="nil"/>
              <w:bottom w:val="single" w:sz="4" w:space="0" w:color="auto"/>
              <w:right w:val="single" w:sz="4" w:space="0" w:color="auto"/>
            </w:tcBorders>
            <w:noWrap/>
            <w:vAlign w:val="center"/>
            <w:hideMark/>
          </w:tcPr>
          <w:p w14:paraId="6B643E14" w14:textId="32B7C09D"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111,45</w:t>
            </w:r>
          </w:p>
        </w:tc>
        <w:tc>
          <w:tcPr>
            <w:tcW w:w="959" w:type="dxa"/>
            <w:tcBorders>
              <w:top w:val="nil"/>
              <w:left w:val="nil"/>
              <w:bottom w:val="single" w:sz="4" w:space="0" w:color="auto"/>
              <w:right w:val="single" w:sz="4" w:space="0" w:color="auto"/>
            </w:tcBorders>
            <w:noWrap/>
            <w:vAlign w:val="center"/>
            <w:hideMark/>
          </w:tcPr>
          <w:p w14:paraId="7FAE65C5" w14:textId="16609D6F"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26,71</w:t>
            </w:r>
          </w:p>
        </w:tc>
        <w:tc>
          <w:tcPr>
            <w:tcW w:w="1122" w:type="dxa"/>
            <w:tcBorders>
              <w:top w:val="nil"/>
              <w:left w:val="nil"/>
              <w:bottom w:val="single" w:sz="4" w:space="0" w:color="auto"/>
              <w:right w:val="single" w:sz="4" w:space="0" w:color="auto"/>
            </w:tcBorders>
            <w:noWrap/>
            <w:vAlign w:val="center"/>
            <w:hideMark/>
          </w:tcPr>
          <w:p w14:paraId="608334F8" w14:textId="57A5F69C"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137,32</w:t>
            </w:r>
          </w:p>
        </w:tc>
        <w:tc>
          <w:tcPr>
            <w:tcW w:w="871" w:type="dxa"/>
            <w:tcBorders>
              <w:top w:val="nil"/>
              <w:left w:val="nil"/>
              <w:bottom w:val="single" w:sz="4" w:space="0" w:color="auto"/>
              <w:right w:val="single" w:sz="4" w:space="0" w:color="auto"/>
            </w:tcBorders>
            <w:noWrap/>
            <w:vAlign w:val="center"/>
            <w:hideMark/>
          </w:tcPr>
          <w:p w14:paraId="2493F86B" w14:textId="3BE29377"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26,78</w:t>
            </w:r>
          </w:p>
        </w:tc>
        <w:tc>
          <w:tcPr>
            <w:tcW w:w="1071" w:type="dxa"/>
            <w:tcBorders>
              <w:top w:val="nil"/>
              <w:left w:val="nil"/>
              <w:bottom w:val="single" w:sz="4" w:space="0" w:color="auto"/>
              <w:right w:val="single" w:sz="4" w:space="0" w:color="auto"/>
            </w:tcBorders>
            <w:noWrap/>
            <w:vAlign w:val="center"/>
            <w:hideMark/>
          </w:tcPr>
          <w:p w14:paraId="5BADF10B" w14:textId="7CE33377"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29,50</w:t>
            </w:r>
          </w:p>
        </w:tc>
        <w:tc>
          <w:tcPr>
            <w:tcW w:w="879" w:type="dxa"/>
            <w:tcBorders>
              <w:top w:val="nil"/>
              <w:left w:val="nil"/>
              <w:bottom w:val="single" w:sz="4" w:space="0" w:color="auto"/>
              <w:right w:val="single" w:sz="4" w:space="0" w:color="auto"/>
            </w:tcBorders>
            <w:noWrap/>
            <w:vAlign w:val="center"/>
            <w:hideMark/>
          </w:tcPr>
          <w:p w14:paraId="3B051A79" w14:textId="5F7D7124"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36,00</w:t>
            </w:r>
          </w:p>
        </w:tc>
        <w:tc>
          <w:tcPr>
            <w:tcW w:w="925" w:type="dxa"/>
            <w:tcBorders>
              <w:top w:val="nil"/>
              <w:left w:val="nil"/>
              <w:bottom w:val="single" w:sz="4" w:space="0" w:color="auto"/>
              <w:right w:val="single" w:sz="4" w:space="0" w:color="auto"/>
            </w:tcBorders>
            <w:noWrap/>
            <w:vAlign w:val="center"/>
            <w:hideMark/>
          </w:tcPr>
          <w:p w14:paraId="4DD567E0" w14:textId="0CF1D0E6"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25,87</w:t>
            </w:r>
          </w:p>
        </w:tc>
        <w:tc>
          <w:tcPr>
            <w:tcW w:w="1036" w:type="dxa"/>
            <w:tcBorders>
              <w:top w:val="nil"/>
              <w:left w:val="nil"/>
              <w:bottom w:val="single" w:sz="4" w:space="0" w:color="auto"/>
              <w:right w:val="single" w:sz="4" w:space="0" w:color="auto"/>
            </w:tcBorders>
            <w:noWrap/>
            <w:vAlign w:val="center"/>
            <w:hideMark/>
          </w:tcPr>
          <w:p w14:paraId="0EFEE700" w14:textId="5A9D637C"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23,21</w:t>
            </w:r>
          </w:p>
        </w:tc>
      </w:tr>
      <w:tr w:rsidR="009E0361" w:rsidRPr="00545BE9" w14:paraId="16E9B513"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23B70091" w14:textId="4A119031" w:rsidR="009E0361" w:rsidRPr="00545BE9" w:rsidRDefault="009E0361" w:rsidP="009E0361">
            <w:pPr>
              <w:spacing w:after="0" w:line="240" w:lineRule="auto"/>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2. Doanh số thu nợ cho vay SXKD đối với KHCN</w:t>
            </w:r>
          </w:p>
        </w:tc>
        <w:tc>
          <w:tcPr>
            <w:tcW w:w="945" w:type="dxa"/>
            <w:tcBorders>
              <w:top w:val="nil"/>
              <w:left w:val="single" w:sz="4" w:space="0" w:color="auto"/>
              <w:bottom w:val="single" w:sz="4" w:space="0" w:color="auto"/>
              <w:right w:val="single" w:sz="4" w:space="0" w:color="auto"/>
            </w:tcBorders>
            <w:noWrap/>
            <w:vAlign w:val="center"/>
            <w:hideMark/>
          </w:tcPr>
          <w:p w14:paraId="3E9D9018" w14:textId="55BF99D1"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214,34</w:t>
            </w:r>
          </w:p>
        </w:tc>
        <w:tc>
          <w:tcPr>
            <w:tcW w:w="1048" w:type="dxa"/>
            <w:tcBorders>
              <w:top w:val="nil"/>
              <w:left w:val="nil"/>
              <w:bottom w:val="single" w:sz="4" w:space="0" w:color="auto"/>
              <w:right w:val="single" w:sz="4" w:space="0" w:color="auto"/>
            </w:tcBorders>
            <w:noWrap/>
            <w:vAlign w:val="center"/>
            <w:hideMark/>
          </w:tcPr>
          <w:p w14:paraId="3DADC541" w14:textId="768BD5EA"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034" w:type="dxa"/>
            <w:tcBorders>
              <w:top w:val="nil"/>
              <w:left w:val="nil"/>
              <w:bottom w:val="single" w:sz="4" w:space="0" w:color="auto"/>
              <w:right w:val="single" w:sz="4" w:space="0" w:color="auto"/>
            </w:tcBorders>
            <w:noWrap/>
            <w:vAlign w:val="center"/>
            <w:hideMark/>
          </w:tcPr>
          <w:p w14:paraId="4E7534F7" w14:textId="5A21E7AB"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283,91</w:t>
            </w:r>
          </w:p>
        </w:tc>
        <w:tc>
          <w:tcPr>
            <w:tcW w:w="959" w:type="dxa"/>
            <w:tcBorders>
              <w:top w:val="nil"/>
              <w:left w:val="nil"/>
              <w:bottom w:val="single" w:sz="4" w:space="0" w:color="auto"/>
              <w:right w:val="single" w:sz="4" w:space="0" w:color="auto"/>
            </w:tcBorders>
            <w:noWrap/>
            <w:vAlign w:val="center"/>
            <w:hideMark/>
          </w:tcPr>
          <w:p w14:paraId="017DC638" w14:textId="569DDCC2"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122" w:type="dxa"/>
            <w:tcBorders>
              <w:top w:val="nil"/>
              <w:left w:val="nil"/>
              <w:bottom w:val="single" w:sz="4" w:space="0" w:color="auto"/>
              <w:right w:val="single" w:sz="4" w:space="0" w:color="auto"/>
            </w:tcBorders>
            <w:noWrap/>
            <w:vAlign w:val="center"/>
            <w:hideMark/>
          </w:tcPr>
          <w:p w14:paraId="512A07B1" w14:textId="64D3206C"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346,48</w:t>
            </w:r>
          </w:p>
        </w:tc>
        <w:tc>
          <w:tcPr>
            <w:tcW w:w="871" w:type="dxa"/>
            <w:tcBorders>
              <w:top w:val="nil"/>
              <w:left w:val="nil"/>
              <w:bottom w:val="single" w:sz="4" w:space="0" w:color="auto"/>
              <w:right w:val="single" w:sz="4" w:space="0" w:color="auto"/>
            </w:tcBorders>
            <w:noWrap/>
            <w:vAlign w:val="center"/>
            <w:hideMark/>
          </w:tcPr>
          <w:p w14:paraId="5475F7BA" w14:textId="2EFC7C85"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071" w:type="dxa"/>
            <w:tcBorders>
              <w:top w:val="nil"/>
              <w:left w:val="nil"/>
              <w:bottom w:val="single" w:sz="4" w:space="0" w:color="auto"/>
              <w:right w:val="single" w:sz="4" w:space="0" w:color="auto"/>
            </w:tcBorders>
            <w:noWrap/>
            <w:vAlign w:val="center"/>
            <w:hideMark/>
          </w:tcPr>
          <w:p w14:paraId="4CAD8B7D" w14:textId="202A9A19"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69,57</w:t>
            </w:r>
          </w:p>
        </w:tc>
        <w:tc>
          <w:tcPr>
            <w:tcW w:w="879" w:type="dxa"/>
            <w:tcBorders>
              <w:top w:val="nil"/>
              <w:left w:val="nil"/>
              <w:bottom w:val="single" w:sz="4" w:space="0" w:color="auto"/>
              <w:right w:val="single" w:sz="4" w:space="0" w:color="auto"/>
            </w:tcBorders>
            <w:noWrap/>
            <w:vAlign w:val="center"/>
            <w:hideMark/>
          </w:tcPr>
          <w:p w14:paraId="38CD09FC" w14:textId="7ED5D4F8"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32,46</w:t>
            </w:r>
          </w:p>
        </w:tc>
        <w:tc>
          <w:tcPr>
            <w:tcW w:w="925" w:type="dxa"/>
            <w:tcBorders>
              <w:top w:val="nil"/>
              <w:left w:val="nil"/>
              <w:bottom w:val="single" w:sz="4" w:space="0" w:color="auto"/>
              <w:right w:val="single" w:sz="4" w:space="0" w:color="auto"/>
            </w:tcBorders>
            <w:noWrap/>
            <w:vAlign w:val="center"/>
            <w:hideMark/>
          </w:tcPr>
          <w:p w14:paraId="2D04DEA4" w14:textId="0B402A9A"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62,57</w:t>
            </w:r>
          </w:p>
        </w:tc>
        <w:tc>
          <w:tcPr>
            <w:tcW w:w="1036" w:type="dxa"/>
            <w:tcBorders>
              <w:top w:val="nil"/>
              <w:left w:val="nil"/>
              <w:bottom w:val="single" w:sz="4" w:space="0" w:color="auto"/>
              <w:right w:val="single" w:sz="4" w:space="0" w:color="auto"/>
            </w:tcBorders>
            <w:noWrap/>
            <w:vAlign w:val="center"/>
            <w:hideMark/>
          </w:tcPr>
          <w:p w14:paraId="2EDE081B" w14:textId="526DB5DE"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22,04</w:t>
            </w:r>
          </w:p>
        </w:tc>
      </w:tr>
      <w:tr w:rsidR="009E0361" w:rsidRPr="00545BE9" w14:paraId="11264748"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1ED45566" w14:textId="02C6A0A1"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 xml:space="preserve">Cho vay </w:t>
            </w:r>
            <w:r w:rsidRPr="00545BE9">
              <w:rPr>
                <w:rFonts w:ascii="Times New Roman" w:hAnsi="Times New Roman" w:cs="Times New Roman"/>
                <w:sz w:val="26"/>
                <w:szCs w:val="26"/>
              </w:rPr>
              <w:t xml:space="preserve"> </w:t>
            </w:r>
            <w:r w:rsidRPr="00545BE9">
              <w:rPr>
                <w:rFonts w:ascii="Times New Roman" w:eastAsia="Times New Roman" w:hAnsi="Times New Roman" w:cs="Times New Roman"/>
                <w:color w:val="000000"/>
                <w:kern w:val="0"/>
                <w:sz w:val="26"/>
                <w:szCs w:val="26"/>
                <w:lang w:eastAsia="zh-CN"/>
                <w14:ligatures w14:val="none"/>
              </w:rPr>
              <w:t>bổ sung vốn lưu động</w:t>
            </w:r>
          </w:p>
        </w:tc>
        <w:tc>
          <w:tcPr>
            <w:tcW w:w="945" w:type="dxa"/>
            <w:tcBorders>
              <w:top w:val="nil"/>
              <w:left w:val="single" w:sz="4" w:space="0" w:color="auto"/>
              <w:bottom w:val="single" w:sz="4" w:space="0" w:color="auto"/>
              <w:right w:val="single" w:sz="4" w:space="0" w:color="auto"/>
            </w:tcBorders>
            <w:noWrap/>
            <w:vAlign w:val="center"/>
            <w:hideMark/>
          </w:tcPr>
          <w:p w14:paraId="52DCE612" w14:textId="18EFA3DB"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171,13</w:t>
            </w:r>
          </w:p>
        </w:tc>
        <w:tc>
          <w:tcPr>
            <w:tcW w:w="1048" w:type="dxa"/>
            <w:tcBorders>
              <w:top w:val="nil"/>
              <w:left w:val="nil"/>
              <w:bottom w:val="single" w:sz="4" w:space="0" w:color="auto"/>
              <w:right w:val="single" w:sz="4" w:space="0" w:color="auto"/>
            </w:tcBorders>
            <w:noWrap/>
            <w:vAlign w:val="center"/>
            <w:hideMark/>
          </w:tcPr>
          <w:p w14:paraId="7F732D55" w14:textId="5A436663"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79,84</w:t>
            </w:r>
          </w:p>
        </w:tc>
        <w:tc>
          <w:tcPr>
            <w:tcW w:w="1034" w:type="dxa"/>
            <w:tcBorders>
              <w:top w:val="nil"/>
              <w:left w:val="nil"/>
              <w:bottom w:val="single" w:sz="4" w:space="0" w:color="auto"/>
              <w:right w:val="single" w:sz="4" w:space="0" w:color="auto"/>
            </w:tcBorders>
            <w:noWrap/>
            <w:vAlign w:val="center"/>
            <w:hideMark/>
          </w:tcPr>
          <w:p w14:paraId="009F0C32" w14:textId="4CCC09BB"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226,72</w:t>
            </w:r>
          </w:p>
        </w:tc>
        <w:tc>
          <w:tcPr>
            <w:tcW w:w="959" w:type="dxa"/>
            <w:tcBorders>
              <w:top w:val="nil"/>
              <w:left w:val="nil"/>
              <w:bottom w:val="single" w:sz="4" w:space="0" w:color="auto"/>
              <w:right w:val="single" w:sz="4" w:space="0" w:color="auto"/>
            </w:tcBorders>
            <w:noWrap/>
            <w:vAlign w:val="center"/>
            <w:hideMark/>
          </w:tcPr>
          <w:p w14:paraId="70A38672" w14:textId="2F49195D"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79,86</w:t>
            </w:r>
          </w:p>
        </w:tc>
        <w:tc>
          <w:tcPr>
            <w:tcW w:w="1122" w:type="dxa"/>
            <w:tcBorders>
              <w:top w:val="nil"/>
              <w:left w:val="nil"/>
              <w:bottom w:val="single" w:sz="4" w:space="0" w:color="auto"/>
              <w:right w:val="single" w:sz="4" w:space="0" w:color="auto"/>
            </w:tcBorders>
            <w:noWrap/>
            <w:vAlign w:val="center"/>
            <w:hideMark/>
          </w:tcPr>
          <w:p w14:paraId="4C69AAAA" w14:textId="294DD74E"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276,61</w:t>
            </w:r>
          </w:p>
        </w:tc>
        <w:tc>
          <w:tcPr>
            <w:tcW w:w="871" w:type="dxa"/>
            <w:tcBorders>
              <w:top w:val="nil"/>
              <w:left w:val="nil"/>
              <w:bottom w:val="single" w:sz="4" w:space="0" w:color="auto"/>
              <w:right w:val="single" w:sz="4" w:space="0" w:color="auto"/>
            </w:tcBorders>
            <w:noWrap/>
            <w:vAlign w:val="center"/>
            <w:hideMark/>
          </w:tcPr>
          <w:p w14:paraId="0CC52CAE" w14:textId="6161B9EC"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79,83</w:t>
            </w:r>
          </w:p>
        </w:tc>
        <w:tc>
          <w:tcPr>
            <w:tcW w:w="1071" w:type="dxa"/>
            <w:tcBorders>
              <w:top w:val="nil"/>
              <w:left w:val="nil"/>
              <w:bottom w:val="single" w:sz="4" w:space="0" w:color="auto"/>
              <w:right w:val="single" w:sz="4" w:space="0" w:color="auto"/>
            </w:tcBorders>
            <w:noWrap/>
            <w:vAlign w:val="center"/>
            <w:hideMark/>
          </w:tcPr>
          <w:p w14:paraId="034FB86D" w14:textId="4795C443"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55,59</w:t>
            </w:r>
          </w:p>
        </w:tc>
        <w:tc>
          <w:tcPr>
            <w:tcW w:w="879" w:type="dxa"/>
            <w:tcBorders>
              <w:top w:val="nil"/>
              <w:left w:val="nil"/>
              <w:bottom w:val="single" w:sz="4" w:space="0" w:color="auto"/>
              <w:right w:val="single" w:sz="4" w:space="0" w:color="auto"/>
            </w:tcBorders>
            <w:noWrap/>
            <w:vAlign w:val="center"/>
            <w:hideMark/>
          </w:tcPr>
          <w:p w14:paraId="2462DD54" w14:textId="5AA9ECD4"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32,48</w:t>
            </w:r>
          </w:p>
        </w:tc>
        <w:tc>
          <w:tcPr>
            <w:tcW w:w="925" w:type="dxa"/>
            <w:tcBorders>
              <w:top w:val="nil"/>
              <w:left w:val="nil"/>
              <w:bottom w:val="single" w:sz="4" w:space="0" w:color="auto"/>
              <w:right w:val="single" w:sz="4" w:space="0" w:color="auto"/>
            </w:tcBorders>
            <w:noWrap/>
            <w:vAlign w:val="center"/>
            <w:hideMark/>
          </w:tcPr>
          <w:p w14:paraId="7FD1AE0A" w14:textId="548266EE"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49,89</w:t>
            </w:r>
          </w:p>
        </w:tc>
        <w:tc>
          <w:tcPr>
            <w:tcW w:w="1036" w:type="dxa"/>
            <w:tcBorders>
              <w:top w:val="nil"/>
              <w:left w:val="nil"/>
              <w:bottom w:val="single" w:sz="4" w:space="0" w:color="auto"/>
              <w:right w:val="single" w:sz="4" w:space="0" w:color="auto"/>
            </w:tcBorders>
            <w:noWrap/>
            <w:vAlign w:val="center"/>
            <w:hideMark/>
          </w:tcPr>
          <w:p w14:paraId="2A0EB443" w14:textId="6C0E4277"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22,01</w:t>
            </w:r>
          </w:p>
        </w:tc>
      </w:tr>
      <w:tr w:rsidR="009E0361" w:rsidRPr="00545BE9" w14:paraId="51A44D9E"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04895FF0" w14:textId="214E5887"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Cho vay đầu tư TSCĐ</w:t>
            </w:r>
          </w:p>
        </w:tc>
        <w:tc>
          <w:tcPr>
            <w:tcW w:w="945" w:type="dxa"/>
            <w:tcBorders>
              <w:top w:val="nil"/>
              <w:left w:val="single" w:sz="4" w:space="0" w:color="auto"/>
              <w:bottom w:val="single" w:sz="4" w:space="0" w:color="auto"/>
              <w:right w:val="single" w:sz="4" w:space="0" w:color="auto"/>
            </w:tcBorders>
            <w:noWrap/>
            <w:vAlign w:val="center"/>
            <w:hideMark/>
          </w:tcPr>
          <w:p w14:paraId="2532384E" w14:textId="23877655"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43,21</w:t>
            </w:r>
          </w:p>
        </w:tc>
        <w:tc>
          <w:tcPr>
            <w:tcW w:w="1048" w:type="dxa"/>
            <w:tcBorders>
              <w:top w:val="nil"/>
              <w:left w:val="nil"/>
              <w:bottom w:val="single" w:sz="4" w:space="0" w:color="auto"/>
              <w:right w:val="single" w:sz="4" w:space="0" w:color="auto"/>
            </w:tcBorders>
            <w:noWrap/>
            <w:vAlign w:val="center"/>
            <w:hideMark/>
          </w:tcPr>
          <w:p w14:paraId="12A6D212" w14:textId="3051529B"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20,16</w:t>
            </w:r>
          </w:p>
        </w:tc>
        <w:tc>
          <w:tcPr>
            <w:tcW w:w="1034" w:type="dxa"/>
            <w:tcBorders>
              <w:top w:val="nil"/>
              <w:left w:val="nil"/>
              <w:bottom w:val="single" w:sz="4" w:space="0" w:color="auto"/>
              <w:right w:val="single" w:sz="4" w:space="0" w:color="auto"/>
            </w:tcBorders>
            <w:noWrap/>
            <w:vAlign w:val="center"/>
            <w:hideMark/>
          </w:tcPr>
          <w:p w14:paraId="24D5A5D4" w14:textId="75E5D360"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57,19</w:t>
            </w:r>
          </w:p>
        </w:tc>
        <w:tc>
          <w:tcPr>
            <w:tcW w:w="959" w:type="dxa"/>
            <w:tcBorders>
              <w:top w:val="nil"/>
              <w:left w:val="nil"/>
              <w:bottom w:val="single" w:sz="4" w:space="0" w:color="auto"/>
              <w:right w:val="single" w:sz="4" w:space="0" w:color="auto"/>
            </w:tcBorders>
            <w:noWrap/>
            <w:vAlign w:val="center"/>
            <w:hideMark/>
          </w:tcPr>
          <w:p w14:paraId="33476CB7" w14:textId="2EBDC0B9"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20,14</w:t>
            </w:r>
          </w:p>
        </w:tc>
        <w:tc>
          <w:tcPr>
            <w:tcW w:w="1122" w:type="dxa"/>
            <w:tcBorders>
              <w:top w:val="nil"/>
              <w:left w:val="nil"/>
              <w:bottom w:val="single" w:sz="4" w:space="0" w:color="auto"/>
              <w:right w:val="single" w:sz="4" w:space="0" w:color="auto"/>
            </w:tcBorders>
            <w:noWrap/>
            <w:vAlign w:val="center"/>
            <w:hideMark/>
          </w:tcPr>
          <w:p w14:paraId="562272E2" w14:textId="05CD4264"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69,87</w:t>
            </w:r>
          </w:p>
        </w:tc>
        <w:tc>
          <w:tcPr>
            <w:tcW w:w="871" w:type="dxa"/>
            <w:tcBorders>
              <w:top w:val="nil"/>
              <w:left w:val="nil"/>
              <w:bottom w:val="single" w:sz="4" w:space="0" w:color="auto"/>
              <w:right w:val="single" w:sz="4" w:space="0" w:color="auto"/>
            </w:tcBorders>
            <w:noWrap/>
            <w:vAlign w:val="center"/>
            <w:hideMark/>
          </w:tcPr>
          <w:p w14:paraId="029E301B" w14:textId="683C1CCE"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20,17</w:t>
            </w:r>
          </w:p>
        </w:tc>
        <w:tc>
          <w:tcPr>
            <w:tcW w:w="1071" w:type="dxa"/>
            <w:tcBorders>
              <w:top w:val="nil"/>
              <w:left w:val="nil"/>
              <w:bottom w:val="single" w:sz="4" w:space="0" w:color="auto"/>
              <w:right w:val="single" w:sz="4" w:space="0" w:color="auto"/>
            </w:tcBorders>
            <w:noWrap/>
            <w:vAlign w:val="center"/>
            <w:hideMark/>
          </w:tcPr>
          <w:p w14:paraId="09A833C9" w14:textId="15EB535B"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13,98</w:t>
            </w:r>
          </w:p>
        </w:tc>
        <w:tc>
          <w:tcPr>
            <w:tcW w:w="879" w:type="dxa"/>
            <w:tcBorders>
              <w:top w:val="nil"/>
              <w:left w:val="nil"/>
              <w:bottom w:val="single" w:sz="4" w:space="0" w:color="auto"/>
              <w:right w:val="single" w:sz="4" w:space="0" w:color="auto"/>
            </w:tcBorders>
            <w:noWrap/>
            <w:vAlign w:val="center"/>
            <w:hideMark/>
          </w:tcPr>
          <w:p w14:paraId="14D74D70" w14:textId="3C145BD9"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32,35</w:t>
            </w:r>
          </w:p>
        </w:tc>
        <w:tc>
          <w:tcPr>
            <w:tcW w:w="925" w:type="dxa"/>
            <w:tcBorders>
              <w:top w:val="nil"/>
              <w:left w:val="nil"/>
              <w:bottom w:val="single" w:sz="4" w:space="0" w:color="auto"/>
              <w:right w:val="single" w:sz="4" w:space="0" w:color="auto"/>
            </w:tcBorders>
            <w:noWrap/>
            <w:vAlign w:val="center"/>
            <w:hideMark/>
          </w:tcPr>
          <w:p w14:paraId="22C27AA0" w14:textId="4BF1917D"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12,68</w:t>
            </w:r>
          </w:p>
        </w:tc>
        <w:tc>
          <w:tcPr>
            <w:tcW w:w="1036" w:type="dxa"/>
            <w:tcBorders>
              <w:top w:val="nil"/>
              <w:left w:val="nil"/>
              <w:bottom w:val="single" w:sz="4" w:space="0" w:color="auto"/>
              <w:right w:val="single" w:sz="4" w:space="0" w:color="auto"/>
            </w:tcBorders>
            <w:noWrap/>
            <w:vAlign w:val="center"/>
            <w:hideMark/>
          </w:tcPr>
          <w:p w14:paraId="19E71884" w14:textId="4C7F6D44"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22,17</w:t>
            </w:r>
          </w:p>
        </w:tc>
      </w:tr>
      <w:tr w:rsidR="009E0361" w:rsidRPr="00545BE9" w14:paraId="0F5A3222"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2742776F" w14:textId="00FFD5CF" w:rsidR="009E0361" w:rsidRPr="00545BE9" w:rsidRDefault="009E0361" w:rsidP="009E0361">
            <w:pPr>
              <w:spacing w:after="0" w:line="240" w:lineRule="auto"/>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3. Dư nợ cho vay sản xuất kinh doanh</w:t>
            </w:r>
          </w:p>
        </w:tc>
        <w:tc>
          <w:tcPr>
            <w:tcW w:w="945" w:type="dxa"/>
            <w:tcBorders>
              <w:top w:val="nil"/>
              <w:left w:val="single" w:sz="4" w:space="0" w:color="auto"/>
              <w:bottom w:val="single" w:sz="4" w:space="0" w:color="auto"/>
              <w:right w:val="single" w:sz="4" w:space="0" w:color="auto"/>
            </w:tcBorders>
            <w:noWrap/>
            <w:vAlign w:val="center"/>
            <w:hideMark/>
          </w:tcPr>
          <w:p w14:paraId="3BECB4FE" w14:textId="57DA76A1"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403,14</w:t>
            </w:r>
          </w:p>
        </w:tc>
        <w:tc>
          <w:tcPr>
            <w:tcW w:w="1048" w:type="dxa"/>
            <w:tcBorders>
              <w:top w:val="nil"/>
              <w:left w:val="nil"/>
              <w:bottom w:val="single" w:sz="4" w:space="0" w:color="auto"/>
              <w:right w:val="single" w:sz="4" w:space="0" w:color="auto"/>
            </w:tcBorders>
            <w:noWrap/>
            <w:vAlign w:val="center"/>
            <w:hideMark/>
          </w:tcPr>
          <w:p w14:paraId="02E83BAF" w14:textId="422661BD"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034" w:type="dxa"/>
            <w:tcBorders>
              <w:top w:val="nil"/>
              <w:left w:val="nil"/>
              <w:bottom w:val="single" w:sz="4" w:space="0" w:color="auto"/>
              <w:right w:val="single" w:sz="4" w:space="0" w:color="auto"/>
            </w:tcBorders>
            <w:shd w:val="clear" w:color="000000" w:fill="FFFFFF"/>
            <w:noWrap/>
            <w:vAlign w:val="center"/>
            <w:hideMark/>
          </w:tcPr>
          <w:p w14:paraId="22466006" w14:textId="3BFA128D"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536,51</w:t>
            </w:r>
          </w:p>
        </w:tc>
        <w:tc>
          <w:tcPr>
            <w:tcW w:w="959" w:type="dxa"/>
            <w:tcBorders>
              <w:top w:val="nil"/>
              <w:left w:val="nil"/>
              <w:bottom w:val="single" w:sz="4" w:space="0" w:color="auto"/>
              <w:right w:val="single" w:sz="4" w:space="0" w:color="auto"/>
            </w:tcBorders>
            <w:shd w:val="clear" w:color="000000" w:fill="FFFFFF"/>
            <w:noWrap/>
            <w:vAlign w:val="center"/>
            <w:hideMark/>
          </w:tcPr>
          <w:p w14:paraId="00DE898C" w14:textId="2388684D"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122" w:type="dxa"/>
            <w:tcBorders>
              <w:top w:val="nil"/>
              <w:left w:val="nil"/>
              <w:bottom w:val="single" w:sz="4" w:space="0" w:color="auto"/>
              <w:right w:val="single" w:sz="4" w:space="0" w:color="auto"/>
            </w:tcBorders>
            <w:shd w:val="clear" w:color="000000" w:fill="FFFFFF"/>
            <w:noWrap/>
            <w:vAlign w:val="center"/>
            <w:hideMark/>
          </w:tcPr>
          <w:p w14:paraId="744F6F49" w14:textId="413D4308"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702,76</w:t>
            </w:r>
          </w:p>
        </w:tc>
        <w:tc>
          <w:tcPr>
            <w:tcW w:w="871" w:type="dxa"/>
            <w:tcBorders>
              <w:top w:val="nil"/>
              <w:left w:val="nil"/>
              <w:bottom w:val="single" w:sz="4" w:space="0" w:color="auto"/>
              <w:right w:val="single" w:sz="4" w:space="0" w:color="auto"/>
            </w:tcBorders>
            <w:noWrap/>
            <w:vAlign w:val="center"/>
            <w:hideMark/>
          </w:tcPr>
          <w:p w14:paraId="266D42E7" w14:textId="76D899D4"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071" w:type="dxa"/>
            <w:tcBorders>
              <w:top w:val="nil"/>
              <w:left w:val="nil"/>
              <w:bottom w:val="single" w:sz="4" w:space="0" w:color="auto"/>
              <w:right w:val="single" w:sz="4" w:space="0" w:color="auto"/>
            </w:tcBorders>
            <w:noWrap/>
            <w:vAlign w:val="center"/>
            <w:hideMark/>
          </w:tcPr>
          <w:p w14:paraId="48AC4ED7" w14:textId="0098DCB7"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133,37</w:t>
            </w:r>
          </w:p>
        </w:tc>
        <w:tc>
          <w:tcPr>
            <w:tcW w:w="879" w:type="dxa"/>
            <w:tcBorders>
              <w:top w:val="nil"/>
              <w:left w:val="nil"/>
              <w:bottom w:val="single" w:sz="4" w:space="0" w:color="auto"/>
              <w:right w:val="single" w:sz="4" w:space="0" w:color="auto"/>
            </w:tcBorders>
            <w:noWrap/>
            <w:vAlign w:val="center"/>
            <w:hideMark/>
          </w:tcPr>
          <w:p w14:paraId="15596D6B" w14:textId="62319A4C"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33,08</w:t>
            </w:r>
          </w:p>
        </w:tc>
        <w:tc>
          <w:tcPr>
            <w:tcW w:w="925" w:type="dxa"/>
            <w:tcBorders>
              <w:top w:val="nil"/>
              <w:left w:val="nil"/>
              <w:bottom w:val="single" w:sz="4" w:space="0" w:color="auto"/>
              <w:right w:val="single" w:sz="4" w:space="0" w:color="auto"/>
            </w:tcBorders>
            <w:noWrap/>
            <w:vAlign w:val="center"/>
            <w:hideMark/>
          </w:tcPr>
          <w:p w14:paraId="22C75726" w14:textId="2DF7D05E"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166,25</w:t>
            </w:r>
          </w:p>
        </w:tc>
        <w:tc>
          <w:tcPr>
            <w:tcW w:w="1036" w:type="dxa"/>
            <w:tcBorders>
              <w:top w:val="nil"/>
              <w:left w:val="nil"/>
              <w:bottom w:val="single" w:sz="4" w:space="0" w:color="auto"/>
              <w:right w:val="single" w:sz="4" w:space="0" w:color="auto"/>
            </w:tcBorders>
            <w:noWrap/>
            <w:vAlign w:val="center"/>
            <w:hideMark/>
          </w:tcPr>
          <w:p w14:paraId="546705E6" w14:textId="2F2AA37F"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30,99</w:t>
            </w:r>
          </w:p>
        </w:tc>
      </w:tr>
      <w:tr w:rsidR="009E0361" w:rsidRPr="00545BE9" w14:paraId="1C01F90A"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1241F335" w14:textId="0AE53A1F"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 xml:space="preserve">Cho vay </w:t>
            </w:r>
            <w:r w:rsidRPr="00545BE9">
              <w:rPr>
                <w:rFonts w:ascii="Times New Roman" w:hAnsi="Times New Roman" w:cs="Times New Roman"/>
                <w:sz w:val="26"/>
                <w:szCs w:val="26"/>
              </w:rPr>
              <w:t xml:space="preserve"> </w:t>
            </w:r>
            <w:r w:rsidRPr="00545BE9">
              <w:rPr>
                <w:rFonts w:ascii="Times New Roman" w:eastAsia="Times New Roman" w:hAnsi="Times New Roman" w:cs="Times New Roman"/>
                <w:color w:val="000000"/>
                <w:kern w:val="0"/>
                <w:sz w:val="26"/>
                <w:szCs w:val="26"/>
                <w:lang w:eastAsia="zh-CN"/>
                <w14:ligatures w14:val="none"/>
              </w:rPr>
              <w:t>bổ sung vốn lưu động</w:t>
            </w:r>
          </w:p>
        </w:tc>
        <w:tc>
          <w:tcPr>
            <w:tcW w:w="945" w:type="dxa"/>
            <w:tcBorders>
              <w:top w:val="nil"/>
              <w:left w:val="single" w:sz="4" w:space="0" w:color="auto"/>
              <w:bottom w:val="single" w:sz="4" w:space="0" w:color="auto"/>
              <w:right w:val="single" w:sz="4" w:space="0" w:color="auto"/>
            </w:tcBorders>
            <w:noWrap/>
            <w:vAlign w:val="center"/>
            <w:hideMark/>
          </w:tcPr>
          <w:p w14:paraId="071BFC38" w14:textId="51657BD6"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298,71</w:t>
            </w:r>
          </w:p>
        </w:tc>
        <w:tc>
          <w:tcPr>
            <w:tcW w:w="1048" w:type="dxa"/>
            <w:tcBorders>
              <w:top w:val="nil"/>
              <w:left w:val="nil"/>
              <w:bottom w:val="single" w:sz="4" w:space="0" w:color="auto"/>
              <w:right w:val="single" w:sz="4" w:space="0" w:color="auto"/>
            </w:tcBorders>
            <w:noWrap/>
            <w:vAlign w:val="center"/>
            <w:hideMark/>
          </w:tcPr>
          <w:p w14:paraId="57A79A27" w14:textId="3F854FC8"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74,10</w:t>
            </w:r>
          </w:p>
        </w:tc>
        <w:tc>
          <w:tcPr>
            <w:tcW w:w="1034" w:type="dxa"/>
            <w:tcBorders>
              <w:top w:val="nil"/>
              <w:left w:val="nil"/>
              <w:bottom w:val="single" w:sz="4" w:space="0" w:color="auto"/>
              <w:right w:val="single" w:sz="4" w:space="0" w:color="auto"/>
            </w:tcBorders>
            <w:shd w:val="clear" w:color="000000" w:fill="FFFFFF"/>
            <w:noWrap/>
            <w:vAlign w:val="center"/>
            <w:hideMark/>
          </w:tcPr>
          <w:p w14:paraId="53D1B1A5" w14:textId="12BB1516"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377,82</w:t>
            </w:r>
          </w:p>
        </w:tc>
        <w:tc>
          <w:tcPr>
            <w:tcW w:w="959" w:type="dxa"/>
            <w:tcBorders>
              <w:top w:val="nil"/>
              <w:left w:val="nil"/>
              <w:bottom w:val="single" w:sz="4" w:space="0" w:color="auto"/>
              <w:right w:val="single" w:sz="4" w:space="0" w:color="auto"/>
            </w:tcBorders>
            <w:shd w:val="clear" w:color="000000" w:fill="FFFFFF"/>
            <w:noWrap/>
            <w:vAlign w:val="center"/>
            <w:hideMark/>
          </w:tcPr>
          <w:p w14:paraId="2E98DADD" w14:textId="4DDC70E3"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70,42</w:t>
            </w:r>
          </w:p>
        </w:tc>
        <w:tc>
          <w:tcPr>
            <w:tcW w:w="1122" w:type="dxa"/>
            <w:tcBorders>
              <w:top w:val="nil"/>
              <w:left w:val="nil"/>
              <w:bottom w:val="single" w:sz="4" w:space="0" w:color="auto"/>
              <w:right w:val="single" w:sz="4" w:space="0" w:color="auto"/>
            </w:tcBorders>
            <w:shd w:val="clear" w:color="000000" w:fill="FFFFFF"/>
            <w:noWrap/>
            <w:vAlign w:val="center"/>
            <w:hideMark/>
          </w:tcPr>
          <w:p w14:paraId="3911148C" w14:textId="60D15844"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476,62</w:t>
            </w:r>
          </w:p>
        </w:tc>
        <w:tc>
          <w:tcPr>
            <w:tcW w:w="871" w:type="dxa"/>
            <w:tcBorders>
              <w:top w:val="nil"/>
              <w:left w:val="nil"/>
              <w:bottom w:val="single" w:sz="4" w:space="0" w:color="auto"/>
              <w:right w:val="single" w:sz="4" w:space="0" w:color="auto"/>
            </w:tcBorders>
            <w:noWrap/>
            <w:vAlign w:val="center"/>
            <w:hideMark/>
          </w:tcPr>
          <w:p w14:paraId="5F4E048B" w14:textId="197D52B9"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67,82</w:t>
            </w:r>
          </w:p>
        </w:tc>
        <w:tc>
          <w:tcPr>
            <w:tcW w:w="1071" w:type="dxa"/>
            <w:tcBorders>
              <w:top w:val="nil"/>
              <w:left w:val="nil"/>
              <w:bottom w:val="single" w:sz="4" w:space="0" w:color="auto"/>
              <w:right w:val="single" w:sz="4" w:space="0" w:color="auto"/>
            </w:tcBorders>
            <w:noWrap/>
            <w:vAlign w:val="center"/>
            <w:hideMark/>
          </w:tcPr>
          <w:p w14:paraId="4F111F7D" w14:textId="2EBF7567"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79,11</w:t>
            </w:r>
          </w:p>
        </w:tc>
        <w:tc>
          <w:tcPr>
            <w:tcW w:w="879" w:type="dxa"/>
            <w:tcBorders>
              <w:top w:val="nil"/>
              <w:left w:val="nil"/>
              <w:bottom w:val="single" w:sz="4" w:space="0" w:color="auto"/>
              <w:right w:val="single" w:sz="4" w:space="0" w:color="auto"/>
            </w:tcBorders>
            <w:noWrap/>
            <w:vAlign w:val="center"/>
            <w:hideMark/>
          </w:tcPr>
          <w:p w14:paraId="5EF1D3D4" w14:textId="006591F6"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26,48</w:t>
            </w:r>
          </w:p>
        </w:tc>
        <w:tc>
          <w:tcPr>
            <w:tcW w:w="925" w:type="dxa"/>
            <w:tcBorders>
              <w:top w:val="nil"/>
              <w:left w:val="nil"/>
              <w:bottom w:val="single" w:sz="4" w:space="0" w:color="auto"/>
              <w:right w:val="single" w:sz="4" w:space="0" w:color="auto"/>
            </w:tcBorders>
            <w:noWrap/>
            <w:vAlign w:val="center"/>
            <w:hideMark/>
          </w:tcPr>
          <w:p w14:paraId="7E58488C" w14:textId="53DB9ECF"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98,80</w:t>
            </w:r>
          </w:p>
        </w:tc>
        <w:tc>
          <w:tcPr>
            <w:tcW w:w="1036" w:type="dxa"/>
            <w:tcBorders>
              <w:top w:val="nil"/>
              <w:left w:val="nil"/>
              <w:bottom w:val="single" w:sz="4" w:space="0" w:color="auto"/>
              <w:right w:val="single" w:sz="4" w:space="0" w:color="auto"/>
            </w:tcBorders>
            <w:noWrap/>
            <w:vAlign w:val="center"/>
            <w:hideMark/>
          </w:tcPr>
          <w:p w14:paraId="1BE42F94" w14:textId="59CBA6B3"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26,15</w:t>
            </w:r>
          </w:p>
        </w:tc>
      </w:tr>
      <w:tr w:rsidR="009E0361" w:rsidRPr="00545BE9" w14:paraId="48BEA601"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12BBB7EC" w14:textId="11FF7598"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Cho vay đầu tư TSCĐ</w:t>
            </w:r>
          </w:p>
        </w:tc>
        <w:tc>
          <w:tcPr>
            <w:tcW w:w="945" w:type="dxa"/>
            <w:tcBorders>
              <w:top w:val="nil"/>
              <w:left w:val="single" w:sz="4" w:space="0" w:color="auto"/>
              <w:bottom w:val="single" w:sz="4" w:space="0" w:color="auto"/>
              <w:right w:val="single" w:sz="4" w:space="0" w:color="auto"/>
            </w:tcBorders>
            <w:noWrap/>
            <w:vAlign w:val="center"/>
            <w:hideMark/>
          </w:tcPr>
          <w:p w14:paraId="468B908E" w14:textId="1441BDE8"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104,43</w:t>
            </w:r>
          </w:p>
        </w:tc>
        <w:tc>
          <w:tcPr>
            <w:tcW w:w="1048" w:type="dxa"/>
            <w:tcBorders>
              <w:top w:val="nil"/>
              <w:left w:val="nil"/>
              <w:bottom w:val="single" w:sz="4" w:space="0" w:color="auto"/>
              <w:right w:val="single" w:sz="4" w:space="0" w:color="auto"/>
            </w:tcBorders>
            <w:noWrap/>
            <w:vAlign w:val="center"/>
            <w:hideMark/>
          </w:tcPr>
          <w:p w14:paraId="73357DC9" w14:textId="78D4142F"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25,90</w:t>
            </w:r>
          </w:p>
        </w:tc>
        <w:tc>
          <w:tcPr>
            <w:tcW w:w="1034" w:type="dxa"/>
            <w:tcBorders>
              <w:top w:val="nil"/>
              <w:left w:val="nil"/>
              <w:bottom w:val="single" w:sz="4" w:space="0" w:color="auto"/>
              <w:right w:val="single" w:sz="4" w:space="0" w:color="auto"/>
            </w:tcBorders>
            <w:shd w:val="clear" w:color="000000" w:fill="FFFFFF"/>
            <w:noWrap/>
            <w:vAlign w:val="center"/>
            <w:hideMark/>
          </w:tcPr>
          <w:p w14:paraId="66277EEE" w14:textId="444F9652"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158,69</w:t>
            </w:r>
          </w:p>
        </w:tc>
        <w:tc>
          <w:tcPr>
            <w:tcW w:w="959" w:type="dxa"/>
            <w:tcBorders>
              <w:top w:val="nil"/>
              <w:left w:val="nil"/>
              <w:bottom w:val="single" w:sz="4" w:space="0" w:color="auto"/>
              <w:right w:val="single" w:sz="4" w:space="0" w:color="auto"/>
            </w:tcBorders>
            <w:shd w:val="clear" w:color="000000" w:fill="FFFFFF"/>
            <w:noWrap/>
            <w:vAlign w:val="center"/>
            <w:hideMark/>
          </w:tcPr>
          <w:p w14:paraId="143D547E" w14:textId="7DD8A1F7"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29,58</w:t>
            </w:r>
          </w:p>
        </w:tc>
        <w:tc>
          <w:tcPr>
            <w:tcW w:w="1122" w:type="dxa"/>
            <w:tcBorders>
              <w:top w:val="nil"/>
              <w:left w:val="nil"/>
              <w:bottom w:val="single" w:sz="4" w:space="0" w:color="auto"/>
              <w:right w:val="single" w:sz="4" w:space="0" w:color="auto"/>
            </w:tcBorders>
            <w:shd w:val="clear" w:color="000000" w:fill="FFFFFF"/>
            <w:noWrap/>
            <w:vAlign w:val="center"/>
            <w:hideMark/>
          </w:tcPr>
          <w:p w14:paraId="0FDF2C0F" w14:textId="45EF2080"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226,14</w:t>
            </w:r>
          </w:p>
        </w:tc>
        <w:tc>
          <w:tcPr>
            <w:tcW w:w="871" w:type="dxa"/>
            <w:tcBorders>
              <w:top w:val="nil"/>
              <w:left w:val="nil"/>
              <w:bottom w:val="single" w:sz="4" w:space="0" w:color="auto"/>
              <w:right w:val="single" w:sz="4" w:space="0" w:color="auto"/>
            </w:tcBorders>
            <w:noWrap/>
            <w:vAlign w:val="center"/>
            <w:hideMark/>
          </w:tcPr>
          <w:p w14:paraId="7FA9FD75" w14:textId="0CE7C547"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32,18</w:t>
            </w:r>
          </w:p>
        </w:tc>
        <w:tc>
          <w:tcPr>
            <w:tcW w:w="1071" w:type="dxa"/>
            <w:tcBorders>
              <w:top w:val="nil"/>
              <w:left w:val="nil"/>
              <w:bottom w:val="single" w:sz="4" w:space="0" w:color="auto"/>
              <w:right w:val="single" w:sz="4" w:space="0" w:color="auto"/>
            </w:tcBorders>
            <w:noWrap/>
            <w:vAlign w:val="center"/>
            <w:hideMark/>
          </w:tcPr>
          <w:p w14:paraId="376D72AE" w14:textId="23484356"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54,26</w:t>
            </w:r>
          </w:p>
        </w:tc>
        <w:tc>
          <w:tcPr>
            <w:tcW w:w="879" w:type="dxa"/>
            <w:tcBorders>
              <w:top w:val="nil"/>
              <w:left w:val="nil"/>
              <w:bottom w:val="single" w:sz="4" w:space="0" w:color="auto"/>
              <w:right w:val="single" w:sz="4" w:space="0" w:color="auto"/>
            </w:tcBorders>
            <w:noWrap/>
            <w:vAlign w:val="center"/>
            <w:hideMark/>
          </w:tcPr>
          <w:p w14:paraId="7CD55CBE" w14:textId="4DF4DF06"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51,96</w:t>
            </w:r>
          </w:p>
        </w:tc>
        <w:tc>
          <w:tcPr>
            <w:tcW w:w="925" w:type="dxa"/>
            <w:tcBorders>
              <w:top w:val="nil"/>
              <w:left w:val="nil"/>
              <w:bottom w:val="single" w:sz="4" w:space="0" w:color="auto"/>
              <w:right w:val="single" w:sz="4" w:space="0" w:color="auto"/>
            </w:tcBorders>
            <w:noWrap/>
            <w:vAlign w:val="center"/>
            <w:hideMark/>
          </w:tcPr>
          <w:p w14:paraId="2053D591" w14:textId="57B34120"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67,45</w:t>
            </w:r>
          </w:p>
        </w:tc>
        <w:tc>
          <w:tcPr>
            <w:tcW w:w="1036" w:type="dxa"/>
            <w:tcBorders>
              <w:top w:val="nil"/>
              <w:left w:val="nil"/>
              <w:bottom w:val="single" w:sz="4" w:space="0" w:color="auto"/>
              <w:right w:val="single" w:sz="4" w:space="0" w:color="auto"/>
            </w:tcBorders>
            <w:noWrap/>
            <w:vAlign w:val="center"/>
            <w:hideMark/>
          </w:tcPr>
          <w:p w14:paraId="4B34EEEC" w14:textId="42085229"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42,50</w:t>
            </w:r>
          </w:p>
        </w:tc>
      </w:tr>
      <w:tr w:rsidR="009E0361" w:rsidRPr="00545BE9" w14:paraId="3AF2DDF0"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54F35F23" w14:textId="44EC015D" w:rsidR="009E0361" w:rsidRPr="00545BE9" w:rsidRDefault="009E0361" w:rsidP="009E0361">
            <w:pPr>
              <w:spacing w:after="0" w:line="240" w:lineRule="auto"/>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4. Nợ xấu</w:t>
            </w:r>
          </w:p>
        </w:tc>
        <w:tc>
          <w:tcPr>
            <w:tcW w:w="945" w:type="dxa"/>
            <w:tcBorders>
              <w:top w:val="nil"/>
              <w:left w:val="single" w:sz="4" w:space="0" w:color="auto"/>
              <w:bottom w:val="single" w:sz="4" w:space="0" w:color="auto"/>
              <w:right w:val="single" w:sz="4" w:space="0" w:color="auto"/>
            </w:tcBorders>
            <w:noWrap/>
            <w:vAlign w:val="center"/>
            <w:hideMark/>
          </w:tcPr>
          <w:p w14:paraId="17959556" w14:textId="6C5A370A"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2,61</w:t>
            </w:r>
          </w:p>
        </w:tc>
        <w:tc>
          <w:tcPr>
            <w:tcW w:w="1048" w:type="dxa"/>
            <w:tcBorders>
              <w:top w:val="nil"/>
              <w:left w:val="nil"/>
              <w:bottom w:val="single" w:sz="4" w:space="0" w:color="auto"/>
              <w:right w:val="single" w:sz="4" w:space="0" w:color="auto"/>
            </w:tcBorders>
            <w:noWrap/>
            <w:vAlign w:val="center"/>
            <w:hideMark/>
          </w:tcPr>
          <w:p w14:paraId="608ED2FD" w14:textId="47F2AC95"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034" w:type="dxa"/>
            <w:tcBorders>
              <w:top w:val="nil"/>
              <w:left w:val="nil"/>
              <w:bottom w:val="single" w:sz="4" w:space="0" w:color="auto"/>
              <w:right w:val="single" w:sz="4" w:space="0" w:color="auto"/>
            </w:tcBorders>
            <w:noWrap/>
            <w:vAlign w:val="center"/>
            <w:hideMark/>
          </w:tcPr>
          <w:p w14:paraId="62413070" w14:textId="29C7C54B"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3,33</w:t>
            </w:r>
          </w:p>
        </w:tc>
        <w:tc>
          <w:tcPr>
            <w:tcW w:w="959" w:type="dxa"/>
            <w:tcBorders>
              <w:top w:val="nil"/>
              <w:left w:val="nil"/>
              <w:bottom w:val="single" w:sz="4" w:space="0" w:color="auto"/>
              <w:right w:val="single" w:sz="4" w:space="0" w:color="auto"/>
            </w:tcBorders>
            <w:noWrap/>
            <w:vAlign w:val="center"/>
            <w:hideMark/>
          </w:tcPr>
          <w:p w14:paraId="79EC348A" w14:textId="4A125659"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122" w:type="dxa"/>
            <w:tcBorders>
              <w:top w:val="nil"/>
              <w:left w:val="nil"/>
              <w:bottom w:val="single" w:sz="4" w:space="0" w:color="auto"/>
              <w:right w:val="single" w:sz="4" w:space="0" w:color="auto"/>
            </w:tcBorders>
            <w:noWrap/>
            <w:vAlign w:val="center"/>
            <w:hideMark/>
          </w:tcPr>
          <w:p w14:paraId="75A89BFF" w14:textId="31BA29BF"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4,98</w:t>
            </w:r>
          </w:p>
        </w:tc>
        <w:tc>
          <w:tcPr>
            <w:tcW w:w="871" w:type="dxa"/>
            <w:tcBorders>
              <w:top w:val="nil"/>
              <w:left w:val="nil"/>
              <w:bottom w:val="single" w:sz="4" w:space="0" w:color="auto"/>
              <w:right w:val="single" w:sz="4" w:space="0" w:color="auto"/>
            </w:tcBorders>
            <w:noWrap/>
            <w:vAlign w:val="center"/>
            <w:hideMark/>
          </w:tcPr>
          <w:p w14:paraId="60758E3B" w14:textId="2FE852A5"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100</w:t>
            </w:r>
          </w:p>
        </w:tc>
        <w:tc>
          <w:tcPr>
            <w:tcW w:w="1071" w:type="dxa"/>
            <w:tcBorders>
              <w:top w:val="nil"/>
              <w:left w:val="nil"/>
              <w:bottom w:val="single" w:sz="4" w:space="0" w:color="auto"/>
              <w:right w:val="single" w:sz="4" w:space="0" w:color="auto"/>
            </w:tcBorders>
            <w:noWrap/>
            <w:vAlign w:val="center"/>
            <w:hideMark/>
          </w:tcPr>
          <w:p w14:paraId="18DE4C5F" w14:textId="5A64E109"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0,72</w:t>
            </w:r>
          </w:p>
        </w:tc>
        <w:tc>
          <w:tcPr>
            <w:tcW w:w="879" w:type="dxa"/>
            <w:tcBorders>
              <w:top w:val="nil"/>
              <w:left w:val="nil"/>
              <w:bottom w:val="single" w:sz="4" w:space="0" w:color="auto"/>
              <w:right w:val="single" w:sz="4" w:space="0" w:color="auto"/>
            </w:tcBorders>
            <w:noWrap/>
            <w:vAlign w:val="center"/>
            <w:hideMark/>
          </w:tcPr>
          <w:p w14:paraId="2324914F" w14:textId="5F451B03"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27,59</w:t>
            </w:r>
          </w:p>
        </w:tc>
        <w:tc>
          <w:tcPr>
            <w:tcW w:w="925" w:type="dxa"/>
            <w:tcBorders>
              <w:top w:val="nil"/>
              <w:left w:val="nil"/>
              <w:bottom w:val="single" w:sz="4" w:space="0" w:color="auto"/>
              <w:right w:val="single" w:sz="4" w:space="0" w:color="auto"/>
            </w:tcBorders>
            <w:noWrap/>
            <w:vAlign w:val="center"/>
            <w:hideMark/>
          </w:tcPr>
          <w:p w14:paraId="4CE75166" w14:textId="619AB2D1"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1,65</w:t>
            </w:r>
          </w:p>
        </w:tc>
        <w:tc>
          <w:tcPr>
            <w:tcW w:w="1036" w:type="dxa"/>
            <w:tcBorders>
              <w:top w:val="nil"/>
              <w:left w:val="nil"/>
              <w:bottom w:val="single" w:sz="4" w:space="0" w:color="auto"/>
              <w:right w:val="single" w:sz="4" w:space="0" w:color="auto"/>
            </w:tcBorders>
            <w:noWrap/>
            <w:vAlign w:val="center"/>
            <w:hideMark/>
          </w:tcPr>
          <w:p w14:paraId="612A9DC1" w14:textId="330C5D1C" w:rsidR="009E0361" w:rsidRPr="00545BE9" w:rsidRDefault="009E0361" w:rsidP="009E0361">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49,55</w:t>
            </w:r>
          </w:p>
        </w:tc>
      </w:tr>
      <w:tr w:rsidR="009E0361" w:rsidRPr="00545BE9" w14:paraId="5F5E82FD"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12391E73" w14:textId="096BBB05"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 xml:space="preserve">Cho vay </w:t>
            </w:r>
            <w:r w:rsidRPr="00545BE9">
              <w:rPr>
                <w:rFonts w:ascii="Times New Roman" w:hAnsi="Times New Roman" w:cs="Times New Roman"/>
                <w:sz w:val="26"/>
                <w:szCs w:val="26"/>
              </w:rPr>
              <w:t xml:space="preserve"> </w:t>
            </w:r>
            <w:r w:rsidRPr="00545BE9">
              <w:rPr>
                <w:rFonts w:ascii="Times New Roman" w:eastAsia="Times New Roman" w:hAnsi="Times New Roman" w:cs="Times New Roman"/>
                <w:color w:val="000000"/>
                <w:kern w:val="0"/>
                <w:sz w:val="26"/>
                <w:szCs w:val="26"/>
                <w:lang w:eastAsia="zh-CN"/>
                <w14:ligatures w14:val="none"/>
              </w:rPr>
              <w:t>bổ sung vốn lưu động</w:t>
            </w:r>
          </w:p>
        </w:tc>
        <w:tc>
          <w:tcPr>
            <w:tcW w:w="945" w:type="dxa"/>
            <w:tcBorders>
              <w:top w:val="nil"/>
              <w:left w:val="single" w:sz="4" w:space="0" w:color="auto"/>
              <w:bottom w:val="single" w:sz="4" w:space="0" w:color="auto"/>
              <w:right w:val="single" w:sz="4" w:space="0" w:color="auto"/>
            </w:tcBorders>
            <w:noWrap/>
            <w:vAlign w:val="center"/>
            <w:hideMark/>
          </w:tcPr>
          <w:p w14:paraId="3451E896" w14:textId="11505B29"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1,95</w:t>
            </w:r>
          </w:p>
        </w:tc>
        <w:tc>
          <w:tcPr>
            <w:tcW w:w="1048" w:type="dxa"/>
            <w:tcBorders>
              <w:top w:val="nil"/>
              <w:left w:val="nil"/>
              <w:bottom w:val="single" w:sz="4" w:space="0" w:color="auto"/>
              <w:right w:val="single" w:sz="4" w:space="0" w:color="auto"/>
            </w:tcBorders>
            <w:noWrap/>
            <w:vAlign w:val="center"/>
            <w:hideMark/>
          </w:tcPr>
          <w:p w14:paraId="45548EEB" w14:textId="0E526D4A"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74,71</w:t>
            </w:r>
          </w:p>
        </w:tc>
        <w:tc>
          <w:tcPr>
            <w:tcW w:w="1034" w:type="dxa"/>
            <w:tcBorders>
              <w:top w:val="nil"/>
              <w:left w:val="nil"/>
              <w:bottom w:val="single" w:sz="4" w:space="0" w:color="auto"/>
              <w:right w:val="single" w:sz="4" w:space="0" w:color="auto"/>
            </w:tcBorders>
            <w:noWrap/>
            <w:vAlign w:val="center"/>
            <w:hideMark/>
          </w:tcPr>
          <w:p w14:paraId="57FBB1B3" w14:textId="6786CB1C"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2,47</w:t>
            </w:r>
          </w:p>
        </w:tc>
        <w:tc>
          <w:tcPr>
            <w:tcW w:w="959" w:type="dxa"/>
            <w:tcBorders>
              <w:top w:val="nil"/>
              <w:left w:val="nil"/>
              <w:bottom w:val="single" w:sz="4" w:space="0" w:color="auto"/>
              <w:right w:val="single" w:sz="4" w:space="0" w:color="auto"/>
            </w:tcBorders>
            <w:noWrap/>
            <w:vAlign w:val="center"/>
            <w:hideMark/>
          </w:tcPr>
          <w:p w14:paraId="6DDD022E" w14:textId="3ACEF759"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74,17</w:t>
            </w:r>
          </w:p>
        </w:tc>
        <w:tc>
          <w:tcPr>
            <w:tcW w:w="1122" w:type="dxa"/>
            <w:tcBorders>
              <w:top w:val="nil"/>
              <w:left w:val="nil"/>
              <w:bottom w:val="single" w:sz="4" w:space="0" w:color="auto"/>
              <w:right w:val="single" w:sz="4" w:space="0" w:color="auto"/>
            </w:tcBorders>
            <w:noWrap/>
            <w:vAlign w:val="center"/>
            <w:hideMark/>
          </w:tcPr>
          <w:p w14:paraId="52A99CF7" w14:textId="16B49E21"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3,63</w:t>
            </w:r>
          </w:p>
        </w:tc>
        <w:tc>
          <w:tcPr>
            <w:tcW w:w="871" w:type="dxa"/>
            <w:tcBorders>
              <w:top w:val="nil"/>
              <w:left w:val="nil"/>
              <w:bottom w:val="single" w:sz="4" w:space="0" w:color="auto"/>
              <w:right w:val="single" w:sz="4" w:space="0" w:color="auto"/>
            </w:tcBorders>
            <w:noWrap/>
            <w:vAlign w:val="center"/>
            <w:hideMark/>
          </w:tcPr>
          <w:p w14:paraId="4FF78C1E" w14:textId="1C7331CE"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72,89</w:t>
            </w:r>
          </w:p>
        </w:tc>
        <w:tc>
          <w:tcPr>
            <w:tcW w:w="1071" w:type="dxa"/>
            <w:tcBorders>
              <w:top w:val="nil"/>
              <w:left w:val="nil"/>
              <w:bottom w:val="single" w:sz="4" w:space="0" w:color="auto"/>
              <w:right w:val="single" w:sz="4" w:space="0" w:color="auto"/>
            </w:tcBorders>
            <w:noWrap/>
            <w:vAlign w:val="center"/>
            <w:hideMark/>
          </w:tcPr>
          <w:p w14:paraId="66C73350" w14:textId="61799A45"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0,52</w:t>
            </w:r>
          </w:p>
        </w:tc>
        <w:tc>
          <w:tcPr>
            <w:tcW w:w="879" w:type="dxa"/>
            <w:tcBorders>
              <w:top w:val="nil"/>
              <w:left w:val="nil"/>
              <w:bottom w:val="single" w:sz="4" w:space="0" w:color="auto"/>
              <w:right w:val="single" w:sz="4" w:space="0" w:color="auto"/>
            </w:tcBorders>
            <w:noWrap/>
            <w:vAlign w:val="center"/>
            <w:hideMark/>
          </w:tcPr>
          <w:p w14:paraId="03086ACB" w14:textId="195AEAC8"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26,67</w:t>
            </w:r>
          </w:p>
        </w:tc>
        <w:tc>
          <w:tcPr>
            <w:tcW w:w="925" w:type="dxa"/>
            <w:tcBorders>
              <w:top w:val="nil"/>
              <w:left w:val="nil"/>
              <w:bottom w:val="single" w:sz="4" w:space="0" w:color="auto"/>
              <w:right w:val="single" w:sz="4" w:space="0" w:color="auto"/>
            </w:tcBorders>
            <w:noWrap/>
            <w:vAlign w:val="center"/>
            <w:hideMark/>
          </w:tcPr>
          <w:p w14:paraId="74F5A258" w14:textId="7037B23D"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1,16</w:t>
            </w:r>
          </w:p>
        </w:tc>
        <w:tc>
          <w:tcPr>
            <w:tcW w:w="1036" w:type="dxa"/>
            <w:tcBorders>
              <w:top w:val="nil"/>
              <w:left w:val="nil"/>
              <w:bottom w:val="single" w:sz="4" w:space="0" w:color="auto"/>
              <w:right w:val="single" w:sz="4" w:space="0" w:color="auto"/>
            </w:tcBorders>
            <w:noWrap/>
            <w:vAlign w:val="center"/>
            <w:hideMark/>
          </w:tcPr>
          <w:p w14:paraId="0E61F772" w14:textId="43691A1E"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46,96</w:t>
            </w:r>
          </w:p>
        </w:tc>
      </w:tr>
      <w:tr w:rsidR="009E0361" w:rsidRPr="00545BE9" w14:paraId="5EABEFF0"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47D4150D" w14:textId="641E8CFB"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Cho vay đầu tư TSCĐ</w:t>
            </w:r>
          </w:p>
        </w:tc>
        <w:tc>
          <w:tcPr>
            <w:tcW w:w="945" w:type="dxa"/>
            <w:tcBorders>
              <w:top w:val="nil"/>
              <w:left w:val="single" w:sz="4" w:space="0" w:color="auto"/>
              <w:bottom w:val="single" w:sz="4" w:space="0" w:color="auto"/>
              <w:right w:val="single" w:sz="4" w:space="0" w:color="auto"/>
            </w:tcBorders>
            <w:noWrap/>
            <w:vAlign w:val="center"/>
            <w:hideMark/>
          </w:tcPr>
          <w:p w14:paraId="2E387834" w14:textId="71121140"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0,66</w:t>
            </w:r>
          </w:p>
        </w:tc>
        <w:tc>
          <w:tcPr>
            <w:tcW w:w="1048" w:type="dxa"/>
            <w:tcBorders>
              <w:top w:val="nil"/>
              <w:left w:val="nil"/>
              <w:bottom w:val="single" w:sz="4" w:space="0" w:color="auto"/>
              <w:right w:val="single" w:sz="4" w:space="0" w:color="auto"/>
            </w:tcBorders>
            <w:noWrap/>
            <w:vAlign w:val="center"/>
            <w:hideMark/>
          </w:tcPr>
          <w:p w14:paraId="47682C9F" w14:textId="1679EA58"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25,29</w:t>
            </w:r>
          </w:p>
        </w:tc>
        <w:tc>
          <w:tcPr>
            <w:tcW w:w="1034" w:type="dxa"/>
            <w:tcBorders>
              <w:top w:val="nil"/>
              <w:left w:val="nil"/>
              <w:bottom w:val="single" w:sz="4" w:space="0" w:color="auto"/>
              <w:right w:val="single" w:sz="4" w:space="0" w:color="auto"/>
            </w:tcBorders>
            <w:noWrap/>
            <w:vAlign w:val="center"/>
            <w:hideMark/>
          </w:tcPr>
          <w:p w14:paraId="02849F6A" w14:textId="0C8C0BBB"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0,87</w:t>
            </w:r>
          </w:p>
        </w:tc>
        <w:tc>
          <w:tcPr>
            <w:tcW w:w="959" w:type="dxa"/>
            <w:tcBorders>
              <w:top w:val="nil"/>
              <w:left w:val="nil"/>
              <w:bottom w:val="single" w:sz="4" w:space="0" w:color="auto"/>
              <w:right w:val="single" w:sz="4" w:space="0" w:color="auto"/>
            </w:tcBorders>
            <w:noWrap/>
            <w:vAlign w:val="center"/>
            <w:hideMark/>
          </w:tcPr>
          <w:p w14:paraId="34E45C35" w14:textId="78433C5F"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26,13</w:t>
            </w:r>
          </w:p>
        </w:tc>
        <w:tc>
          <w:tcPr>
            <w:tcW w:w="1122" w:type="dxa"/>
            <w:tcBorders>
              <w:top w:val="nil"/>
              <w:left w:val="nil"/>
              <w:bottom w:val="single" w:sz="4" w:space="0" w:color="auto"/>
              <w:right w:val="single" w:sz="4" w:space="0" w:color="auto"/>
            </w:tcBorders>
            <w:noWrap/>
            <w:vAlign w:val="center"/>
            <w:hideMark/>
          </w:tcPr>
          <w:p w14:paraId="37B227A9" w14:textId="53E59C66"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1,36</w:t>
            </w:r>
          </w:p>
        </w:tc>
        <w:tc>
          <w:tcPr>
            <w:tcW w:w="871" w:type="dxa"/>
            <w:tcBorders>
              <w:top w:val="nil"/>
              <w:left w:val="nil"/>
              <w:bottom w:val="single" w:sz="4" w:space="0" w:color="auto"/>
              <w:right w:val="single" w:sz="4" w:space="0" w:color="auto"/>
            </w:tcBorders>
            <w:noWrap/>
            <w:vAlign w:val="center"/>
            <w:hideMark/>
          </w:tcPr>
          <w:p w14:paraId="48A85709" w14:textId="68EF9879"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27,31</w:t>
            </w:r>
          </w:p>
        </w:tc>
        <w:tc>
          <w:tcPr>
            <w:tcW w:w="1071" w:type="dxa"/>
            <w:tcBorders>
              <w:top w:val="nil"/>
              <w:left w:val="nil"/>
              <w:bottom w:val="single" w:sz="4" w:space="0" w:color="auto"/>
              <w:right w:val="single" w:sz="4" w:space="0" w:color="auto"/>
            </w:tcBorders>
            <w:noWrap/>
            <w:vAlign w:val="center"/>
            <w:hideMark/>
          </w:tcPr>
          <w:p w14:paraId="7D1FC989" w14:textId="41D91EAE"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0,21</w:t>
            </w:r>
          </w:p>
        </w:tc>
        <w:tc>
          <w:tcPr>
            <w:tcW w:w="879" w:type="dxa"/>
            <w:tcBorders>
              <w:top w:val="nil"/>
              <w:left w:val="nil"/>
              <w:bottom w:val="single" w:sz="4" w:space="0" w:color="auto"/>
              <w:right w:val="single" w:sz="4" w:space="0" w:color="auto"/>
            </w:tcBorders>
            <w:noWrap/>
            <w:vAlign w:val="center"/>
            <w:hideMark/>
          </w:tcPr>
          <w:p w14:paraId="478381BC" w14:textId="220D73BB"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31,82</w:t>
            </w:r>
          </w:p>
        </w:tc>
        <w:tc>
          <w:tcPr>
            <w:tcW w:w="925" w:type="dxa"/>
            <w:tcBorders>
              <w:top w:val="nil"/>
              <w:left w:val="nil"/>
              <w:bottom w:val="single" w:sz="4" w:space="0" w:color="auto"/>
              <w:right w:val="single" w:sz="4" w:space="0" w:color="auto"/>
            </w:tcBorders>
            <w:noWrap/>
            <w:vAlign w:val="center"/>
            <w:hideMark/>
          </w:tcPr>
          <w:p w14:paraId="1B14D19B" w14:textId="7DB9D7F5"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0,49</w:t>
            </w:r>
          </w:p>
        </w:tc>
        <w:tc>
          <w:tcPr>
            <w:tcW w:w="1036" w:type="dxa"/>
            <w:tcBorders>
              <w:top w:val="nil"/>
              <w:left w:val="nil"/>
              <w:bottom w:val="single" w:sz="4" w:space="0" w:color="auto"/>
              <w:right w:val="single" w:sz="4" w:space="0" w:color="auto"/>
            </w:tcBorders>
            <w:noWrap/>
            <w:vAlign w:val="center"/>
            <w:hideMark/>
          </w:tcPr>
          <w:p w14:paraId="08B9E5A7" w14:textId="300197DE" w:rsidR="009E0361" w:rsidRPr="00545BE9" w:rsidRDefault="009E0361" w:rsidP="009E0361">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56,32</w:t>
            </w:r>
          </w:p>
        </w:tc>
      </w:tr>
      <w:tr w:rsidR="009E0361" w:rsidRPr="00545BE9" w14:paraId="051418BF"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0520B3D7" w14:textId="1BE86ADD" w:rsidR="009E0361" w:rsidRPr="00545BE9" w:rsidRDefault="009E0361" w:rsidP="009E0361">
            <w:pPr>
              <w:spacing w:after="0" w:line="240" w:lineRule="auto"/>
              <w:rPr>
                <w:rFonts w:ascii="Times New Roman" w:eastAsia="Times New Roman" w:hAnsi="Times New Roman" w:cs="Times New Roman"/>
                <w:b/>
                <w:bCs/>
                <w:color w:val="000000"/>
                <w:kern w:val="0"/>
                <w:sz w:val="26"/>
                <w:szCs w:val="26"/>
                <w:lang w:eastAsia="zh-CN"/>
                <w14:ligatures w14:val="none"/>
              </w:rPr>
            </w:pPr>
            <w:r w:rsidRPr="00545BE9">
              <w:rPr>
                <w:rFonts w:ascii="Times New Roman" w:eastAsia="Times New Roman" w:hAnsi="Times New Roman" w:cs="Times New Roman"/>
                <w:b/>
                <w:bCs/>
                <w:color w:val="000000"/>
                <w:kern w:val="0"/>
                <w:sz w:val="26"/>
                <w:szCs w:val="26"/>
                <w:lang w:eastAsia="zh-CN"/>
                <w14:ligatures w14:val="none"/>
              </w:rPr>
              <w:t>5. Tỷ lệ nợ xấu (%)</w:t>
            </w:r>
          </w:p>
        </w:tc>
        <w:tc>
          <w:tcPr>
            <w:tcW w:w="1994" w:type="dxa"/>
            <w:gridSpan w:val="2"/>
            <w:tcBorders>
              <w:top w:val="single" w:sz="4" w:space="0" w:color="auto"/>
              <w:left w:val="single" w:sz="4" w:space="0" w:color="auto"/>
              <w:bottom w:val="single" w:sz="4" w:space="0" w:color="auto"/>
              <w:right w:val="single" w:sz="4" w:space="0" w:color="000000"/>
            </w:tcBorders>
            <w:noWrap/>
            <w:vAlign w:val="center"/>
            <w:hideMark/>
          </w:tcPr>
          <w:p w14:paraId="529FF6ED" w14:textId="514F4F34" w:rsidR="009E0361" w:rsidRPr="00545BE9" w:rsidRDefault="009E0361" w:rsidP="009E0361">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0,65</w:t>
            </w:r>
          </w:p>
        </w:tc>
        <w:tc>
          <w:tcPr>
            <w:tcW w:w="1994" w:type="dxa"/>
            <w:gridSpan w:val="2"/>
            <w:tcBorders>
              <w:top w:val="single" w:sz="4" w:space="0" w:color="auto"/>
              <w:left w:val="nil"/>
              <w:bottom w:val="single" w:sz="4" w:space="0" w:color="auto"/>
              <w:right w:val="single" w:sz="4" w:space="0" w:color="000000"/>
            </w:tcBorders>
            <w:noWrap/>
            <w:vAlign w:val="center"/>
            <w:hideMark/>
          </w:tcPr>
          <w:p w14:paraId="5DD0C84C" w14:textId="56A13DBA" w:rsidR="009E0361" w:rsidRPr="00545BE9" w:rsidRDefault="009E0361" w:rsidP="009E0361">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0,62</w:t>
            </w:r>
          </w:p>
        </w:tc>
        <w:tc>
          <w:tcPr>
            <w:tcW w:w="1994" w:type="dxa"/>
            <w:gridSpan w:val="2"/>
            <w:tcBorders>
              <w:top w:val="single" w:sz="4" w:space="0" w:color="auto"/>
              <w:left w:val="nil"/>
              <w:bottom w:val="single" w:sz="4" w:space="0" w:color="auto"/>
              <w:right w:val="single" w:sz="4" w:space="0" w:color="000000"/>
            </w:tcBorders>
            <w:noWrap/>
            <w:vAlign w:val="center"/>
            <w:hideMark/>
          </w:tcPr>
          <w:p w14:paraId="2DA10286" w14:textId="174D18D1" w:rsidR="009E0361" w:rsidRPr="00545BE9" w:rsidRDefault="009E0361" w:rsidP="009E0361">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545BE9">
              <w:rPr>
                <w:rFonts w:ascii="Times New Roman" w:hAnsi="Times New Roman" w:cs="Times New Roman"/>
                <w:b/>
                <w:bCs/>
                <w:color w:val="000000"/>
                <w:sz w:val="26"/>
                <w:szCs w:val="26"/>
              </w:rPr>
              <w:t>0,71</w:t>
            </w:r>
          </w:p>
        </w:tc>
        <w:tc>
          <w:tcPr>
            <w:tcW w:w="3912" w:type="dxa"/>
            <w:gridSpan w:val="4"/>
            <w:vMerge w:val="restart"/>
            <w:tcBorders>
              <w:top w:val="single" w:sz="4" w:space="0" w:color="auto"/>
              <w:left w:val="nil"/>
              <w:right w:val="single" w:sz="4" w:space="0" w:color="000000"/>
            </w:tcBorders>
            <w:noWrap/>
            <w:vAlign w:val="center"/>
          </w:tcPr>
          <w:p w14:paraId="14EA8C46" w14:textId="77777777" w:rsidR="009E0361" w:rsidRPr="00545BE9" w:rsidRDefault="009E0361" w:rsidP="009E0361">
            <w:pPr>
              <w:spacing w:after="0" w:line="240" w:lineRule="auto"/>
              <w:jc w:val="center"/>
              <w:rPr>
                <w:rFonts w:ascii="Times New Roman" w:eastAsia="Times New Roman" w:hAnsi="Times New Roman" w:cs="Times New Roman"/>
                <w:b/>
                <w:bCs/>
                <w:color w:val="000000"/>
                <w:kern w:val="0"/>
                <w:sz w:val="26"/>
                <w:szCs w:val="26"/>
                <w:lang w:eastAsia="zh-CN"/>
                <w14:ligatures w14:val="none"/>
              </w:rPr>
            </w:pPr>
          </w:p>
        </w:tc>
      </w:tr>
      <w:tr w:rsidR="009E0361" w:rsidRPr="00545BE9" w14:paraId="03E7B383"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6F061D84" w14:textId="6232933B"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 xml:space="preserve">Cho vay </w:t>
            </w:r>
            <w:r w:rsidRPr="00545BE9">
              <w:rPr>
                <w:rFonts w:ascii="Times New Roman" w:hAnsi="Times New Roman" w:cs="Times New Roman"/>
                <w:sz w:val="26"/>
                <w:szCs w:val="26"/>
              </w:rPr>
              <w:t xml:space="preserve"> </w:t>
            </w:r>
            <w:r w:rsidRPr="00545BE9">
              <w:rPr>
                <w:rFonts w:ascii="Times New Roman" w:eastAsia="Times New Roman" w:hAnsi="Times New Roman" w:cs="Times New Roman"/>
                <w:color w:val="000000"/>
                <w:kern w:val="0"/>
                <w:sz w:val="26"/>
                <w:szCs w:val="26"/>
                <w:lang w:eastAsia="zh-CN"/>
                <w14:ligatures w14:val="none"/>
              </w:rPr>
              <w:t>bổ sung vốn lưu động</w:t>
            </w:r>
          </w:p>
        </w:tc>
        <w:tc>
          <w:tcPr>
            <w:tcW w:w="1994" w:type="dxa"/>
            <w:gridSpan w:val="2"/>
            <w:tcBorders>
              <w:top w:val="single" w:sz="4" w:space="0" w:color="auto"/>
              <w:left w:val="single" w:sz="4" w:space="0" w:color="auto"/>
              <w:bottom w:val="single" w:sz="4" w:space="0" w:color="auto"/>
              <w:right w:val="single" w:sz="4" w:space="0" w:color="000000"/>
            </w:tcBorders>
            <w:noWrap/>
            <w:vAlign w:val="center"/>
            <w:hideMark/>
          </w:tcPr>
          <w:p w14:paraId="58A751C1" w14:textId="24201E2D" w:rsidR="009E0361" w:rsidRPr="00545BE9" w:rsidRDefault="009E0361" w:rsidP="009E0361">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0,65</w:t>
            </w:r>
          </w:p>
        </w:tc>
        <w:tc>
          <w:tcPr>
            <w:tcW w:w="1994" w:type="dxa"/>
            <w:gridSpan w:val="2"/>
            <w:tcBorders>
              <w:top w:val="single" w:sz="4" w:space="0" w:color="auto"/>
              <w:left w:val="nil"/>
              <w:bottom w:val="single" w:sz="4" w:space="0" w:color="auto"/>
              <w:right w:val="single" w:sz="4" w:space="0" w:color="000000"/>
            </w:tcBorders>
            <w:noWrap/>
            <w:vAlign w:val="center"/>
            <w:hideMark/>
          </w:tcPr>
          <w:p w14:paraId="25F83C3F" w14:textId="4DACF9CB" w:rsidR="009E0361" w:rsidRPr="00545BE9" w:rsidRDefault="009E0361" w:rsidP="009E0361">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0,65</w:t>
            </w:r>
          </w:p>
        </w:tc>
        <w:tc>
          <w:tcPr>
            <w:tcW w:w="1994" w:type="dxa"/>
            <w:gridSpan w:val="2"/>
            <w:tcBorders>
              <w:top w:val="single" w:sz="4" w:space="0" w:color="auto"/>
              <w:left w:val="nil"/>
              <w:bottom w:val="single" w:sz="4" w:space="0" w:color="auto"/>
              <w:right w:val="single" w:sz="4" w:space="0" w:color="000000"/>
            </w:tcBorders>
            <w:noWrap/>
            <w:vAlign w:val="center"/>
            <w:hideMark/>
          </w:tcPr>
          <w:p w14:paraId="3F2BFC47" w14:textId="5CDDA840" w:rsidR="009E0361" w:rsidRPr="00545BE9" w:rsidRDefault="009E0361" w:rsidP="009E0361">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0,76</w:t>
            </w:r>
          </w:p>
        </w:tc>
        <w:tc>
          <w:tcPr>
            <w:tcW w:w="3912" w:type="dxa"/>
            <w:gridSpan w:val="4"/>
            <w:vMerge/>
            <w:tcBorders>
              <w:left w:val="nil"/>
              <w:right w:val="single" w:sz="4" w:space="0" w:color="000000"/>
            </w:tcBorders>
            <w:noWrap/>
            <w:vAlign w:val="center"/>
          </w:tcPr>
          <w:p w14:paraId="1579FCE6" w14:textId="77777777" w:rsidR="009E0361" w:rsidRPr="00545BE9" w:rsidRDefault="009E0361" w:rsidP="009E0361">
            <w:pPr>
              <w:spacing w:after="0" w:line="240" w:lineRule="auto"/>
              <w:jc w:val="center"/>
              <w:rPr>
                <w:rFonts w:ascii="Times New Roman" w:eastAsia="Times New Roman" w:hAnsi="Times New Roman" w:cs="Times New Roman"/>
                <w:color w:val="000000"/>
                <w:kern w:val="0"/>
                <w:sz w:val="26"/>
                <w:szCs w:val="26"/>
                <w:lang w:eastAsia="zh-CN"/>
                <w14:ligatures w14:val="none"/>
              </w:rPr>
            </w:pPr>
          </w:p>
        </w:tc>
      </w:tr>
      <w:tr w:rsidR="009E0361" w:rsidRPr="00545BE9" w14:paraId="25622B37" w14:textId="77777777" w:rsidTr="00545BE9">
        <w:trPr>
          <w:trHeight w:val="234"/>
        </w:trPr>
        <w:tc>
          <w:tcPr>
            <w:tcW w:w="4047" w:type="dxa"/>
            <w:tcBorders>
              <w:top w:val="nil"/>
              <w:left w:val="single" w:sz="4" w:space="0" w:color="auto"/>
              <w:bottom w:val="single" w:sz="4" w:space="0" w:color="auto"/>
              <w:right w:val="single" w:sz="4" w:space="0" w:color="auto"/>
            </w:tcBorders>
            <w:noWrap/>
            <w:vAlign w:val="center"/>
            <w:hideMark/>
          </w:tcPr>
          <w:p w14:paraId="6ADE65A7" w14:textId="4A524662" w:rsidR="009E0361" w:rsidRPr="00545BE9" w:rsidRDefault="009E0361" w:rsidP="009E0361">
            <w:pPr>
              <w:spacing w:after="0" w:line="240" w:lineRule="auto"/>
              <w:rPr>
                <w:rFonts w:ascii="Times New Roman" w:eastAsia="Times New Roman" w:hAnsi="Times New Roman" w:cs="Times New Roman"/>
                <w:color w:val="000000"/>
                <w:kern w:val="0"/>
                <w:sz w:val="26"/>
                <w:szCs w:val="26"/>
                <w:lang w:eastAsia="zh-CN"/>
                <w14:ligatures w14:val="none"/>
              </w:rPr>
            </w:pPr>
            <w:r w:rsidRPr="00545BE9">
              <w:rPr>
                <w:rFonts w:ascii="Times New Roman" w:eastAsia="Times New Roman" w:hAnsi="Times New Roman" w:cs="Times New Roman"/>
                <w:color w:val="000000"/>
                <w:kern w:val="0"/>
                <w:sz w:val="26"/>
                <w:szCs w:val="26"/>
                <w:lang w:eastAsia="zh-CN"/>
                <w14:ligatures w14:val="none"/>
              </w:rPr>
              <w:t>Cho vay đầu tư TSCĐ</w:t>
            </w:r>
          </w:p>
        </w:tc>
        <w:tc>
          <w:tcPr>
            <w:tcW w:w="1994" w:type="dxa"/>
            <w:gridSpan w:val="2"/>
            <w:tcBorders>
              <w:top w:val="single" w:sz="4" w:space="0" w:color="auto"/>
              <w:left w:val="single" w:sz="4" w:space="0" w:color="auto"/>
              <w:bottom w:val="single" w:sz="4" w:space="0" w:color="auto"/>
              <w:right w:val="single" w:sz="4" w:space="0" w:color="000000"/>
            </w:tcBorders>
            <w:noWrap/>
            <w:vAlign w:val="center"/>
            <w:hideMark/>
          </w:tcPr>
          <w:p w14:paraId="70EEB94B" w14:textId="302AA0B7" w:rsidR="009E0361" w:rsidRPr="00545BE9" w:rsidRDefault="009E0361" w:rsidP="009E0361">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0,63</w:t>
            </w:r>
          </w:p>
        </w:tc>
        <w:tc>
          <w:tcPr>
            <w:tcW w:w="1994" w:type="dxa"/>
            <w:gridSpan w:val="2"/>
            <w:tcBorders>
              <w:top w:val="single" w:sz="4" w:space="0" w:color="auto"/>
              <w:left w:val="nil"/>
              <w:bottom w:val="single" w:sz="4" w:space="0" w:color="auto"/>
              <w:right w:val="single" w:sz="4" w:space="0" w:color="000000"/>
            </w:tcBorders>
            <w:noWrap/>
            <w:vAlign w:val="center"/>
            <w:hideMark/>
          </w:tcPr>
          <w:p w14:paraId="11475561" w14:textId="1B85772C" w:rsidR="009E0361" w:rsidRPr="00545BE9" w:rsidRDefault="009E0361" w:rsidP="009E0361">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0,55</w:t>
            </w:r>
          </w:p>
        </w:tc>
        <w:tc>
          <w:tcPr>
            <w:tcW w:w="1994" w:type="dxa"/>
            <w:gridSpan w:val="2"/>
            <w:tcBorders>
              <w:top w:val="single" w:sz="4" w:space="0" w:color="auto"/>
              <w:left w:val="nil"/>
              <w:bottom w:val="single" w:sz="4" w:space="0" w:color="auto"/>
              <w:right w:val="single" w:sz="4" w:space="0" w:color="000000"/>
            </w:tcBorders>
            <w:noWrap/>
            <w:vAlign w:val="center"/>
            <w:hideMark/>
          </w:tcPr>
          <w:p w14:paraId="78A329B3" w14:textId="3E1015B5" w:rsidR="009E0361" w:rsidRPr="00545BE9" w:rsidRDefault="009E0361" w:rsidP="009E0361">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545BE9">
              <w:rPr>
                <w:rFonts w:ascii="Times New Roman" w:hAnsi="Times New Roman" w:cs="Times New Roman"/>
                <w:color w:val="000000"/>
                <w:sz w:val="26"/>
                <w:szCs w:val="26"/>
              </w:rPr>
              <w:t>0,60</w:t>
            </w:r>
          </w:p>
        </w:tc>
        <w:tc>
          <w:tcPr>
            <w:tcW w:w="3912" w:type="dxa"/>
            <w:gridSpan w:val="4"/>
            <w:vMerge/>
            <w:tcBorders>
              <w:left w:val="nil"/>
              <w:bottom w:val="single" w:sz="4" w:space="0" w:color="auto"/>
              <w:right w:val="single" w:sz="4" w:space="0" w:color="000000"/>
            </w:tcBorders>
            <w:noWrap/>
            <w:vAlign w:val="center"/>
          </w:tcPr>
          <w:p w14:paraId="2683B276" w14:textId="77777777" w:rsidR="009E0361" w:rsidRPr="00545BE9" w:rsidRDefault="009E0361" w:rsidP="009E0361">
            <w:pPr>
              <w:spacing w:after="0" w:line="240" w:lineRule="auto"/>
              <w:jc w:val="center"/>
              <w:rPr>
                <w:rFonts w:ascii="Times New Roman" w:eastAsia="Times New Roman" w:hAnsi="Times New Roman" w:cs="Times New Roman"/>
                <w:color w:val="000000"/>
                <w:kern w:val="0"/>
                <w:sz w:val="26"/>
                <w:szCs w:val="26"/>
                <w:lang w:eastAsia="zh-CN"/>
                <w14:ligatures w14:val="none"/>
              </w:rPr>
            </w:pPr>
          </w:p>
        </w:tc>
      </w:tr>
    </w:tbl>
    <w:p w14:paraId="0BD80F1F" w14:textId="77777777" w:rsidR="00545BE9" w:rsidRDefault="00545BE9" w:rsidP="00545BE9">
      <w:pPr>
        <w:tabs>
          <w:tab w:val="left" w:pos="6210"/>
        </w:tabs>
        <w:spacing w:after="0" w:line="360" w:lineRule="auto"/>
        <w:ind w:firstLine="567"/>
        <w:jc w:val="right"/>
        <w:rPr>
          <w:rFonts w:ascii="Times New Roman" w:eastAsia="Times New Roman" w:hAnsi="Times New Roman" w:cs="Times New Roman"/>
          <w:i/>
          <w:iCs/>
          <w:color w:val="000000"/>
          <w:kern w:val="0"/>
          <w:sz w:val="26"/>
          <w:szCs w:val="26"/>
          <w:lang w:val="vi-VN"/>
          <w14:ligatures w14:val="none"/>
        </w:rPr>
      </w:pPr>
      <w:r w:rsidRPr="002B008A">
        <w:rPr>
          <w:rFonts w:ascii="Times New Roman" w:eastAsia="Times New Roman" w:hAnsi="Times New Roman" w:cs="Times New Roman"/>
          <w:i/>
          <w:iCs/>
          <w:color w:val="000000"/>
          <w:kern w:val="0"/>
          <w:sz w:val="26"/>
          <w:szCs w:val="26"/>
          <w:lang w:val="vi-VN"/>
          <w14:ligatures w14:val="none"/>
        </w:rPr>
        <w:t>(Nguồn: Báo cáo tài chính Ngân hàng TMCP Quân đội - Chi Nhánh Đà Nẵng giai đoạn 2023 - 2025)</w:t>
      </w:r>
    </w:p>
    <w:p w14:paraId="4A2F63A1" w14:textId="77777777" w:rsidR="009E0361" w:rsidRPr="00545BE9" w:rsidRDefault="009E0361" w:rsidP="00545BE9">
      <w:pPr>
        <w:spacing w:after="0"/>
        <w:jc w:val="center"/>
        <w:rPr>
          <w:rFonts w:ascii="Times New Roman" w:hAnsi="Times New Roman" w:cs="Times New Roman"/>
          <w:sz w:val="26"/>
          <w:szCs w:val="26"/>
          <w:lang w:val="vi-VN"/>
        </w:rPr>
      </w:pPr>
    </w:p>
    <w:p w14:paraId="0B54E7AF" w14:textId="77777777" w:rsidR="009E0361" w:rsidRPr="009E0361" w:rsidRDefault="009E0361" w:rsidP="009E0361">
      <w:pPr>
        <w:rPr>
          <w:rFonts w:ascii="Times New Roman" w:hAnsi="Times New Roman" w:cs="Times New Roman"/>
          <w:sz w:val="26"/>
          <w:szCs w:val="26"/>
          <w:lang w:val="vi"/>
        </w:rPr>
      </w:pPr>
    </w:p>
    <w:p w14:paraId="5699EE52" w14:textId="77777777" w:rsidR="009E0361" w:rsidRPr="009E0361" w:rsidRDefault="009E0361" w:rsidP="009E0361">
      <w:pPr>
        <w:rPr>
          <w:rFonts w:ascii="Times New Roman" w:hAnsi="Times New Roman" w:cs="Times New Roman"/>
          <w:sz w:val="26"/>
          <w:szCs w:val="26"/>
          <w:lang w:val="vi"/>
        </w:rPr>
        <w:sectPr w:rsidR="009E0361" w:rsidRPr="009E0361" w:rsidSect="009E0361">
          <w:pgSz w:w="16838" w:h="11906" w:orient="landscape" w:code="9"/>
          <w:pgMar w:top="1134" w:right="1134" w:bottom="1134" w:left="1701" w:header="720" w:footer="720" w:gutter="0"/>
          <w:cols w:space="720"/>
          <w:docGrid w:linePitch="360"/>
        </w:sectPr>
      </w:pPr>
    </w:p>
    <w:p w14:paraId="5BFCC0A3" w14:textId="77777777" w:rsidR="00CA0A09" w:rsidRDefault="00CA0A09" w:rsidP="00842669">
      <w:pPr>
        <w:tabs>
          <w:tab w:val="left" w:pos="6210"/>
        </w:tabs>
        <w:spacing w:after="0" w:line="360" w:lineRule="auto"/>
        <w:ind w:firstLine="567"/>
        <w:jc w:val="both"/>
        <w:rPr>
          <w:rFonts w:ascii="Times New Roman" w:hAnsi="Times New Roman" w:cs="Times New Roman"/>
          <w:color w:val="000000" w:themeColor="text1"/>
          <w:sz w:val="26"/>
          <w:szCs w:val="26"/>
          <w:lang w:val="vi"/>
        </w:rPr>
      </w:pPr>
    </w:p>
    <w:p w14:paraId="25CFA703" w14:textId="2202AEE8" w:rsidR="00842669" w:rsidRPr="002B008A" w:rsidRDefault="00842669" w:rsidP="00842669">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 xml:space="preserve">Xét theo cơ cấu, cho vay bổ sung vốn lưu động luôn chiếm tỷ trọng chủ đạo, duy trì khoảng 73% tổng doanh số cho vay SXKD đối với KHCN trong giai đoạn nghiên cứu. Quy mô cho vay tăng từ 226,66 tỷ đồng năm 2023 lên 375,41 tỷ đồng năm 2025, cho thấy nhu cầu vốn ngắn hạn của khách hàng vẫn ở mức cao. Điều này phù hợp với đặc điểm của nhóm khách hàng kinh doanh nhỏ lẻ trên địa bàn khi nhu cầu vốn chủ yếu phục vụ nhập hàng, bổ sung vốn lưu động và duy trì hoạt động kinh doanh thường xuyên. Từ phía ngân hàng, việc tập trung vào nhóm tín dụng này cũng giúp nâng cao khả năng xoay vòng vốn và thuận lợi hơn trong quá trình kiểm soát khoản </w:t>
      </w:r>
      <w:r w:rsidR="00CA42EC">
        <w:rPr>
          <w:rFonts w:ascii="Times New Roman" w:hAnsi="Times New Roman" w:cs="Times New Roman"/>
          <w:color w:val="000000" w:themeColor="text1"/>
          <w:sz w:val="26"/>
          <w:szCs w:val="26"/>
          <w:lang w:val="vi"/>
        </w:rPr>
        <w:t xml:space="preserve">cho </w:t>
      </w:r>
      <w:r w:rsidRPr="002B008A">
        <w:rPr>
          <w:rFonts w:ascii="Times New Roman" w:hAnsi="Times New Roman" w:cs="Times New Roman"/>
          <w:color w:val="000000" w:themeColor="text1"/>
          <w:sz w:val="26"/>
          <w:szCs w:val="26"/>
          <w:lang w:val="vi"/>
        </w:rPr>
        <w:t>vay nhờ thời gian thu hồi vốn ngắn.</w:t>
      </w:r>
    </w:p>
    <w:p w14:paraId="2A46F7B5" w14:textId="463808A3" w:rsidR="00842669" w:rsidRPr="002B008A" w:rsidRDefault="00842669" w:rsidP="00842669">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Trong khi đó, cho vay đầu tư TSCĐ chiếm tỷ trọng thấp hơn, dao động khoảng 26%–27% tổng doanh số cho vay nhưng vẫn tăng từ 81,95 tỷ đồng năm 2023 lên 137,32 tỷ đồng năm 2025. Diễn biến này cho thấy nhiều khách hàng bắt đầu mở rộng quy mô kinh doanh thông qua đầu tư máy móc, phương tiện vận chuyển hoặc nâng cấp cơ sở kinh doanh. Tuy nhiên, đây là nhóm tín dụng trung và dài hạn, có thời gian hoàn vốn kéo dài và phụ thuộc nhiều vào hiệu quả hoạt động kinh doanh trong tương lai nên tiềm ẩn mức độ rủi ro cao hơn so với cho vay</w:t>
      </w:r>
      <w:r w:rsidR="001D64A8" w:rsidRPr="002B008A">
        <w:rPr>
          <w:rFonts w:ascii="Times New Roman" w:hAnsi="Times New Roman" w:cs="Times New Roman"/>
          <w:color w:val="000000" w:themeColor="text1"/>
          <w:sz w:val="26"/>
          <w:szCs w:val="26"/>
          <w:lang w:val="vi"/>
        </w:rPr>
        <w:t xml:space="preserve"> bổ sung</w:t>
      </w:r>
      <w:r w:rsidRPr="002B008A">
        <w:rPr>
          <w:rFonts w:ascii="Times New Roman" w:hAnsi="Times New Roman" w:cs="Times New Roman"/>
          <w:color w:val="000000" w:themeColor="text1"/>
          <w:sz w:val="26"/>
          <w:szCs w:val="26"/>
          <w:lang w:val="vi"/>
        </w:rPr>
        <w:t xml:space="preserve"> vốn lưu động.</w:t>
      </w:r>
    </w:p>
    <w:p w14:paraId="7F999784" w14:textId="66603A10" w:rsidR="00842669" w:rsidRPr="002B008A" w:rsidRDefault="00842669" w:rsidP="00842669">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Về khả năng thu hồi vốn, doanh số thu nợ tăng từ 214,34 tỷ đồng năm 2023 lên 346,48 tỷ đồng năm 2025, phản ánh công tác thu hồi nợ của chi nhánh vẫn duy trì xu hướng tích cực. Trong đó, thu nợ từ cho vay</w:t>
      </w:r>
      <w:r w:rsidR="001D64A8" w:rsidRPr="002B008A">
        <w:rPr>
          <w:rFonts w:ascii="Times New Roman" w:hAnsi="Times New Roman" w:cs="Times New Roman"/>
          <w:color w:val="000000" w:themeColor="text1"/>
          <w:sz w:val="26"/>
          <w:szCs w:val="26"/>
          <w:lang w:val="vi"/>
        </w:rPr>
        <w:t xml:space="preserve"> bổ sung</w:t>
      </w:r>
      <w:r w:rsidRPr="002B008A">
        <w:rPr>
          <w:rFonts w:ascii="Times New Roman" w:hAnsi="Times New Roman" w:cs="Times New Roman"/>
          <w:color w:val="000000" w:themeColor="text1"/>
          <w:sz w:val="26"/>
          <w:szCs w:val="26"/>
          <w:lang w:val="vi"/>
        </w:rPr>
        <w:t xml:space="preserve"> vốn lưu động chiếm khoảng 80% tổng doanh số thu nợ nhờ đặc điểm thời gian vay ngắn và dòng tiền kinh doanh phát sinh thường xuyên. Ngược lại, các khoản </w:t>
      </w:r>
      <w:r w:rsidR="00B9784C" w:rsidRPr="002B008A">
        <w:rPr>
          <w:rFonts w:ascii="Times New Roman" w:hAnsi="Times New Roman" w:cs="Times New Roman"/>
          <w:color w:val="000000" w:themeColor="text1"/>
          <w:sz w:val="26"/>
          <w:szCs w:val="26"/>
          <w:lang w:val="vi"/>
        </w:rPr>
        <w:t xml:space="preserve">cho </w:t>
      </w:r>
      <w:r w:rsidRPr="002B008A">
        <w:rPr>
          <w:rFonts w:ascii="Times New Roman" w:hAnsi="Times New Roman" w:cs="Times New Roman"/>
          <w:color w:val="000000" w:themeColor="text1"/>
          <w:sz w:val="26"/>
          <w:szCs w:val="26"/>
          <w:lang w:val="vi"/>
        </w:rPr>
        <w:t>vay đầu tư TSCĐ có tốc độ thu hồi vốn chậm hơn do phụ thuộc vào hiệu quả đầu tư và khả năng tạo lợi nhuận trong dài hạn. Mặc dù doanh số thu nợ vẫn tăng qua các năm, tốc độ tăng dư nợ vẫn cao hơn tốc độ thu nợ, cho thấy áp lực thu hồi vốn của chi nhánh đang có xu hướng gia tăng trong quá trình mở rộng tín dụng.</w:t>
      </w:r>
    </w:p>
    <w:p w14:paraId="6B4E6DD2" w14:textId="251C201B" w:rsidR="00AD0071" w:rsidRPr="002B008A" w:rsidRDefault="00842669" w:rsidP="00842669">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 xml:space="preserve">Dư nợ cho vay SXKD đối với KHCN tăng mạnh từ 403,14 tỷ đồng năm 2023 lên 702,76 tỷ đồng năm 2025. Đáng chú ý, cơ cấu dư nợ có sự chuyển dịch khi tỷ trọng cho vay </w:t>
      </w:r>
      <w:r w:rsidR="001D64A8" w:rsidRPr="002B008A">
        <w:rPr>
          <w:rFonts w:ascii="Times New Roman" w:hAnsi="Times New Roman" w:cs="Times New Roman"/>
          <w:color w:val="000000" w:themeColor="text1"/>
          <w:sz w:val="26"/>
          <w:szCs w:val="26"/>
          <w:lang w:val="vi"/>
        </w:rPr>
        <w:t xml:space="preserve">bổ sung </w:t>
      </w:r>
      <w:r w:rsidRPr="002B008A">
        <w:rPr>
          <w:rFonts w:ascii="Times New Roman" w:hAnsi="Times New Roman" w:cs="Times New Roman"/>
          <w:color w:val="000000" w:themeColor="text1"/>
          <w:sz w:val="26"/>
          <w:szCs w:val="26"/>
          <w:lang w:val="vi"/>
        </w:rPr>
        <w:t xml:space="preserve">vốn lưu động giảm từ 74,10% xuống 67,82%, trong khi tỷ trọng cho vay đầu tư TSCĐ tăng từ 25,90% lên 32,18%. Xu hướng này phản ánh định hướng mở rộng cho vay trung và dài hạn nhằm hỗ trợ khách hàng đầu tư và phát triển hoạt động kinh </w:t>
      </w:r>
      <w:r w:rsidRPr="002B008A">
        <w:rPr>
          <w:rFonts w:ascii="Times New Roman" w:hAnsi="Times New Roman" w:cs="Times New Roman"/>
          <w:color w:val="000000" w:themeColor="text1"/>
          <w:sz w:val="26"/>
          <w:szCs w:val="26"/>
          <w:lang w:val="vi"/>
        </w:rPr>
        <w:lastRenderedPageBreak/>
        <w:t xml:space="preserve">doanh. </w:t>
      </w:r>
      <w:r w:rsidR="00AD0071" w:rsidRPr="002B008A">
        <w:rPr>
          <w:rFonts w:ascii="Times New Roman" w:hAnsi="Times New Roman" w:cs="Times New Roman"/>
          <w:color w:val="000000" w:themeColor="text1"/>
          <w:sz w:val="26"/>
          <w:szCs w:val="26"/>
          <w:lang w:val="vi"/>
        </w:rPr>
        <w:t xml:space="preserve">Tuy nhiên, việc gia tăng tỷ trọng cho vay đầu tư TSCĐ cũng khiến chu kỳ thu hồi vốn kéo dài hơn và làm gia tăng áp lực quản lý tín dụng trung – dài hạn. </w:t>
      </w:r>
    </w:p>
    <w:p w14:paraId="09FE26B5" w14:textId="5195828F" w:rsidR="00AD0071" w:rsidRPr="002B008A" w:rsidRDefault="00842669" w:rsidP="00842669">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Đi cùng với quá trình mở rộng tín dụng, nợ xấu trong cho vay SXKD đối với KHCN cũng tăng từ 2,61 tỷ đồng năm 2023 lên 4,98 tỷ đồng năm 2025, trong khi tỷ lệ nợ xấu tăng trở lại lên 0,71% vào cuối giai đoạn nghiên cứu. Nợ xấu tập trung chủ yếu ở nhóm cho vay</w:t>
      </w:r>
      <w:r w:rsidR="002049A6" w:rsidRPr="002B008A">
        <w:rPr>
          <w:rFonts w:ascii="Times New Roman" w:hAnsi="Times New Roman" w:cs="Times New Roman"/>
          <w:color w:val="000000" w:themeColor="text1"/>
          <w:sz w:val="26"/>
          <w:szCs w:val="26"/>
          <w:lang w:val="vi"/>
        </w:rPr>
        <w:t xml:space="preserve"> bổ sung</w:t>
      </w:r>
      <w:r w:rsidRPr="002B008A">
        <w:rPr>
          <w:rFonts w:ascii="Times New Roman" w:hAnsi="Times New Roman" w:cs="Times New Roman"/>
          <w:color w:val="000000" w:themeColor="text1"/>
          <w:sz w:val="26"/>
          <w:szCs w:val="26"/>
          <w:lang w:val="vi"/>
        </w:rPr>
        <w:t xml:space="preserve"> vốn lưu động do nhóm khách hàng này phụ thuộc nhiều vào khả năng tiêu thụ hàng hóa và tốc độ quay vòng vốn ngắn hạn. Khi sức mua giảm, hàng tồn kho tăng hoặc công nợ kéo dài, khả năng thanh toán của khách hàng sẽ bị ảnh hưởng đáng kể. </w:t>
      </w:r>
      <w:r w:rsidR="00AD0071" w:rsidRPr="002B008A">
        <w:rPr>
          <w:rFonts w:ascii="Times New Roman" w:hAnsi="Times New Roman" w:cs="Times New Roman"/>
          <w:color w:val="000000" w:themeColor="text1"/>
          <w:sz w:val="26"/>
          <w:szCs w:val="26"/>
          <w:lang w:val="vi"/>
        </w:rPr>
        <w:t>Bên cạnh đó, tốc độ tăng dư nợ cao hơn tốc độ thu nợ cho thấy nguy cơ phát sinh nợ quá hạn đang có xu hướng gia tăng trong quá trình mở rộng tín dụng.</w:t>
      </w:r>
    </w:p>
    <w:p w14:paraId="62E8B3A3" w14:textId="7EC534C3" w:rsidR="00842669" w:rsidRPr="002B008A" w:rsidRDefault="00842669" w:rsidP="00842669">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 xml:space="preserve">Nhìn chung, hoạt động cho vay SXKD đối với KHCN tại MB Đà Nẵng trong giai đoạn 2023–2025 tiếp tục duy trì đà tăng trưởng khá, trong đó cho vay </w:t>
      </w:r>
      <w:r w:rsidR="001D64A8" w:rsidRPr="002B008A">
        <w:rPr>
          <w:rFonts w:ascii="Times New Roman" w:hAnsi="Times New Roman" w:cs="Times New Roman"/>
          <w:color w:val="000000" w:themeColor="text1"/>
          <w:sz w:val="26"/>
          <w:szCs w:val="26"/>
          <w:lang w:val="vi"/>
        </w:rPr>
        <w:t xml:space="preserve">bổ sung </w:t>
      </w:r>
      <w:r w:rsidRPr="002B008A">
        <w:rPr>
          <w:rFonts w:ascii="Times New Roman" w:hAnsi="Times New Roman" w:cs="Times New Roman"/>
          <w:color w:val="000000" w:themeColor="text1"/>
          <w:sz w:val="26"/>
          <w:szCs w:val="26"/>
          <w:lang w:val="vi"/>
        </w:rPr>
        <w:t>vốn lưu động vẫn giữ vai trò chủ đạo và mang lại hiệu quả thu hồi vốn tốt hơn. Tuy nhiên, xu hướng gia tăng cho vay đầu tư TSCĐ cùng với tốc độ tăng dư nợ cao hơn tốc độ thu nợ cho thấy rủi ro tín dụng đang có xu hướng tăng lên. Vì vậy, chi nhánh cần cân đối hợp lý giữa mục tiêu mở rộng tín dụng và khả năng kiểm soát rủi ro, đồng thời tăng cường giám sát dòng tiền và quản lý khoản</w:t>
      </w:r>
      <w:r w:rsidR="00CA42EC">
        <w:rPr>
          <w:rFonts w:ascii="Times New Roman" w:hAnsi="Times New Roman" w:cs="Times New Roman"/>
          <w:color w:val="000000" w:themeColor="text1"/>
          <w:sz w:val="26"/>
          <w:szCs w:val="26"/>
          <w:lang w:val="vi"/>
        </w:rPr>
        <w:t xml:space="preserve"> cho</w:t>
      </w:r>
      <w:r w:rsidRPr="002B008A">
        <w:rPr>
          <w:rFonts w:ascii="Times New Roman" w:hAnsi="Times New Roman" w:cs="Times New Roman"/>
          <w:color w:val="000000" w:themeColor="text1"/>
          <w:sz w:val="26"/>
          <w:szCs w:val="26"/>
          <w:lang w:val="vi"/>
        </w:rPr>
        <w:t xml:space="preserve"> vay sau giải ngân nhằm nâng cao hiệu quả hoạt động cho vay SXKD đối với KHCN trong thời gian tới.</w:t>
      </w:r>
    </w:p>
    <w:p w14:paraId="1B5181BC" w14:textId="35C50FDD" w:rsidR="001116F3" w:rsidRPr="002B008A" w:rsidRDefault="001116F3" w:rsidP="004E66A4">
      <w:pPr>
        <w:pStyle w:val="ListParagraph"/>
        <w:numPr>
          <w:ilvl w:val="0"/>
          <w:numId w:val="4"/>
        </w:numPr>
        <w:tabs>
          <w:tab w:val="left" w:pos="851"/>
        </w:tabs>
        <w:spacing w:after="0" w:line="360" w:lineRule="auto"/>
        <w:ind w:left="0" w:firstLine="567"/>
        <w:jc w:val="both"/>
        <w:rPr>
          <w:rFonts w:ascii="Times New Roman" w:hAnsi="Times New Roman" w:cs="Times New Roman"/>
          <w:b/>
          <w:bCs/>
          <w:color w:val="000000" w:themeColor="text1"/>
          <w:sz w:val="26"/>
          <w:szCs w:val="26"/>
          <w:lang w:val="vi-VN"/>
        </w:rPr>
      </w:pPr>
      <w:r w:rsidRPr="002B008A">
        <w:rPr>
          <w:rFonts w:ascii="Times New Roman" w:hAnsi="Times New Roman" w:cs="Times New Roman"/>
          <w:b/>
          <w:bCs/>
          <w:color w:val="000000" w:themeColor="text1"/>
          <w:sz w:val="26"/>
          <w:szCs w:val="26"/>
          <w:lang w:val="vi-VN"/>
        </w:rPr>
        <w:t xml:space="preserve">Tình hình hoạt động cho vay sản xuất kinh doanh đối với khách hàng cá nhân phân theo phương thức cho vay tại Ngân hàng TMCP Quân đội – Chi nhánh Đà </w:t>
      </w:r>
      <w:r w:rsidR="00412645" w:rsidRPr="002B008A">
        <w:rPr>
          <w:rFonts w:ascii="Times New Roman" w:hAnsi="Times New Roman" w:cs="Times New Roman"/>
          <w:b/>
          <w:bCs/>
          <w:color w:val="000000" w:themeColor="text1"/>
          <w:sz w:val="26"/>
          <w:szCs w:val="26"/>
          <w:lang w:val="vi-VN"/>
        </w:rPr>
        <w:t>Nẵng.</w:t>
      </w:r>
    </w:p>
    <w:p w14:paraId="2840EA24" w14:textId="2290499B" w:rsidR="001116F3" w:rsidRPr="002B008A" w:rsidRDefault="001116F3"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sectPr w:rsidR="001116F3" w:rsidRPr="002B008A" w:rsidSect="009E0361">
          <w:pgSz w:w="11906" w:h="16838" w:code="9"/>
          <w:pgMar w:top="1134" w:right="1134" w:bottom="1134" w:left="1701" w:header="720" w:footer="720" w:gutter="0"/>
          <w:cols w:space="720"/>
          <w:docGrid w:linePitch="360"/>
        </w:sectPr>
      </w:pPr>
      <w:r w:rsidRPr="002B008A">
        <w:rPr>
          <w:rFonts w:ascii="Times New Roman" w:hAnsi="Times New Roman" w:cs="Times New Roman"/>
          <w:color w:val="000000" w:themeColor="text1"/>
          <w:sz w:val="26"/>
          <w:szCs w:val="26"/>
          <w:lang w:val="vi-VN"/>
        </w:rPr>
        <w:t xml:space="preserve">Để đánh giá rõ hơn hiệu quả hoạt động cho vay </w:t>
      </w:r>
      <w:r w:rsidR="00A63019" w:rsidRPr="002B008A">
        <w:rPr>
          <w:rFonts w:ascii="Times New Roman" w:hAnsi="Times New Roman" w:cs="Times New Roman"/>
          <w:color w:val="000000" w:themeColor="text1"/>
          <w:sz w:val="26"/>
          <w:szCs w:val="26"/>
          <w:lang w:val="vi-VN"/>
        </w:rPr>
        <w:t xml:space="preserve">SXKD đối với KHCN </w:t>
      </w:r>
      <w:r w:rsidRPr="002B008A">
        <w:rPr>
          <w:rFonts w:ascii="Times New Roman" w:hAnsi="Times New Roman" w:cs="Times New Roman"/>
          <w:color w:val="000000" w:themeColor="text1"/>
          <w:sz w:val="26"/>
          <w:szCs w:val="26"/>
          <w:lang w:val="vi-VN"/>
        </w:rPr>
        <w:t xml:space="preserve">tại </w:t>
      </w:r>
      <w:r w:rsidR="00A63019" w:rsidRPr="002B008A">
        <w:rPr>
          <w:rFonts w:ascii="Times New Roman" w:hAnsi="Times New Roman" w:cs="Times New Roman"/>
          <w:color w:val="000000" w:themeColor="text1"/>
          <w:sz w:val="26"/>
          <w:szCs w:val="26"/>
          <w:lang w:val="vi-VN"/>
        </w:rPr>
        <w:t xml:space="preserve">MB </w:t>
      </w:r>
      <w:r w:rsidRPr="002B008A">
        <w:rPr>
          <w:rFonts w:ascii="Times New Roman" w:hAnsi="Times New Roman" w:cs="Times New Roman"/>
          <w:color w:val="000000" w:themeColor="text1"/>
          <w:sz w:val="26"/>
          <w:szCs w:val="26"/>
          <w:lang w:val="vi-VN"/>
        </w:rPr>
        <w:t xml:space="preserve">Đà Nẵng, việc phân tích theo phương thức cho vay là cần thiết nhằm làm rõ sự phân bổ tín dụng cũng như mức độ rủi ro tương ứng của từng hình thức cho vay. Thông qua bảng số liệu trên, có thể nhận thấy xu hướng biến động của doanh số cho vay, thu nợ, dư nợ và nợ xấu theo </w:t>
      </w:r>
      <w:r w:rsidR="003C598F" w:rsidRPr="002B008A">
        <w:rPr>
          <w:rFonts w:ascii="Times New Roman" w:hAnsi="Times New Roman" w:cs="Times New Roman"/>
          <w:color w:val="000000" w:themeColor="text1"/>
          <w:sz w:val="26"/>
          <w:szCs w:val="26"/>
          <w:lang w:val="vi-VN"/>
        </w:rPr>
        <w:t xml:space="preserve">hai </w:t>
      </w:r>
      <w:r w:rsidRPr="002B008A">
        <w:rPr>
          <w:rFonts w:ascii="Times New Roman" w:hAnsi="Times New Roman" w:cs="Times New Roman"/>
          <w:color w:val="000000" w:themeColor="text1"/>
          <w:sz w:val="26"/>
          <w:szCs w:val="26"/>
          <w:lang w:val="vi-VN"/>
        </w:rPr>
        <w:t xml:space="preserve">phương thức chủ yếu gồm cho vay </w:t>
      </w:r>
      <w:r w:rsidR="003C598F" w:rsidRPr="002B008A">
        <w:rPr>
          <w:rFonts w:ascii="Times New Roman" w:hAnsi="Times New Roman" w:cs="Times New Roman"/>
          <w:color w:val="000000" w:themeColor="text1"/>
          <w:sz w:val="26"/>
          <w:szCs w:val="26"/>
          <w:lang w:val="vi-VN"/>
        </w:rPr>
        <w:t>theo món</w:t>
      </w:r>
      <w:r w:rsidRPr="002B008A">
        <w:rPr>
          <w:rFonts w:ascii="Times New Roman" w:hAnsi="Times New Roman" w:cs="Times New Roman"/>
          <w:color w:val="000000" w:themeColor="text1"/>
          <w:sz w:val="26"/>
          <w:szCs w:val="26"/>
          <w:lang w:val="vi-VN"/>
        </w:rPr>
        <w:t>, cho vay theo hạn mức và trong giai đoạn 2023–</w:t>
      </w:r>
      <w:r w:rsidR="003306E9" w:rsidRPr="002B008A">
        <w:rPr>
          <w:rFonts w:ascii="Times New Roman" w:hAnsi="Times New Roman" w:cs="Times New Roman"/>
          <w:color w:val="000000" w:themeColor="text1"/>
          <w:sz w:val="26"/>
          <w:szCs w:val="26"/>
          <w:lang w:val="vi-VN"/>
        </w:rPr>
        <w:t>2025.</w:t>
      </w:r>
      <w:r w:rsidR="003306E9" w:rsidRPr="002B008A">
        <w:rPr>
          <w:rFonts w:ascii="Times New Roman" w:hAnsi="Times New Roman" w:cs="Times New Roman"/>
          <w:lang w:val="vi-VN"/>
        </w:rPr>
        <w:t xml:space="preserve"> </w:t>
      </w:r>
    </w:p>
    <w:p w14:paraId="3C15FC8A" w14:textId="577D3B02" w:rsidR="00AF30D7" w:rsidRPr="002B008A" w:rsidRDefault="00EB0E27" w:rsidP="00EB0E27">
      <w:pPr>
        <w:pStyle w:val="Caption"/>
        <w:jc w:val="center"/>
        <w:rPr>
          <w:rFonts w:ascii="Times New Roman" w:hAnsi="Times New Roman" w:cs="Times New Roman"/>
          <w:lang w:val="vi-VN"/>
        </w:rPr>
      </w:pPr>
      <w:bookmarkStart w:id="56" w:name="_Toc230367584"/>
      <w:r w:rsidRPr="002B008A">
        <w:rPr>
          <w:rFonts w:ascii="Times New Roman" w:hAnsi="Times New Roman" w:cs="Times New Roman"/>
          <w:b/>
          <w:bCs/>
          <w:i w:val="0"/>
          <w:iCs w:val="0"/>
          <w:color w:val="000000" w:themeColor="text1"/>
          <w:sz w:val="26"/>
          <w:szCs w:val="26"/>
          <w:lang w:val="vi-VN"/>
        </w:rPr>
        <w:lastRenderedPageBreak/>
        <w:t>Bảng 2.</w:t>
      </w:r>
      <w:r w:rsidRPr="002B008A">
        <w:rPr>
          <w:rFonts w:ascii="Times New Roman" w:hAnsi="Times New Roman" w:cs="Times New Roman"/>
          <w:b/>
          <w:bCs/>
          <w:i w:val="0"/>
          <w:iCs w:val="0"/>
          <w:color w:val="000000" w:themeColor="text1"/>
          <w:sz w:val="26"/>
          <w:szCs w:val="26"/>
        </w:rPr>
        <w:fldChar w:fldCharType="begin"/>
      </w:r>
      <w:r w:rsidRPr="002B008A">
        <w:rPr>
          <w:rFonts w:ascii="Times New Roman" w:hAnsi="Times New Roman" w:cs="Times New Roman"/>
          <w:b/>
          <w:bCs/>
          <w:i w:val="0"/>
          <w:iCs w:val="0"/>
          <w:color w:val="000000" w:themeColor="text1"/>
          <w:sz w:val="26"/>
          <w:szCs w:val="26"/>
          <w:lang w:val="vi-VN"/>
        </w:rPr>
        <w:instrText xml:space="preserve"> SEQ Bảng_2. \* ARABIC </w:instrText>
      </w:r>
      <w:r w:rsidRPr="002B008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8</w:t>
      </w:r>
      <w:r w:rsidRPr="002B008A">
        <w:rPr>
          <w:rFonts w:ascii="Times New Roman" w:hAnsi="Times New Roman" w:cs="Times New Roman"/>
          <w:b/>
          <w:bCs/>
          <w:i w:val="0"/>
          <w:iCs w:val="0"/>
          <w:color w:val="000000" w:themeColor="text1"/>
          <w:sz w:val="26"/>
          <w:szCs w:val="26"/>
        </w:rPr>
        <w:fldChar w:fldCharType="end"/>
      </w:r>
      <w:r w:rsidRPr="002B008A">
        <w:rPr>
          <w:rFonts w:ascii="Times New Roman" w:hAnsi="Times New Roman" w:cs="Times New Roman"/>
          <w:color w:val="000000" w:themeColor="text1"/>
          <w:lang w:val="vi-VN"/>
        </w:rPr>
        <w:t xml:space="preserve"> </w:t>
      </w:r>
      <w:r w:rsidR="00AF30D7" w:rsidRPr="002B008A">
        <w:rPr>
          <w:rFonts w:ascii="Times New Roman" w:hAnsi="Times New Roman" w:cs="Times New Roman"/>
          <w:b/>
          <w:bCs/>
          <w:i w:val="0"/>
          <w:iCs w:val="0"/>
          <w:color w:val="000000" w:themeColor="text1"/>
          <w:sz w:val="26"/>
          <w:szCs w:val="26"/>
          <w:lang w:val="vi-VN"/>
        </w:rPr>
        <w:t xml:space="preserve">Tình hình hoạt động cho vay sản xuất kinh doanh đối với khách hàng cá nhân phân theo </w:t>
      </w:r>
      <w:r w:rsidR="00AD0071" w:rsidRPr="002B008A">
        <w:rPr>
          <w:rFonts w:ascii="Times New Roman" w:hAnsi="Times New Roman" w:cs="Times New Roman"/>
          <w:b/>
          <w:bCs/>
          <w:i w:val="0"/>
          <w:iCs w:val="0"/>
          <w:color w:val="000000" w:themeColor="text1"/>
          <w:sz w:val="26"/>
          <w:szCs w:val="26"/>
          <w:lang w:val="vi-VN"/>
        </w:rPr>
        <w:t>phương thức</w:t>
      </w:r>
      <w:r w:rsidR="00AF30D7" w:rsidRPr="002B008A">
        <w:rPr>
          <w:rFonts w:ascii="Times New Roman" w:hAnsi="Times New Roman" w:cs="Times New Roman"/>
          <w:b/>
          <w:bCs/>
          <w:i w:val="0"/>
          <w:iCs w:val="0"/>
          <w:color w:val="000000" w:themeColor="text1"/>
          <w:sz w:val="26"/>
          <w:szCs w:val="26"/>
          <w:lang w:val="vi-VN"/>
        </w:rPr>
        <w:t xml:space="preserve"> tại Ngân hàng TMCP Quân đội – Chi nhánh Đà </w:t>
      </w:r>
      <w:r w:rsidR="00BE2DA5" w:rsidRPr="002B008A">
        <w:rPr>
          <w:rFonts w:ascii="Times New Roman" w:hAnsi="Times New Roman" w:cs="Times New Roman"/>
          <w:b/>
          <w:bCs/>
          <w:i w:val="0"/>
          <w:iCs w:val="0"/>
          <w:color w:val="000000" w:themeColor="text1"/>
          <w:sz w:val="26"/>
          <w:szCs w:val="26"/>
          <w:lang w:val="vi-VN"/>
        </w:rPr>
        <w:t>Nẵng.</w:t>
      </w:r>
      <w:bookmarkEnd w:id="56"/>
    </w:p>
    <w:p w14:paraId="44CBF63A" w14:textId="7F76C5AE" w:rsidR="00D25673" w:rsidRPr="002B008A" w:rsidRDefault="00AF30D7" w:rsidP="00A139CF">
      <w:pPr>
        <w:tabs>
          <w:tab w:val="left" w:pos="6210"/>
        </w:tabs>
        <w:spacing w:after="0" w:line="360" w:lineRule="auto"/>
        <w:ind w:firstLine="567"/>
        <w:jc w:val="right"/>
        <w:rPr>
          <w:rFonts w:ascii="Times New Roman" w:hAnsi="Times New Roman" w:cs="Times New Roman"/>
          <w:i/>
          <w:iCs/>
          <w:color w:val="000000" w:themeColor="text1"/>
          <w:sz w:val="26"/>
          <w:szCs w:val="26"/>
          <w:lang w:val="vi-VN"/>
        </w:rPr>
      </w:pPr>
      <w:r w:rsidRPr="002B008A">
        <w:rPr>
          <w:rFonts w:ascii="Times New Roman" w:hAnsi="Times New Roman" w:cs="Times New Roman"/>
          <w:i/>
          <w:iCs/>
          <w:color w:val="000000" w:themeColor="text1"/>
          <w:sz w:val="26"/>
          <w:szCs w:val="26"/>
          <w:lang w:val="vi-VN"/>
        </w:rPr>
        <w:t>Đ</w:t>
      </w:r>
      <w:r w:rsidR="00EF0259" w:rsidRPr="002B008A">
        <w:rPr>
          <w:rFonts w:ascii="Times New Roman" w:hAnsi="Times New Roman" w:cs="Times New Roman"/>
          <w:i/>
          <w:iCs/>
          <w:color w:val="000000" w:themeColor="text1"/>
          <w:sz w:val="26"/>
          <w:szCs w:val="26"/>
        </w:rPr>
        <w:t>ơn vị tính</w:t>
      </w:r>
      <w:r w:rsidRPr="002B008A">
        <w:rPr>
          <w:rFonts w:ascii="Times New Roman" w:hAnsi="Times New Roman" w:cs="Times New Roman"/>
          <w:i/>
          <w:iCs/>
          <w:color w:val="000000" w:themeColor="text1"/>
          <w:sz w:val="26"/>
          <w:szCs w:val="26"/>
          <w:lang w:val="vi-VN"/>
        </w:rPr>
        <w:t>: Tỷ đồng</w:t>
      </w:r>
    </w:p>
    <w:tbl>
      <w:tblPr>
        <w:tblW w:w="0" w:type="auto"/>
        <w:tblLayout w:type="fixed"/>
        <w:tblLook w:val="04A0" w:firstRow="1" w:lastRow="0" w:firstColumn="1" w:lastColumn="0" w:noHBand="0" w:noVBand="1"/>
      </w:tblPr>
      <w:tblGrid>
        <w:gridCol w:w="3792"/>
        <w:gridCol w:w="1165"/>
        <w:gridCol w:w="951"/>
        <w:gridCol w:w="1175"/>
        <w:gridCol w:w="850"/>
        <w:gridCol w:w="1134"/>
        <w:gridCol w:w="993"/>
        <w:gridCol w:w="998"/>
        <w:gridCol w:w="956"/>
        <w:gridCol w:w="980"/>
        <w:gridCol w:w="894"/>
      </w:tblGrid>
      <w:tr w:rsidR="00DC038D" w:rsidRPr="002B008A" w14:paraId="3BB75A63" w14:textId="77777777" w:rsidTr="008A5D81">
        <w:trPr>
          <w:trHeight w:val="176"/>
        </w:trPr>
        <w:tc>
          <w:tcPr>
            <w:tcW w:w="3792"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6C4FA9A2"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Chỉ tiêu</w:t>
            </w:r>
          </w:p>
        </w:tc>
        <w:tc>
          <w:tcPr>
            <w:tcW w:w="2116"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472BA982"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2023</w:t>
            </w:r>
          </w:p>
        </w:tc>
        <w:tc>
          <w:tcPr>
            <w:tcW w:w="2025"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7112AB3A"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2024</w:t>
            </w:r>
          </w:p>
        </w:tc>
        <w:tc>
          <w:tcPr>
            <w:tcW w:w="2127"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743FC974"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2025</w:t>
            </w:r>
          </w:p>
        </w:tc>
        <w:tc>
          <w:tcPr>
            <w:tcW w:w="1954"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4E204ADF"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2024/2023</w:t>
            </w:r>
          </w:p>
        </w:tc>
        <w:tc>
          <w:tcPr>
            <w:tcW w:w="1874"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47E51DDC"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2025/2024</w:t>
            </w:r>
          </w:p>
        </w:tc>
      </w:tr>
      <w:tr w:rsidR="00DC038D" w:rsidRPr="002B008A" w14:paraId="03A96475" w14:textId="77777777" w:rsidTr="008A5D81">
        <w:trPr>
          <w:trHeight w:val="176"/>
        </w:trPr>
        <w:tc>
          <w:tcPr>
            <w:tcW w:w="3792" w:type="dxa"/>
            <w:vMerge/>
            <w:tcBorders>
              <w:top w:val="single" w:sz="4" w:space="0" w:color="auto"/>
              <w:left w:val="single" w:sz="4" w:space="0" w:color="auto"/>
              <w:bottom w:val="single" w:sz="4" w:space="0" w:color="000000"/>
              <w:right w:val="single" w:sz="4" w:space="0" w:color="auto"/>
            </w:tcBorders>
            <w:vAlign w:val="center"/>
            <w:hideMark/>
          </w:tcPr>
          <w:p w14:paraId="04135D2A" w14:textId="77777777" w:rsidR="00DC038D" w:rsidRPr="002B008A" w:rsidRDefault="00DC038D" w:rsidP="00DC038D">
            <w:pPr>
              <w:spacing w:after="0" w:line="240" w:lineRule="auto"/>
              <w:rPr>
                <w:rFonts w:ascii="Times New Roman" w:eastAsia="Times New Roman" w:hAnsi="Times New Roman" w:cs="Times New Roman"/>
                <w:b/>
                <w:bCs/>
                <w:color w:val="000000"/>
                <w:kern w:val="0"/>
                <w:sz w:val="26"/>
                <w:szCs w:val="26"/>
                <w:lang w:eastAsia="zh-CN"/>
                <w14:ligatures w14:val="none"/>
              </w:rPr>
            </w:pPr>
          </w:p>
        </w:tc>
        <w:tc>
          <w:tcPr>
            <w:tcW w:w="1165" w:type="dxa"/>
            <w:tcBorders>
              <w:top w:val="nil"/>
              <w:left w:val="nil"/>
              <w:bottom w:val="single" w:sz="4" w:space="0" w:color="auto"/>
              <w:right w:val="single" w:sz="4" w:space="0" w:color="auto"/>
            </w:tcBorders>
            <w:shd w:val="clear" w:color="000000" w:fill="DDEBF7"/>
            <w:noWrap/>
            <w:vAlign w:val="center"/>
            <w:hideMark/>
          </w:tcPr>
          <w:p w14:paraId="75E9B586"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951" w:type="dxa"/>
            <w:tcBorders>
              <w:top w:val="nil"/>
              <w:left w:val="nil"/>
              <w:bottom w:val="single" w:sz="4" w:space="0" w:color="auto"/>
              <w:right w:val="single" w:sz="4" w:space="0" w:color="auto"/>
            </w:tcBorders>
            <w:shd w:val="clear" w:color="000000" w:fill="DDEBF7"/>
            <w:noWrap/>
            <w:vAlign w:val="center"/>
            <w:hideMark/>
          </w:tcPr>
          <w:p w14:paraId="21E5C866"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1175" w:type="dxa"/>
            <w:tcBorders>
              <w:top w:val="nil"/>
              <w:left w:val="nil"/>
              <w:bottom w:val="single" w:sz="4" w:space="0" w:color="auto"/>
              <w:right w:val="single" w:sz="4" w:space="0" w:color="auto"/>
            </w:tcBorders>
            <w:shd w:val="clear" w:color="000000" w:fill="DDEBF7"/>
            <w:noWrap/>
            <w:vAlign w:val="center"/>
            <w:hideMark/>
          </w:tcPr>
          <w:p w14:paraId="0745A821"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 xml:space="preserve">Số tiền </w:t>
            </w:r>
          </w:p>
        </w:tc>
        <w:tc>
          <w:tcPr>
            <w:tcW w:w="850" w:type="dxa"/>
            <w:tcBorders>
              <w:top w:val="nil"/>
              <w:left w:val="nil"/>
              <w:bottom w:val="single" w:sz="4" w:space="0" w:color="auto"/>
              <w:right w:val="single" w:sz="4" w:space="0" w:color="auto"/>
            </w:tcBorders>
            <w:shd w:val="clear" w:color="000000" w:fill="DDEBF7"/>
            <w:noWrap/>
            <w:vAlign w:val="center"/>
            <w:hideMark/>
          </w:tcPr>
          <w:p w14:paraId="164FC0E0"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1134" w:type="dxa"/>
            <w:tcBorders>
              <w:top w:val="nil"/>
              <w:left w:val="nil"/>
              <w:bottom w:val="single" w:sz="4" w:space="0" w:color="auto"/>
              <w:right w:val="single" w:sz="4" w:space="0" w:color="auto"/>
            </w:tcBorders>
            <w:shd w:val="clear" w:color="000000" w:fill="DDEBF7"/>
            <w:noWrap/>
            <w:vAlign w:val="center"/>
            <w:hideMark/>
          </w:tcPr>
          <w:p w14:paraId="0CA6FE69"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993" w:type="dxa"/>
            <w:tcBorders>
              <w:top w:val="nil"/>
              <w:left w:val="nil"/>
              <w:bottom w:val="single" w:sz="4" w:space="0" w:color="auto"/>
              <w:right w:val="single" w:sz="4" w:space="0" w:color="auto"/>
            </w:tcBorders>
            <w:shd w:val="clear" w:color="000000" w:fill="DDEBF7"/>
            <w:noWrap/>
            <w:vAlign w:val="center"/>
            <w:hideMark/>
          </w:tcPr>
          <w:p w14:paraId="7D7ABBFC"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998" w:type="dxa"/>
            <w:tcBorders>
              <w:top w:val="nil"/>
              <w:left w:val="nil"/>
              <w:bottom w:val="single" w:sz="4" w:space="0" w:color="auto"/>
              <w:right w:val="single" w:sz="4" w:space="0" w:color="auto"/>
            </w:tcBorders>
            <w:shd w:val="clear" w:color="000000" w:fill="DDEBF7"/>
            <w:noWrap/>
            <w:vAlign w:val="center"/>
            <w:hideMark/>
          </w:tcPr>
          <w:p w14:paraId="688ABB70"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956" w:type="dxa"/>
            <w:tcBorders>
              <w:top w:val="nil"/>
              <w:left w:val="nil"/>
              <w:bottom w:val="single" w:sz="4" w:space="0" w:color="auto"/>
              <w:right w:val="single" w:sz="4" w:space="0" w:color="auto"/>
            </w:tcBorders>
            <w:shd w:val="clear" w:color="000000" w:fill="DDEBF7"/>
            <w:noWrap/>
            <w:vAlign w:val="center"/>
            <w:hideMark/>
          </w:tcPr>
          <w:p w14:paraId="2D45B27F"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c>
          <w:tcPr>
            <w:tcW w:w="980" w:type="dxa"/>
            <w:tcBorders>
              <w:top w:val="nil"/>
              <w:left w:val="nil"/>
              <w:bottom w:val="single" w:sz="4" w:space="0" w:color="auto"/>
              <w:right w:val="single" w:sz="4" w:space="0" w:color="auto"/>
            </w:tcBorders>
            <w:shd w:val="clear" w:color="000000" w:fill="DDEBF7"/>
            <w:noWrap/>
            <w:vAlign w:val="center"/>
            <w:hideMark/>
          </w:tcPr>
          <w:p w14:paraId="65DD80CF"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894" w:type="dxa"/>
            <w:tcBorders>
              <w:top w:val="nil"/>
              <w:left w:val="nil"/>
              <w:bottom w:val="single" w:sz="4" w:space="0" w:color="auto"/>
              <w:right w:val="single" w:sz="4" w:space="0" w:color="auto"/>
            </w:tcBorders>
            <w:shd w:val="clear" w:color="000000" w:fill="DDEBF7"/>
            <w:noWrap/>
            <w:vAlign w:val="center"/>
            <w:hideMark/>
          </w:tcPr>
          <w:p w14:paraId="7DA37AC2"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r>
      <w:tr w:rsidR="00DC038D" w:rsidRPr="002B008A" w14:paraId="26D2BCA4" w14:textId="77777777" w:rsidTr="008A5D81">
        <w:trPr>
          <w:trHeight w:val="176"/>
        </w:trPr>
        <w:tc>
          <w:tcPr>
            <w:tcW w:w="3792" w:type="dxa"/>
            <w:tcBorders>
              <w:top w:val="nil"/>
              <w:left w:val="single" w:sz="4" w:space="0" w:color="auto"/>
              <w:bottom w:val="single" w:sz="4" w:space="0" w:color="auto"/>
              <w:right w:val="single" w:sz="4" w:space="0" w:color="auto"/>
            </w:tcBorders>
            <w:noWrap/>
            <w:vAlign w:val="center"/>
            <w:hideMark/>
          </w:tcPr>
          <w:p w14:paraId="147F9946" w14:textId="77777777" w:rsidR="00DC038D" w:rsidRPr="002B008A" w:rsidRDefault="00DC038D" w:rsidP="00DC038D">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 Doanh số cho vay SXKD đối với KHCN</w:t>
            </w:r>
          </w:p>
        </w:tc>
        <w:tc>
          <w:tcPr>
            <w:tcW w:w="1165" w:type="dxa"/>
            <w:tcBorders>
              <w:top w:val="nil"/>
              <w:left w:val="nil"/>
              <w:bottom w:val="single" w:sz="4" w:space="0" w:color="auto"/>
              <w:right w:val="single" w:sz="4" w:space="0" w:color="auto"/>
            </w:tcBorders>
            <w:noWrap/>
            <w:vAlign w:val="center"/>
            <w:hideMark/>
          </w:tcPr>
          <w:p w14:paraId="7E27D1D1"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308,64</w:t>
            </w:r>
          </w:p>
        </w:tc>
        <w:tc>
          <w:tcPr>
            <w:tcW w:w="951" w:type="dxa"/>
            <w:tcBorders>
              <w:top w:val="nil"/>
              <w:left w:val="nil"/>
              <w:bottom w:val="single" w:sz="4" w:space="0" w:color="auto"/>
              <w:right w:val="single" w:sz="4" w:space="0" w:color="auto"/>
            </w:tcBorders>
            <w:noWrap/>
            <w:vAlign w:val="center"/>
            <w:hideMark/>
          </w:tcPr>
          <w:p w14:paraId="58A93264"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75" w:type="dxa"/>
            <w:tcBorders>
              <w:top w:val="nil"/>
              <w:left w:val="nil"/>
              <w:bottom w:val="single" w:sz="4" w:space="0" w:color="auto"/>
              <w:right w:val="single" w:sz="4" w:space="0" w:color="auto"/>
            </w:tcBorders>
            <w:noWrap/>
            <w:vAlign w:val="center"/>
            <w:hideMark/>
          </w:tcPr>
          <w:p w14:paraId="6DFEFCB8"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417,28</w:t>
            </w:r>
          </w:p>
        </w:tc>
        <w:tc>
          <w:tcPr>
            <w:tcW w:w="850" w:type="dxa"/>
            <w:tcBorders>
              <w:top w:val="nil"/>
              <w:left w:val="nil"/>
              <w:bottom w:val="single" w:sz="4" w:space="0" w:color="auto"/>
              <w:right w:val="single" w:sz="4" w:space="0" w:color="auto"/>
            </w:tcBorders>
            <w:noWrap/>
            <w:vAlign w:val="center"/>
            <w:hideMark/>
          </w:tcPr>
          <w:p w14:paraId="6A32093D"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34" w:type="dxa"/>
            <w:tcBorders>
              <w:top w:val="nil"/>
              <w:left w:val="nil"/>
              <w:bottom w:val="single" w:sz="4" w:space="0" w:color="auto"/>
              <w:right w:val="single" w:sz="4" w:space="0" w:color="auto"/>
            </w:tcBorders>
            <w:noWrap/>
            <w:vAlign w:val="center"/>
            <w:hideMark/>
          </w:tcPr>
          <w:p w14:paraId="1C9966AB"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512,73</w:t>
            </w:r>
          </w:p>
        </w:tc>
        <w:tc>
          <w:tcPr>
            <w:tcW w:w="993" w:type="dxa"/>
            <w:tcBorders>
              <w:top w:val="nil"/>
              <w:left w:val="nil"/>
              <w:bottom w:val="single" w:sz="4" w:space="0" w:color="auto"/>
              <w:right w:val="single" w:sz="4" w:space="0" w:color="auto"/>
            </w:tcBorders>
            <w:noWrap/>
            <w:vAlign w:val="center"/>
            <w:hideMark/>
          </w:tcPr>
          <w:p w14:paraId="44046B1D" w14:textId="27F3F69A"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998" w:type="dxa"/>
            <w:tcBorders>
              <w:top w:val="nil"/>
              <w:left w:val="nil"/>
              <w:bottom w:val="single" w:sz="4" w:space="0" w:color="auto"/>
              <w:right w:val="single" w:sz="4" w:space="0" w:color="auto"/>
            </w:tcBorders>
            <w:noWrap/>
            <w:vAlign w:val="center"/>
            <w:hideMark/>
          </w:tcPr>
          <w:p w14:paraId="788E0BD4"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108,64</w:t>
            </w:r>
          </w:p>
        </w:tc>
        <w:tc>
          <w:tcPr>
            <w:tcW w:w="956" w:type="dxa"/>
            <w:tcBorders>
              <w:top w:val="nil"/>
              <w:left w:val="nil"/>
              <w:bottom w:val="single" w:sz="4" w:space="0" w:color="auto"/>
              <w:right w:val="single" w:sz="4" w:space="0" w:color="auto"/>
            </w:tcBorders>
            <w:noWrap/>
            <w:vAlign w:val="center"/>
            <w:hideMark/>
          </w:tcPr>
          <w:p w14:paraId="7C68AB1D" w14:textId="5017A0A2"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35,20</w:t>
            </w:r>
          </w:p>
        </w:tc>
        <w:tc>
          <w:tcPr>
            <w:tcW w:w="980" w:type="dxa"/>
            <w:tcBorders>
              <w:top w:val="nil"/>
              <w:left w:val="nil"/>
              <w:bottom w:val="single" w:sz="4" w:space="0" w:color="auto"/>
              <w:right w:val="single" w:sz="4" w:space="0" w:color="auto"/>
            </w:tcBorders>
            <w:noWrap/>
            <w:vAlign w:val="center"/>
            <w:hideMark/>
          </w:tcPr>
          <w:p w14:paraId="56797557"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95,45</w:t>
            </w:r>
          </w:p>
        </w:tc>
        <w:tc>
          <w:tcPr>
            <w:tcW w:w="894" w:type="dxa"/>
            <w:tcBorders>
              <w:top w:val="nil"/>
              <w:left w:val="nil"/>
              <w:bottom w:val="single" w:sz="4" w:space="0" w:color="auto"/>
              <w:right w:val="single" w:sz="4" w:space="0" w:color="auto"/>
            </w:tcBorders>
            <w:noWrap/>
            <w:vAlign w:val="center"/>
            <w:hideMark/>
          </w:tcPr>
          <w:p w14:paraId="0C97638C" w14:textId="2E69B3F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22,87</w:t>
            </w:r>
          </w:p>
        </w:tc>
      </w:tr>
      <w:tr w:rsidR="00DC038D" w:rsidRPr="002B008A" w14:paraId="66723345"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7D9B9DB1" w14:textId="1A2739D1" w:rsidR="00DC038D" w:rsidRPr="002B008A" w:rsidRDefault="00DC038D" w:rsidP="00DC038D">
            <w:pPr>
              <w:spacing w:after="0" w:line="240" w:lineRule="auto"/>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 xml:space="preserve">Cho vay </w:t>
            </w:r>
            <w:r w:rsidR="005214A9" w:rsidRPr="002B008A">
              <w:rPr>
                <w:rFonts w:ascii="Times New Roman" w:eastAsia="Times New Roman" w:hAnsi="Times New Roman" w:cs="Times New Roman"/>
                <w:color w:val="000000"/>
                <w:kern w:val="0"/>
                <w:sz w:val="26"/>
                <w:szCs w:val="26"/>
                <w:lang w:eastAsia="zh-CN"/>
                <w14:ligatures w14:val="none"/>
              </w:rPr>
              <w:t>theo</w:t>
            </w:r>
            <w:r w:rsidR="005214A9" w:rsidRPr="002B008A">
              <w:rPr>
                <w:rFonts w:ascii="Times New Roman" w:eastAsia="Times New Roman" w:hAnsi="Times New Roman" w:cs="Times New Roman"/>
                <w:color w:val="000000"/>
                <w:kern w:val="0"/>
                <w:sz w:val="26"/>
                <w:szCs w:val="26"/>
                <w:lang w:val="vi-VN" w:eastAsia="zh-CN"/>
                <w14:ligatures w14:val="none"/>
              </w:rPr>
              <w:t xml:space="preserve"> món</w:t>
            </w:r>
          </w:p>
        </w:tc>
        <w:tc>
          <w:tcPr>
            <w:tcW w:w="1165" w:type="dxa"/>
            <w:tcBorders>
              <w:top w:val="nil"/>
              <w:left w:val="nil"/>
              <w:bottom w:val="single" w:sz="4" w:space="0" w:color="auto"/>
              <w:right w:val="single" w:sz="4" w:space="0" w:color="auto"/>
            </w:tcBorders>
            <w:vAlign w:val="center"/>
            <w:hideMark/>
          </w:tcPr>
          <w:p w14:paraId="55FD7F64"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116,05</w:t>
            </w:r>
          </w:p>
        </w:tc>
        <w:tc>
          <w:tcPr>
            <w:tcW w:w="951" w:type="dxa"/>
            <w:tcBorders>
              <w:top w:val="nil"/>
              <w:left w:val="nil"/>
              <w:bottom w:val="single" w:sz="4" w:space="0" w:color="auto"/>
              <w:right w:val="single" w:sz="4" w:space="0" w:color="auto"/>
            </w:tcBorders>
            <w:noWrap/>
            <w:vAlign w:val="center"/>
            <w:hideMark/>
          </w:tcPr>
          <w:p w14:paraId="790D1556"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37,60</w:t>
            </w:r>
          </w:p>
        </w:tc>
        <w:tc>
          <w:tcPr>
            <w:tcW w:w="1175" w:type="dxa"/>
            <w:tcBorders>
              <w:top w:val="nil"/>
              <w:left w:val="nil"/>
              <w:bottom w:val="nil"/>
              <w:right w:val="nil"/>
            </w:tcBorders>
            <w:vAlign w:val="center"/>
            <w:hideMark/>
          </w:tcPr>
          <w:p w14:paraId="05F887AC"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161,08</w:t>
            </w:r>
          </w:p>
        </w:tc>
        <w:tc>
          <w:tcPr>
            <w:tcW w:w="850" w:type="dxa"/>
            <w:tcBorders>
              <w:top w:val="nil"/>
              <w:left w:val="single" w:sz="4" w:space="0" w:color="auto"/>
              <w:bottom w:val="single" w:sz="4" w:space="0" w:color="auto"/>
              <w:right w:val="single" w:sz="4" w:space="0" w:color="auto"/>
            </w:tcBorders>
            <w:noWrap/>
            <w:vAlign w:val="center"/>
            <w:hideMark/>
          </w:tcPr>
          <w:p w14:paraId="2A7975AD"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38,60</w:t>
            </w:r>
          </w:p>
        </w:tc>
        <w:tc>
          <w:tcPr>
            <w:tcW w:w="1134" w:type="dxa"/>
            <w:tcBorders>
              <w:top w:val="nil"/>
              <w:left w:val="nil"/>
              <w:bottom w:val="nil"/>
              <w:right w:val="nil"/>
            </w:tcBorders>
            <w:vAlign w:val="center"/>
            <w:hideMark/>
          </w:tcPr>
          <w:p w14:paraId="10A43D6D"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192,49</w:t>
            </w:r>
          </w:p>
        </w:tc>
        <w:tc>
          <w:tcPr>
            <w:tcW w:w="993" w:type="dxa"/>
            <w:tcBorders>
              <w:top w:val="nil"/>
              <w:left w:val="single" w:sz="4" w:space="0" w:color="auto"/>
              <w:bottom w:val="single" w:sz="4" w:space="0" w:color="auto"/>
              <w:right w:val="single" w:sz="4" w:space="0" w:color="auto"/>
            </w:tcBorders>
            <w:noWrap/>
            <w:vAlign w:val="center"/>
            <w:hideMark/>
          </w:tcPr>
          <w:p w14:paraId="07D52E55" w14:textId="683B7D5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37,54</w:t>
            </w:r>
          </w:p>
        </w:tc>
        <w:tc>
          <w:tcPr>
            <w:tcW w:w="998" w:type="dxa"/>
            <w:tcBorders>
              <w:top w:val="nil"/>
              <w:left w:val="nil"/>
              <w:bottom w:val="single" w:sz="4" w:space="0" w:color="auto"/>
              <w:right w:val="single" w:sz="4" w:space="0" w:color="auto"/>
            </w:tcBorders>
            <w:noWrap/>
            <w:vAlign w:val="center"/>
            <w:hideMark/>
          </w:tcPr>
          <w:p w14:paraId="185F1B0B"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45,03</w:t>
            </w:r>
          </w:p>
        </w:tc>
        <w:tc>
          <w:tcPr>
            <w:tcW w:w="956" w:type="dxa"/>
            <w:tcBorders>
              <w:top w:val="nil"/>
              <w:left w:val="nil"/>
              <w:bottom w:val="single" w:sz="4" w:space="0" w:color="auto"/>
              <w:right w:val="single" w:sz="4" w:space="0" w:color="auto"/>
            </w:tcBorders>
            <w:noWrap/>
            <w:vAlign w:val="center"/>
            <w:hideMark/>
          </w:tcPr>
          <w:p w14:paraId="139D3643" w14:textId="54BBEEF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38,80</w:t>
            </w:r>
          </w:p>
        </w:tc>
        <w:tc>
          <w:tcPr>
            <w:tcW w:w="980" w:type="dxa"/>
            <w:tcBorders>
              <w:top w:val="nil"/>
              <w:left w:val="nil"/>
              <w:bottom w:val="single" w:sz="4" w:space="0" w:color="auto"/>
              <w:right w:val="single" w:sz="4" w:space="0" w:color="auto"/>
            </w:tcBorders>
            <w:noWrap/>
            <w:vAlign w:val="center"/>
            <w:hideMark/>
          </w:tcPr>
          <w:p w14:paraId="113763D6"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31,41</w:t>
            </w:r>
          </w:p>
        </w:tc>
        <w:tc>
          <w:tcPr>
            <w:tcW w:w="894" w:type="dxa"/>
            <w:tcBorders>
              <w:top w:val="nil"/>
              <w:left w:val="nil"/>
              <w:bottom w:val="single" w:sz="4" w:space="0" w:color="auto"/>
              <w:right w:val="single" w:sz="4" w:space="0" w:color="auto"/>
            </w:tcBorders>
            <w:noWrap/>
            <w:vAlign w:val="center"/>
            <w:hideMark/>
          </w:tcPr>
          <w:p w14:paraId="14FDC4C3" w14:textId="3F540B8B"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19,50</w:t>
            </w:r>
          </w:p>
        </w:tc>
      </w:tr>
      <w:tr w:rsidR="00DC038D" w:rsidRPr="002B008A" w14:paraId="3C49D472"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4625D461" w14:textId="000CA3E3" w:rsidR="00DC038D" w:rsidRPr="002B008A" w:rsidRDefault="00DC038D" w:rsidP="00DC038D">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Cho vay theo hạn mức</w:t>
            </w:r>
          </w:p>
        </w:tc>
        <w:tc>
          <w:tcPr>
            <w:tcW w:w="1165" w:type="dxa"/>
            <w:tcBorders>
              <w:top w:val="nil"/>
              <w:left w:val="nil"/>
              <w:bottom w:val="single" w:sz="4" w:space="0" w:color="auto"/>
              <w:right w:val="single" w:sz="4" w:space="0" w:color="auto"/>
            </w:tcBorders>
            <w:vAlign w:val="center"/>
            <w:hideMark/>
          </w:tcPr>
          <w:p w14:paraId="34515FCF"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192,59</w:t>
            </w:r>
          </w:p>
        </w:tc>
        <w:tc>
          <w:tcPr>
            <w:tcW w:w="951" w:type="dxa"/>
            <w:tcBorders>
              <w:top w:val="nil"/>
              <w:left w:val="nil"/>
              <w:bottom w:val="single" w:sz="4" w:space="0" w:color="auto"/>
              <w:right w:val="single" w:sz="4" w:space="0" w:color="auto"/>
            </w:tcBorders>
            <w:noWrap/>
            <w:vAlign w:val="center"/>
            <w:hideMark/>
          </w:tcPr>
          <w:p w14:paraId="30D5687C"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62,40</w:t>
            </w:r>
          </w:p>
        </w:tc>
        <w:tc>
          <w:tcPr>
            <w:tcW w:w="1175" w:type="dxa"/>
            <w:tcBorders>
              <w:top w:val="nil"/>
              <w:left w:val="nil"/>
              <w:bottom w:val="nil"/>
              <w:right w:val="nil"/>
            </w:tcBorders>
            <w:vAlign w:val="center"/>
            <w:hideMark/>
          </w:tcPr>
          <w:p w14:paraId="06162030"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256,2</w:t>
            </w:r>
          </w:p>
        </w:tc>
        <w:tc>
          <w:tcPr>
            <w:tcW w:w="850" w:type="dxa"/>
            <w:tcBorders>
              <w:top w:val="nil"/>
              <w:left w:val="single" w:sz="4" w:space="0" w:color="auto"/>
              <w:bottom w:val="single" w:sz="4" w:space="0" w:color="auto"/>
              <w:right w:val="single" w:sz="4" w:space="0" w:color="auto"/>
            </w:tcBorders>
            <w:noWrap/>
            <w:vAlign w:val="center"/>
            <w:hideMark/>
          </w:tcPr>
          <w:p w14:paraId="19DD7B53"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61,40</w:t>
            </w:r>
          </w:p>
        </w:tc>
        <w:tc>
          <w:tcPr>
            <w:tcW w:w="1134" w:type="dxa"/>
            <w:tcBorders>
              <w:top w:val="nil"/>
              <w:left w:val="nil"/>
              <w:bottom w:val="nil"/>
              <w:right w:val="nil"/>
            </w:tcBorders>
            <w:vAlign w:val="center"/>
            <w:hideMark/>
          </w:tcPr>
          <w:p w14:paraId="60D0E73B"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320,24</w:t>
            </w:r>
          </w:p>
        </w:tc>
        <w:tc>
          <w:tcPr>
            <w:tcW w:w="993" w:type="dxa"/>
            <w:tcBorders>
              <w:top w:val="nil"/>
              <w:left w:val="single" w:sz="4" w:space="0" w:color="auto"/>
              <w:bottom w:val="single" w:sz="4" w:space="0" w:color="auto"/>
              <w:right w:val="single" w:sz="4" w:space="0" w:color="auto"/>
            </w:tcBorders>
            <w:noWrap/>
            <w:vAlign w:val="center"/>
            <w:hideMark/>
          </w:tcPr>
          <w:p w14:paraId="4943B898" w14:textId="6E31C5D6"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62,46</w:t>
            </w:r>
          </w:p>
        </w:tc>
        <w:tc>
          <w:tcPr>
            <w:tcW w:w="998" w:type="dxa"/>
            <w:tcBorders>
              <w:top w:val="nil"/>
              <w:left w:val="nil"/>
              <w:bottom w:val="single" w:sz="4" w:space="0" w:color="auto"/>
              <w:right w:val="single" w:sz="4" w:space="0" w:color="auto"/>
            </w:tcBorders>
            <w:noWrap/>
            <w:vAlign w:val="center"/>
            <w:hideMark/>
          </w:tcPr>
          <w:p w14:paraId="460D8A37"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63,61</w:t>
            </w:r>
          </w:p>
        </w:tc>
        <w:tc>
          <w:tcPr>
            <w:tcW w:w="956" w:type="dxa"/>
            <w:tcBorders>
              <w:top w:val="nil"/>
              <w:left w:val="nil"/>
              <w:bottom w:val="single" w:sz="4" w:space="0" w:color="auto"/>
              <w:right w:val="single" w:sz="4" w:space="0" w:color="auto"/>
            </w:tcBorders>
            <w:noWrap/>
            <w:vAlign w:val="center"/>
            <w:hideMark/>
          </w:tcPr>
          <w:p w14:paraId="107C4882" w14:textId="68CED8C4"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33,03</w:t>
            </w:r>
          </w:p>
        </w:tc>
        <w:tc>
          <w:tcPr>
            <w:tcW w:w="980" w:type="dxa"/>
            <w:tcBorders>
              <w:top w:val="nil"/>
              <w:left w:val="nil"/>
              <w:bottom w:val="single" w:sz="4" w:space="0" w:color="auto"/>
              <w:right w:val="single" w:sz="4" w:space="0" w:color="auto"/>
            </w:tcBorders>
            <w:noWrap/>
            <w:vAlign w:val="center"/>
            <w:hideMark/>
          </w:tcPr>
          <w:p w14:paraId="0AF6659E"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64,04</w:t>
            </w:r>
          </w:p>
        </w:tc>
        <w:tc>
          <w:tcPr>
            <w:tcW w:w="894" w:type="dxa"/>
            <w:tcBorders>
              <w:top w:val="nil"/>
              <w:left w:val="nil"/>
              <w:bottom w:val="single" w:sz="4" w:space="0" w:color="auto"/>
              <w:right w:val="single" w:sz="4" w:space="0" w:color="auto"/>
            </w:tcBorders>
            <w:noWrap/>
            <w:vAlign w:val="center"/>
            <w:hideMark/>
          </w:tcPr>
          <w:p w14:paraId="29A50F54" w14:textId="69443BEE"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25,00</w:t>
            </w:r>
          </w:p>
        </w:tc>
      </w:tr>
      <w:tr w:rsidR="00DC038D" w:rsidRPr="002B008A" w14:paraId="0B03E552" w14:textId="77777777" w:rsidTr="008A5D81">
        <w:trPr>
          <w:trHeight w:val="176"/>
        </w:trPr>
        <w:tc>
          <w:tcPr>
            <w:tcW w:w="3792" w:type="dxa"/>
            <w:tcBorders>
              <w:top w:val="nil"/>
              <w:left w:val="single" w:sz="4" w:space="0" w:color="auto"/>
              <w:bottom w:val="single" w:sz="4" w:space="0" w:color="auto"/>
              <w:right w:val="single" w:sz="4" w:space="0" w:color="auto"/>
            </w:tcBorders>
            <w:noWrap/>
            <w:vAlign w:val="center"/>
            <w:hideMark/>
          </w:tcPr>
          <w:p w14:paraId="7767E577" w14:textId="77777777" w:rsidR="00DC038D" w:rsidRPr="002B008A" w:rsidRDefault="00DC038D" w:rsidP="00DC038D">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 Doanh số thu nợ cho vay SXKD đối với KHCN</w:t>
            </w:r>
          </w:p>
        </w:tc>
        <w:tc>
          <w:tcPr>
            <w:tcW w:w="1165" w:type="dxa"/>
            <w:tcBorders>
              <w:top w:val="nil"/>
              <w:left w:val="nil"/>
              <w:bottom w:val="single" w:sz="4" w:space="0" w:color="auto"/>
              <w:right w:val="single" w:sz="4" w:space="0" w:color="auto"/>
            </w:tcBorders>
            <w:noWrap/>
            <w:vAlign w:val="center"/>
            <w:hideMark/>
          </w:tcPr>
          <w:p w14:paraId="67DAEE14"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214,34</w:t>
            </w:r>
          </w:p>
        </w:tc>
        <w:tc>
          <w:tcPr>
            <w:tcW w:w="951" w:type="dxa"/>
            <w:tcBorders>
              <w:top w:val="nil"/>
              <w:left w:val="nil"/>
              <w:bottom w:val="single" w:sz="4" w:space="0" w:color="auto"/>
              <w:right w:val="single" w:sz="4" w:space="0" w:color="auto"/>
            </w:tcBorders>
            <w:noWrap/>
            <w:vAlign w:val="center"/>
            <w:hideMark/>
          </w:tcPr>
          <w:p w14:paraId="54EC6C2D"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75" w:type="dxa"/>
            <w:tcBorders>
              <w:top w:val="single" w:sz="4" w:space="0" w:color="auto"/>
              <w:left w:val="nil"/>
              <w:bottom w:val="single" w:sz="4" w:space="0" w:color="auto"/>
              <w:right w:val="single" w:sz="4" w:space="0" w:color="auto"/>
            </w:tcBorders>
            <w:noWrap/>
            <w:vAlign w:val="center"/>
            <w:hideMark/>
          </w:tcPr>
          <w:p w14:paraId="0CFEDE4E"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283,91</w:t>
            </w:r>
          </w:p>
        </w:tc>
        <w:tc>
          <w:tcPr>
            <w:tcW w:w="850" w:type="dxa"/>
            <w:tcBorders>
              <w:top w:val="nil"/>
              <w:left w:val="nil"/>
              <w:bottom w:val="single" w:sz="4" w:space="0" w:color="auto"/>
              <w:right w:val="single" w:sz="4" w:space="0" w:color="auto"/>
            </w:tcBorders>
            <w:noWrap/>
            <w:vAlign w:val="center"/>
            <w:hideMark/>
          </w:tcPr>
          <w:p w14:paraId="28A315A7"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34" w:type="dxa"/>
            <w:tcBorders>
              <w:top w:val="single" w:sz="4" w:space="0" w:color="auto"/>
              <w:left w:val="nil"/>
              <w:bottom w:val="single" w:sz="4" w:space="0" w:color="auto"/>
              <w:right w:val="single" w:sz="4" w:space="0" w:color="auto"/>
            </w:tcBorders>
            <w:noWrap/>
            <w:vAlign w:val="center"/>
            <w:hideMark/>
          </w:tcPr>
          <w:p w14:paraId="13826DCE"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346,48</w:t>
            </w:r>
          </w:p>
        </w:tc>
        <w:tc>
          <w:tcPr>
            <w:tcW w:w="993" w:type="dxa"/>
            <w:tcBorders>
              <w:top w:val="nil"/>
              <w:left w:val="nil"/>
              <w:bottom w:val="single" w:sz="4" w:space="0" w:color="auto"/>
              <w:right w:val="single" w:sz="4" w:space="0" w:color="auto"/>
            </w:tcBorders>
            <w:noWrap/>
            <w:vAlign w:val="center"/>
            <w:hideMark/>
          </w:tcPr>
          <w:p w14:paraId="0DBB2BEA" w14:textId="3B4EF8B0"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998" w:type="dxa"/>
            <w:tcBorders>
              <w:top w:val="nil"/>
              <w:left w:val="nil"/>
              <w:bottom w:val="single" w:sz="4" w:space="0" w:color="auto"/>
              <w:right w:val="single" w:sz="4" w:space="0" w:color="auto"/>
            </w:tcBorders>
            <w:noWrap/>
            <w:vAlign w:val="center"/>
            <w:hideMark/>
          </w:tcPr>
          <w:p w14:paraId="60906CB3"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69,57</w:t>
            </w:r>
          </w:p>
        </w:tc>
        <w:tc>
          <w:tcPr>
            <w:tcW w:w="956" w:type="dxa"/>
            <w:tcBorders>
              <w:top w:val="nil"/>
              <w:left w:val="nil"/>
              <w:bottom w:val="single" w:sz="4" w:space="0" w:color="auto"/>
              <w:right w:val="single" w:sz="4" w:space="0" w:color="auto"/>
            </w:tcBorders>
            <w:noWrap/>
            <w:vAlign w:val="center"/>
            <w:hideMark/>
          </w:tcPr>
          <w:p w14:paraId="1FA6EDD0" w14:textId="2F5B239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32,46</w:t>
            </w:r>
          </w:p>
        </w:tc>
        <w:tc>
          <w:tcPr>
            <w:tcW w:w="980" w:type="dxa"/>
            <w:tcBorders>
              <w:top w:val="nil"/>
              <w:left w:val="nil"/>
              <w:bottom w:val="single" w:sz="4" w:space="0" w:color="auto"/>
              <w:right w:val="single" w:sz="4" w:space="0" w:color="auto"/>
            </w:tcBorders>
            <w:noWrap/>
            <w:vAlign w:val="center"/>
            <w:hideMark/>
          </w:tcPr>
          <w:p w14:paraId="61FE15C8"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62,57</w:t>
            </w:r>
          </w:p>
        </w:tc>
        <w:tc>
          <w:tcPr>
            <w:tcW w:w="894" w:type="dxa"/>
            <w:tcBorders>
              <w:top w:val="nil"/>
              <w:left w:val="nil"/>
              <w:bottom w:val="single" w:sz="4" w:space="0" w:color="auto"/>
              <w:right w:val="single" w:sz="4" w:space="0" w:color="auto"/>
            </w:tcBorders>
            <w:noWrap/>
            <w:vAlign w:val="center"/>
            <w:hideMark/>
          </w:tcPr>
          <w:p w14:paraId="6B9695F6" w14:textId="4C6D2F4A"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22,04</w:t>
            </w:r>
          </w:p>
        </w:tc>
      </w:tr>
      <w:tr w:rsidR="00DC038D" w:rsidRPr="002B008A" w14:paraId="726FBEFA"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2F814472" w14:textId="7884133B" w:rsidR="00DC038D" w:rsidRPr="002B008A" w:rsidRDefault="00DC038D" w:rsidP="00DC038D">
            <w:pPr>
              <w:spacing w:after="0" w:line="240" w:lineRule="auto"/>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 xml:space="preserve">Cho </w:t>
            </w:r>
            <w:r w:rsidR="00D93FA1" w:rsidRPr="002B008A">
              <w:rPr>
                <w:rFonts w:ascii="Times New Roman" w:eastAsia="Times New Roman" w:hAnsi="Times New Roman" w:cs="Times New Roman"/>
                <w:color w:val="000000"/>
                <w:kern w:val="0"/>
                <w:sz w:val="26"/>
                <w:szCs w:val="26"/>
                <w:lang w:eastAsia="zh-CN"/>
                <w14:ligatures w14:val="none"/>
              </w:rPr>
              <w:t>vay</w:t>
            </w:r>
            <w:r w:rsidR="002B6DD2" w:rsidRPr="002B008A">
              <w:rPr>
                <w:rFonts w:ascii="Times New Roman" w:eastAsia="Times New Roman" w:hAnsi="Times New Roman" w:cs="Times New Roman"/>
                <w:color w:val="000000"/>
                <w:kern w:val="0"/>
                <w:sz w:val="26"/>
                <w:szCs w:val="26"/>
                <w:lang w:val="vi-VN" w:eastAsia="zh-CN"/>
                <w14:ligatures w14:val="none"/>
              </w:rPr>
              <w:t xml:space="preserve"> </w:t>
            </w:r>
            <w:r w:rsidR="00D93FA1" w:rsidRPr="002B008A">
              <w:rPr>
                <w:rFonts w:ascii="Times New Roman" w:eastAsia="Times New Roman" w:hAnsi="Times New Roman" w:cs="Times New Roman"/>
                <w:color w:val="000000"/>
                <w:kern w:val="0"/>
                <w:sz w:val="26"/>
                <w:szCs w:val="26"/>
                <w:lang w:eastAsia="zh-CN"/>
                <w14:ligatures w14:val="none"/>
              </w:rPr>
              <w:t>theo</w:t>
            </w:r>
            <w:r w:rsidR="00D93FA1" w:rsidRPr="002B008A">
              <w:rPr>
                <w:rFonts w:ascii="Times New Roman" w:eastAsia="Times New Roman" w:hAnsi="Times New Roman" w:cs="Times New Roman"/>
                <w:color w:val="000000"/>
                <w:kern w:val="0"/>
                <w:sz w:val="26"/>
                <w:szCs w:val="26"/>
                <w:lang w:val="vi-VN" w:eastAsia="zh-CN"/>
                <w14:ligatures w14:val="none"/>
              </w:rPr>
              <w:t xml:space="preserve"> món</w:t>
            </w:r>
          </w:p>
        </w:tc>
        <w:tc>
          <w:tcPr>
            <w:tcW w:w="1165" w:type="dxa"/>
            <w:tcBorders>
              <w:top w:val="nil"/>
              <w:left w:val="nil"/>
              <w:bottom w:val="nil"/>
              <w:right w:val="nil"/>
            </w:tcBorders>
            <w:vAlign w:val="center"/>
            <w:hideMark/>
          </w:tcPr>
          <w:p w14:paraId="0D2B9219"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80,63</w:t>
            </w:r>
          </w:p>
        </w:tc>
        <w:tc>
          <w:tcPr>
            <w:tcW w:w="951" w:type="dxa"/>
            <w:tcBorders>
              <w:top w:val="nil"/>
              <w:left w:val="single" w:sz="4" w:space="0" w:color="auto"/>
              <w:bottom w:val="single" w:sz="4" w:space="0" w:color="auto"/>
              <w:right w:val="single" w:sz="4" w:space="0" w:color="auto"/>
            </w:tcBorders>
            <w:noWrap/>
            <w:vAlign w:val="center"/>
            <w:hideMark/>
          </w:tcPr>
          <w:p w14:paraId="5B9083E6"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37,62</w:t>
            </w:r>
          </w:p>
        </w:tc>
        <w:tc>
          <w:tcPr>
            <w:tcW w:w="1175" w:type="dxa"/>
            <w:tcBorders>
              <w:top w:val="nil"/>
              <w:left w:val="nil"/>
              <w:bottom w:val="nil"/>
              <w:right w:val="nil"/>
            </w:tcBorders>
            <w:vAlign w:val="center"/>
            <w:hideMark/>
          </w:tcPr>
          <w:p w14:paraId="5220FEF2"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107,33</w:t>
            </w:r>
          </w:p>
        </w:tc>
        <w:tc>
          <w:tcPr>
            <w:tcW w:w="850" w:type="dxa"/>
            <w:tcBorders>
              <w:top w:val="nil"/>
              <w:left w:val="single" w:sz="4" w:space="0" w:color="auto"/>
              <w:bottom w:val="single" w:sz="4" w:space="0" w:color="auto"/>
              <w:right w:val="single" w:sz="4" w:space="0" w:color="auto"/>
            </w:tcBorders>
            <w:noWrap/>
            <w:vAlign w:val="center"/>
            <w:hideMark/>
          </w:tcPr>
          <w:p w14:paraId="56E1756F"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37,80</w:t>
            </w:r>
          </w:p>
        </w:tc>
        <w:tc>
          <w:tcPr>
            <w:tcW w:w="1134" w:type="dxa"/>
            <w:tcBorders>
              <w:top w:val="nil"/>
              <w:left w:val="nil"/>
              <w:bottom w:val="nil"/>
              <w:right w:val="nil"/>
            </w:tcBorders>
            <w:vAlign w:val="center"/>
            <w:hideMark/>
          </w:tcPr>
          <w:p w14:paraId="22631644"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129,21</w:t>
            </w:r>
          </w:p>
        </w:tc>
        <w:tc>
          <w:tcPr>
            <w:tcW w:w="993" w:type="dxa"/>
            <w:tcBorders>
              <w:top w:val="nil"/>
              <w:left w:val="single" w:sz="4" w:space="0" w:color="auto"/>
              <w:bottom w:val="single" w:sz="4" w:space="0" w:color="auto"/>
              <w:right w:val="single" w:sz="4" w:space="0" w:color="auto"/>
            </w:tcBorders>
            <w:noWrap/>
            <w:vAlign w:val="center"/>
            <w:hideMark/>
          </w:tcPr>
          <w:p w14:paraId="4E59FA9B" w14:textId="2E0D2BB6"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37,29</w:t>
            </w:r>
          </w:p>
        </w:tc>
        <w:tc>
          <w:tcPr>
            <w:tcW w:w="998" w:type="dxa"/>
            <w:tcBorders>
              <w:top w:val="nil"/>
              <w:left w:val="nil"/>
              <w:bottom w:val="single" w:sz="4" w:space="0" w:color="auto"/>
              <w:right w:val="single" w:sz="4" w:space="0" w:color="auto"/>
            </w:tcBorders>
            <w:noWrap/>
            <w:vAlign w:val="center"/>
            <w:hideMark/>
          </w:tcPr>
          <w:p w14:paraId="6CEFE638"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26,70</w:t>
            </w:r>
          </w:p>
        </w:tc>
        <w:tc>
          <w:tcPr>
            <w:tcW w:w="956" w:type="dxa"/>
            <w:tcBorders>
              <w:top w:val="nil"/>
              <w:left w:val="nil"/>
              <w:bottom w:val="single" w:sz="4" w:space="0" w:color="auto"/>
              <w:right w:val="single" w:sz="4" w:space="0" w:color="auto"/>
            </w:tcBorders>
            <w:noWrap/>
            <w:vAlign w:val="center"/>
            <w:hideMark/>
          </w:tcPr>
          <w:p w14:paraId="4A5FF159" w14:textId="5E9506CD"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33,11</w:t>
            </w:r>
          </w:p>
        </w:tc>
        <w:tc>
          <w:tcPr>
            <w:tcW w:w="980" w:type="dxa"/>
            <w:tcBorders>
              <w:top w:val="nil"/>
              <w:left w:val="nil"/>
              <w:bottom w:val="single" w:sz="4" w:space="0" w:color="auto"/>
              <w:right w:val="single" w:sz="4" w:space="0" w:color="auto"/>
            </w:tcBorders>
            <w:noWrap/>
            <w:vAlign w:val="center"/>
            <w:hideMark/>
          </w:tcPr>
          <w:p w14:paraId="5DBAB8AD"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21,88</w:t>
            </w:r>
          </w:p>
        </w:tc>
        <w:tc>
          <w:tcPr>
            <w:tcW w:w="894" w:type="dxa"/>
            <w:tcBorders>
              <w:top w:val="nil"/>
              <w:left w:val="nil"/>
              <w:bottom w:val="single" w:sz="4" w:space="0" w:color="auto"/>
              <w:right w:val="single" w:sz="4" w:space="0" w:color="auto"/>
            </w:tcBorders>
            <w:noWrap/>
            <w:vAlign w:val="center"/>
            <w:hideMark/>
          </w:tcPr>
          <w:p w14:paraId="5F4B9A6A" w14:textId="37896663"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20,39</w:t>
            </w:r>
          </w:p>
        </w:tc>
      </w:tr>
      <w:tr w:rsidR="00DC038D" w:rsidRPr="002B008A" w14:paraId="4E3B5274"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43FE814B" w14:textId="7FF7E259" w:rsidR="00DC038D" w:rsidRPr="002B008A" w:rsidRDefault="00DC038D" w:rsidP="00DC038D">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xml:space="preserve">Cho vay theo hạn mức </w:t>
            </w:r>
          </w:p>
        </w:tc>
        <w:tc>
          <w:tcPr>
            <w:tcW w:w="1165" w:type="dxa"/>
            <w:tcBorders>
              <w:top w:val="nil"/>
              <w:left w:val="nil"/>
              <w:bottom w:val="nil"/>
              <w:right w:val="nil"/>
            </w:tcBorders>
            <w:vAlign w:val="center"/>
            <w:hideMark/>
          </w:tcPr>
          <w:p w14:paraId="15B2F97C"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133,71</w:t>
            </w:r>
          </w:p>
        </w:tc>
        <w:tc>
          <w:tcPr>
            <w:tcW w:w="951" w:type="dxa"/>
            <w:tcBorders>
              <w:top w:val="nil"/>
              <w:left w:val="single" w:sz="4" w:space="0" w:color="auto"/>
              <w:bottom w:val="single" w:sz="4" w:space="0" w:color="auto"/>
              <w:right w:val="single" w:sz="4" w:space="0" w:color="auto"/>
            </w:tcBorders>
            <w:noWrap/>
            <w:vAlign w:val="center"/>
            <w:hideMark/>
          </w:tcPr>
          <w:p w14:paraId="0E19B85B"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62,38</w:t>
            </w:r>
          </w:p>
        </w:tc>
        <w:tc>
          <w:tcPr>
            <w:tcW w:w="1175" w:type="dxa"/>
            <w:tcBorders>
              <w:top w:val="nil"/>
              <w:left w:val="nil"/>
              <w:bottom w:val="nil"/>
              <w:right w:val="nil"/>
            </w:tcBorders>
            <w:vAlign w:val="center"/>
            <w:hideMark/>
          </w:tcPr>
          <w:p w14:paraId="0BC23847"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176,58</w:t>
            </w:r>
          </w:p>
        </w:tc>
        <w:tc>
          <w:tcPr>
            <w:tcW w:w="850" w:type="dxa"/>
            <w:tcBorders>
              <w:top w:val="nil"/>
              <w:left w:val="single" w:sz="4" w:space="0" w:color="auto"/>
              <w:bottom w:val="single" w:sz="4" w:space="0" w:color="auto"/>
              <w:right w:val="single" w:sz="4" w:space="0" w:color="auto"/>
            </w:tcBorders>
            <w:noWrap/>
            <w:vAlign w:val="center"/>
            <w:hideMark/>
          </w:tcPr>
          <w:p w14:paraId="34F5BEA1"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62,20</w:t>
            </w:r>
          </w:p>
        </w:tc>
        <w:tc>
          <w:tcPr>
            <w:tcW w:w="1134" w:type="dxa"/>
            <w:tcBorders>
              <w:top w:val="nil"/>
              <w:left w:val="nil"/>
              <w:bottom w:val="nil"/>
              <w:right w:val="nil"/>
            </w:tcBorders>
            <w:vAlign w:val="center"/>
            <w:hideMark/>
          </w:tcPr>
          <w:p w14:paraId="529F013A"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217,27</w:t>
            </w:r>
          </w:p>
        </w:tc>
        <w:tc>
          <w:tcPr>
            <w:tcW w:w="993" w:type="dxa"/>
            <w:tcBorders>
              <w:top w:val="nil"/>
              <w:left w:val="single" w:sz="4" w:space="0" w:color="auto"/>
              <w:bottom w:val="single" w:sz="4" w:space="0" w:color="auto"/>
              <w:right w:val="single" w:sz="4" w:space="0" w:color="auto"/>
            </w:tcBorders>
            <w:noWrap/>
            <w:vAlign w:val="center"/>
            <w:hideMark/>
          </w:tcPr>
          <w:p w14:paraId="38FEE6A3" w14:textId="325B3C6D"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62,71</w:t>
            </w:r>
          </w:p>
        </w:tc>
        <w:tc>
          <w:tcPr>
            <w:tcW w:w="998" w:type="dxa"/>
            <w:tcBorders>
              <w:top w:val="nil"/>
              <w:left w:val="nil"/>
              <w:bottom w:val="single" w:sz="4" w:space="0" w:color="auto"/>
              <w:right w:val="single" w:sz="4" w:space="0" w:color="auto"/>
            </w:tcBorders>
            <w:noWrap/>
            <w:vAlign w:val="center"/>
            <w:hideMark/>
          </w:tcPr>
          <w:p w14:paraId="25E2C984"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42,87</w:t>
            </w:r>
          </w:p>
        </w:tc>
        <w:tc>
          <w:tcPr>
            <w:tcW w:w="956" w:type="dxa"/>
            <w:tcBorders>
              <w:top w:val="nil"/>
              <w:left w:val="nil"/>
              <w:bottom w:val="single" w:sz="4" w:space="0" w:color="auto"/>
              <w:right w:val="single" w:sz="4" w:space="0" w:color="auto"/>
            </w:tcBorders>
            <w:noWrap/>
            <w:vAlign w:val="center"/>
            <w:hideMark/>
          </w:tcPr>
          <w:p w14:paraId="08599FAD" w14:textId="729449E0"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32,06</w:t>
            </w:r>
          </w:p>
        </w:tc>
        <w:tc>
          <w:tcPr>
            <w:tcW w:w="980" w:type="dxa"/>
            <w:tcBorders>
              <w:top w:val="nil"/>
              <w:left w:val="nil"/>
              <w:bottom w:val="single" w:sz="4" w:space="0" w:color="auto"/>
              <w:right w:val="single" w:sz="4" w:space="0" w:color="auto"/>
            </w:tcBorders>
            <w:noWrap/>
            <w:vAlign w:val="center"/>
            <w:hideMark/>
          </w:tcPr>
          <w:p w14:paraId="714F77B4"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40,69</w:t>
            </w:r>
          </w:p>
        </w:tc>
        <w:tc>
          <w:tcPr>
            <w:tcW w:w="894" w:type="dxa"/>
            <w:tcBorders>
              <w:top w:val="nil"/>
              <w:left w:val="nil"/>
              <w:bottom w:val="single" w:sz="4" w:space="0" w:color="auto"/>
              <w:right w:val="single" w:sz="4" w:space="0" w:color="auto"/>
            </w:tcBorders>
            <w:noWrap/>
            <w:vAlign w:val="center"/>
            <w:hideMark/>
          </w:tcPr>
          <w:p w14:paraId="10B015A7" w14:textId="489323CB"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23,04</w:t>
            </w:r>
          </w:p>
        </w:tc>
      </w:tr>
      <w:tr w:rsidR="00DC038D" w:rsidRPr="002B008A" w14:paraId="210D9588" w14:textId="77777777" w:rsidTr="008A5D81">
        <w:trPr>
          <w:trHeight w:val="176"/>
        </w:trPr>
        <w:tc>
          <w:tcPr>
            <w:tcW w:w="3792" w:type="dxa"/>
            <w:tcBorders>
              <w:top w:val="nil"/>
              <w:left w:val="single" w:sz="4" w:space="0" w:color="auto"/>
              <w:bottom w:val="single" w:sz="4" w:space="0" w:color="auto"/>
              <w:right w:val="single" w:sz="4" w:space="0" w:color="auto"/>
            </w:tcBorders>
            <w:noWrap/>
            <w:vAlign w:val="center"/>
            <w:hideMark/>
          </w:tcPr>
          <w:p w14:paraId="54D6FB1D" w14:textId="77777777" w:rsidR="00DC038D" w:rsidRPr="002B008A" w:rsidRDefault="00DC038D" w:rsidP="00DC038D">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 Dư nợ cho vay sản xuất kinh doanh</w:t>
            </w:r>
          </w:p>
        </w:tc>
        <w:tc>
          <w:tcPr>
            <w:tcW w:w="1165" w:type="dxa"/>
            <w:tcBorders>
              <w:top w:val="single" w:sz="4" w:space="0" w:color="auto"/>
              <w:left w:val="nil"/>
              <w:bottom w:val="single" w:sz="4" w:space="0" w:color="auto"/>
              <w:right w:val="single" w:sz="4" w:space="0" w:color="auto"/>
            </w:tcBorders>
            <w:noWrap/>
            <w:vAlign w:val="center"/>
            <w:hideMark/>
          </w:tcPr>
          <w:p w14:paraId="566C729B" w14:textId="1F45FA5D"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403,17</w:t>
            </w:r>
          </w:p>
        </w:tc>
        <w:tc>
          <w:tcPr>
            <w:tcW w:w="951" w:type="dxa"/>
            <w:tcBorders>
              <w:top w:val="nil"/>
              <w:left w:val="nil"/>
              <w:bottom w:val="single" w:sz="4" w:space="0" w:color="auto"/>
              <w:right w:val="single" w:sz="4" w:space="0" w:color="auto"/>
            </w:tcBorders>
            <w:noWrap/>
            <w:vAlign w:val="center"/>
            <w:hideMark/>
          </w:tcPr>
          <w:p w14:paraId="197593CE"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75" w:type="dxa"/>
            <w:tcBorders>
              <w:top w:val="single" w:sz="4" w:space="0" w:color="auto"/>
              <w:left w:val="nil"/>
              <w:bottom w:val="single" w:sz="4" w:space="0" w:color="auto"/>
              <w:right w:val="single" w:sz="4" w:space="0" w:color="auto"/>
            </w:tcBorders>
            <w:noWrap/>
            <w:vAlign w:val="center"/>
            <w:hideMark/>
          </w:tcPr>
          <w:p w14:paraId="4EB4041A" w14:textId="2A280716"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536,54</w:t>
            </w:r>
          </w:p>
        </w:tc>
        <w:tc>
          <w:tcPr>
            <w:tcW w:w="850" w:type="dxa"/>
            <w:tcBorders>
              <w:top w:val="nil"/>
              <w:left w:val="nil"/>
              <w:bottom w:val="single" w:sz="4" w:space="0" w:color="auto"/>
              <w:right w:val="single" w:sz="4" w:space="0" w:color="auto"/>
            </w:tcBorders>
            <w:noWrap/>
            <w:vAlign w:val="center"/>
            <w:hideMark/>
          </w:tcPr>
          <w:p w14:paraId="6B0E311C"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34" w:type="dxa"/>
            <w:tcBorders>
              <w:top w:val="single" w:sz="4" w:space="0" w:color="auto"/>
              <w:left w:val="nil"/>
              <w:bottom w:val="single" w:sz="4" w:space="0" w:color="auto"/>
              <w:right w:val="single" w:sz="4" w:space="0" w:color="auto"/>
            </w:tcBorders>
            <w:noWrap/>
            <w:vAlign w:val="center"/>
            <w:hideMark/>
          </w:tcPr>
          <w:p w14:paraId="1A7EECF2" w14:textId="307D82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702,79</w:t>
            </w:r>
          </w:p>
        </w:tc>
        <w:tc>
          <w:tcPr>
            <w:tcW w:w="993" w:type="dxa"/>
            <w:tcBorders>
              <w:top w:val="nil"/>
              <w:left w:val="nil"/>
              <w:bottom w:val="single" w:sz="4" w:space="0" w:color="auto"/>
              <w:right w:val="single" w:sz="4" w:space="0" w:color="auto"/>
            </w:tcBorders>
            <w:noWrap/>
            <w:vAlign w:val="center"/>
            <w:hideMark/>
          </w:tcPr>
          <w:p w14:paraId="1254B770" w14:textId="38FCB405"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998" w:type="dxa"/>
            <w:tcBorders>
              <w:top w:val="nil"/>
              <w:left w:val="nil"/>
              <w:bottom w:val="single" w:sz="4" w:space="0" w:color="auto"/>
              <w:right w:val="single" w:sz="4" w:space="0" w:color="auto"/>
            </w:tcBorders>
            <w:noWrap/>
            <w:vAlign w:val="center"/>
            <w:hideMark/>
          </w:tcPr>
          <w:p w14:paraId="570E0E04"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133,37</w:t>
            </w:r>
          </w:p>
        </w:tc>
        <w:tc>
          <w:tcPr>
            <w:tcW w:w="956" w:type="dxa"/>
            <w:tcBorders>
              <w:top w:val="nil"/>
              <w:left w:val="nil"/>
              <w:bottom w:val="single" w:sz="4" w:space="0" w:color="auto"/>
              <w:right w:val="single" w:sz="4" w:space="0" w:color="auto"/>
            </w:tcBorders>
            <w:noWrap/>
            <w:vAlign w:val="center"/>
            <w:hideMark/>
          </w:tcPr>
          <w:p w14:paraId="513C907C" w14:textId="0C7C25D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33,08</w:t>
            </w:r>
          </w:p>
        </w:tc>
        <w:tc>
          <w:tcPr>
            <w:tcW w:w="980" w:type="dxa"/>
            <w:tcBorders>
              <w:top w:val="nil"/>
              <w:left w:val="nil"/>
              <w:bottom w:val="single" w:sz="4" w:space="0" w:color="auto"/>
              <w:right w:val="single" w:sz="4" w:space="0" w:color="auto"/>
            </w:tcBorders>
            <w:noWrap/>
            <w:vAlign w:val="center"/>
            <w:hideMark/>
          </w:tcPr>
          <w:p w14:paraId="1B7FC781"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166,25</w:t>
            </w:r>
          </w:p>
        </w:tc>
        <w:tc>
          <w:tcPr>
            <w:tcW w:w="894" w:type="dxa"/>
            <w:tcBorders>
              <w:top w:val="nil"/>
              <w:left w:val="nil"/>
              <w:bottom w:val="single" w:sz="4" w:space="0" w:color="auto"/>
              <w:right w:val="single" w:sz="4" w:space="0" w:color="auto"/>
            </w:tcBorders>
            <w:noWrap/>
            <w:vAlign w:val="center"/>
            <w:hideMark/>
          </w:tcPr>
          <w:p w14:paraId="10156D44" w14:textId="353A70A3"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30,99</w:t>
            </w:r>
          </w:p>
        </w:tc>
      </w:tr>
      <w:tr w:rsidR="00DC038D" w:rsidRPr="002B008A" w14:paraId="2117F5D6"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212E555B" w14:textId="5A7821C3" w:rsidR="00DC038D" w:rsidRPr="002B008A" w:rsidRDefault="00DC038D" w:rsidP="00DC038D">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xml:space="preserve">Cho vay </w:t>
            </w:r>
            <w:r w:rsidR="006773BA" w:rsidRPr="002B008A">
              <w:rPr>
                <w:rFonts w:ascii="Times New Roman" w:eastAsia="Times New Roman" w:hAnsi="Times New Roman" w:cs="Times New Roman"/>
                <w:color w:val="000000"/>
                <w:kern w:val="0"/>
                <w:sz w:val="26"/>
                <w:szCs w:val="26"/>
                <w:lang w:eastAsia="zh-CN"/>
                <w14:ligatures w14:val="none"/>
              </w:rPr>
              <w:t>theo</w:t>
            </w:r>
            <w:r w:rsidR="006773BA" w:rsidRPr="002B008A">
              <w:rPr>
                <w:rFonts w:ascii="Times New Roman" w:eastAsia="Times New Roman" w:hAnsi="Times New Roman" w:cs="Times New Roman"/>
                <w:color w:val="000000"/>
                <w:kern w:val="0"/>
                <w:sz w:val="26"/>
                <w:szCs w:val="26"/>
                <w:lang w:val="vi-VN" w:eastAsia="zh-CN"/>
                <w14:ligatures w14:val="none"/>
              </w:rPr>
              <w:t xml:space="preserve"> món</w:t>
            </w:r>
          </w:p>
        </w:tc>
        <w:tc>
          <w:tcPr>
            <w:tcW w:w="1165" w:type="dxa"/>
            <w:tcBorders>
              <w:top w:val="nil"/>
              <w:left w:val="nil"/>
              <w:bottom w:val="nil"/>
              <w:right w:val="nil"/>
            </w:tcBorders>
            <w:vAlign w:val="center"/>
            <w:hideMark/>
          </w:tcPr>
          <w:p w14:paraId="098D3A76"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151,35</w:t>
            </w:r>
          </w:p>
        </w:tc>
        <w:tc>
          <w:tcPr>
            <w:tcW w:w="951" w:type="dxa"/>
            <w:tcBorders>
              <w:top w:val="nil"/>
              <w:left w:val="single" w:sz="4" w:space="0" w:color="auto"/>
              <w:bottom w:val="single" w:sz="4" w:space="0" w:color="auto"/>
              <w:right w:val="single" w:sz="4" w:space="0" w:color="auto"/>
            </w:tcBorders>
            <w:noWrap/>
            <w:vAlign w:val="center"/>
            <w:hideMark/>
          </w:tcPr>
          <w:p w14:paraId="0A086F67"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37,54</w:t>
            </w:r>
          </w:p>
        </w:tc>
        <w:tc>
          <w:tcPr>
            <w:tcW w:w="1175" w:type="dxa"/>
            <w:tcBorders>
              <w:top w:val="nil"/>
              <w:left w:val="nil"/>
              <w:bottom w:val="single" w:sz="4" w:space="0" w:color="auto"/>
              <w:right w:val="single" w:sz="4" w:space="0" w:color="auto"/>
            </w:tcBorders>
            <w:noWrap/>
            <w:vAlign w:val="center"/>
            <w:hideMark/>
          </w:tcPr>
          <w:p w14:paraId="00A66E2E" w14:textId="7FD54455"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205,10</w:t>
            </w:r>
          </w:p>
        </w:tc>
        <w:tc>
          <w:tcPr>
            <w:tcW w:w="850" w:type="dxa"/>
            <w:tcBorders>
              <w:top w:val="nil"/>
              <w:left w:val="nil"/>
              <w:bottom w:val="single" w:sz="4" w:space="0" w:color="auto"/>
              <w:right w:val="single" w:sz="4" w:space="0" w:color="auto"/>
            </w:tcBorders>
            <w:noWrap/>
            <w:vAlign w:val="center"/>
            <w:hideMark/>
          </w:tcPr>
          <w:p w14:paraId="0BDD9130"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38,23</w:t>
            </w:r>
          </w:p>
        </w:tc>
        <w:tc>
          <w:tcPr>
            <w:tcW w:w="1134" w:type="dxa"/>
            <w:tcBorders>
              <w:top w:val="nil"/>
              <w:left w:val="nil"/>
              <w:bottom w:val="single" w:sz="4" w:space="0" w:color="auto"/>
              <w:right w:val="single" w:sz="4" w:space="0" w:color="auto"/>
            </w:tcBorders>
            <w:noWrap/>
            <w:vAlign w:val="center"/>
            <w:hideMark/>
          </w:tcPr>
          <w:p w14:paraId="4E1793F0" w14:textId="5201711A"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268,38</w:t>
            </w:r>
          </w:p>
        </w:tc>
        <w:tc>
          <w:tcPr>
            <w:tcW w:w="993" w:type="dxa"/>
            <w:tcBorders>
              <w:top w:val="nil"/>
              <w:left w:val="nil"/>
              <w:bottom w:val="single" w:sz="4" w:space="0" w:color="auto"/>
              <w:right w:val="single" w:sz="4" w:space="0" w:color="auto"/>
            </w:tcBorders>
            <w:noWrap/>
            <w:vAlign w:val="center"/>
            <w:hideMark/>
          </w:tcPr>
          <w:p w14:paraId="799337B0" w14:textId="32AAD4F0"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38,19</w:t>
            </w:r>
          </w:p>
        </w:tc>
        <w:tc>
          <w:tcPr>
            <w:tcW w:w="998" w:type="dxa"/>
            <w:tcBorders>
              <w:top w:val="nil"/>
              <w:left w:val="nil"/>
              <w:bottom w:val="single" w:sz="4" w:space="0" w:color="auto"/>
              <w:right w:val="single" w:sz="4" w:space="0" w:color="auto"/>
            </w:tcBorders>
            <w:noWrap/>
            <w:vAlign w:val="center"/>
            <w:hideMark/>
          </w:tcPr>
          <w:p w14:paraId="1FCC46D6"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53,75</w:t>
            </w:r>
          </w:p>
        </w:tc>
        <w:tc>
          <w:tcPr>
            <w:tcW w:w="956" w:type="dxa"/>
            <w:tcBorders>
              <w:top w:val="nil"/>
              <w:left w:val="nil"/>
              <w:bottom w:val="single" w:sz="4" w:space="0" w:color="auto"/>
              <w:right w:val="single" w:sz="4" w:space="0" w:color="auto"/>
            </w:tcBorders>
            <w:noWrap/>
            <w:vAlign w:val="center"/>
            <w:hideMark/>
          </w:tcPr>
          <w:p w14:paraId="7AC648CB" w14:textId="4BD931B5"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35,51</w:t>
            </w:r>
          </w:p>
        </w:tc>
        <w:tc>
          <w:tcPr>
            <w:tcW w:w="980" w:type="dxa"/>
            <w:tcBorders>
              <w:top w:val="nil"/>
              <w:left w:val="nil"/>
              <w:bottom w:val="single" w:sz="4" w:space="0" w:color="auto"/>
              <w:right w:val="single" w:sz="4" w:space="0" w:color="auto"/>
            </w:tcBorders>
            <w:noWrap/>
            <w:vAlign w:val="center"/>
            <w:hideMark/>
          </w:tcPr>
          <w:p w14:paraId="23E397C6"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63,28</w:t>
            </w:r>
          </w:p>
        </w:tc>
        <w:tc>
          <w:tcPr>
            <w:tcW w:w="894" w:type="dxa"/>
            <w:tcBorders>
              <w:top w:val="nil"/>
              <w:left w:val="nil"/>
              <w:bottom w:val="single" w:sz="4" w:space="0" w:color="auto"/>
              <w:right w:val="single" w:sz="4" w:space="0" w:color="auto"/>
            </w:tcBorders>
            <w:noWrap/>
            <w:vAlign w:val="center"/>
            <w:hideMark/>
          </w:tcPr>
          <w:p w14:paraId="6D423C80" w14:textId="5F560FBD"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30,85</w:t>
            </w:r>
          </w:p>
        </w:tc>
      </w:tr>
      <w:tr w:rsidR="00DC038D" w:rsidRPr="002B008A" w14:paraId="4BE396E8"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2F3EC59F" w14:textId="7780A540" w:rsidR="00DC038D" w:rsidRPr="002B008A" w:rsidRDefault="00DC038D" w:rsidP="00DC038D">
            <w:pPr>
              <w:spacing w:after="0" w:line="240" w:lineRule="auto"/>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6"/>
                <w:szCs w:val="26"/>
                <w:lang w:eastAsia="zh-CN"/>
                <w14:ligatures w14:val="none"/>
              </w:rPr>
              <w:t xml:space="preserve">Cho vay theo hạn mức </w:t>
            </w:r>
          </w:p>
        </w:tc>
        <w:tc>
          <w:tcPr>
            <w:tcW w:w="1165" w:type="dxa"/>
            <w:tcBorders>
              <w:top w:val="nil"/>
              <w:left w:val="nil"/>
              <w:bottom w:val="nil"/>
              <w:right w:val="nil"/>
            </w:tcBorders>
            <w:vAlign w:val="center"/>
            <w:hideMark/>
          </w:tcPr>
          <w:p w14:paraId="1630250E"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251,82</w:t>
            </w:r>
          </w:p>
        </w:tc>
        <w:tc>
          <w:tcPr>
            <w:tcW w:w="951" w:type="dxa"/>
            <w:tcBorders>
              <w:top w:val="nil"/>
              <w:left w:val="single" w:sz="4" w:space="0" w:color="auto"/>
              <w:bottom w:val="single" w:sz="4" w:space="0" w:color="auto"/>
              <w:right w:val="single" w:sz="4" w:space="0" w:color="auto"/>
            </w:tcBorders>
            <w:noWrap/>
            <w:vAlign w:val="center"/>
            <w:hideMark/>
          </w:tcPr>
          <w:p w14:paraId="500A37B7"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62,46</w:t>
            </w:r>
          </w:p>
        </w:tc>
        <w:tc>
          <w:tcPr>
            <w:tcW w:w="1175" w:type="dxa"/>
            <w:tcBorders>
              <w:top w:val="nil"/>
              <w:left w:val="nil"/>
              <w:bottom w:val="single" w:sz="4" w:space="0" w:color="auto"/>
              <w:right w:val="single" w:sz="4" w:space="0" w:color="auto"/>
            </w:tcBorders>
            <w:noWrap/>
            <w:vAlign w:val="center"/>
            <w:hideMark/>
          </w:tcPr>
          <w:p w14:paraId="33085913" w14:textId="2E9FF0DE"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331,44</w:t>
            </w:r>
          </w:p>
        </w:tc>
        <w:tc>
          <w:tcPr>
            <w:tcW w:w="850" w:type="dxa"/>
            <w:tcBorders>
              <w:top w:val="nil"/>
              <w:left w:val="nil"/>
              <w:bottom w:val="single" w:sz="4" w:space="0" w:color="auto"/>
              <w:right w:val="single" w:sz="4" w:space="0" w:color="auto"/>
            </w:tcBorders>
            <w:noWrap/>
            <w:vAlign w:val="center"/>
            <w:hideMark/>
          </w:tcPr>
          <w:p w14:paraId="624DEF76"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61,77</w:t>
            </w:r>
          </w:p>
        </w:tc>
        <w:tc>
          <w:tcPr>
            <w:tcW w:w="1134" w:type="dxa"/>
            <w:tcBorders>
              <w:top w:val="nil"/>
              <w:left w:val="nil"/>
              <w:bottom w:val="single" w:sz="4" w:space="0" w:color="auto"/>
              <w:right w:val="single" w:sz="4" w:space="0" w:color="auto"/>
            </w:tcBorders>
            <w:noWrap/>
            <w:vAlign w:val="center"/>
            <w:hideMark/>
          </w:tcPr>
          <w:p w14:paraId="62E87F98" w14:textId="0E8037FB"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434,41</w:t>
            </w:r>
          </w:p>
        </w:tc>
        <w:tc>
          <w:tcPr>
            <w:tcW w:w="993" w:type="dxa"/>
            <w:tcBorders>
              <w:top w:val="nil"/>
              <w:left w:val="nil"/>
              <w:bottom w:val="single" w:sz="4" w:space="0" w:color="auto"/>
              <w:right w:val="single" w:sz="4" w:space="0" w:color="auto"/>
            </w:tcBorders>
            <w:noWrap/>
            <w:vAlign w:val="center"/>
            <w:hideMark/>
          </w:tcPr>
          <w:p w14:paraId="0C73E27B" w14:textId="0823491D"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61,81</w:t>
            </w:r>
          </w:p>
        </w:tc>
        <w:tc>
          <w:tcPr>
            <w:tcW w:w="998" w:type="dxa"/>
            <w:tcBorders>
              <w:top w:val="nil"/>
              <w:left w:val="nil"/>
              <w:bottom w:val="single" w:sz="4" w:space="0" w:color="auto"/>
              <w:right w:val="single" w:sz="4" w:space="0" w:color="auto"/>
            </w:tcBorders>
            <w:noWrap/>
            <w:vAlign w:val="center"/>
            <w:hideMark/>
          </w:tcPr>
          <w:p w14:paraId="54C4509D"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79,62</w:t>
            </w:r>
          </w:p>
        </w:tc>
        <w:tc>
          <w:tcPr>
            <w:tcW w:w="956" w:type="dxa"/>
            <w:tcBorders>
              <w:top w:val="nil"/>
              <w:left w:val="nil"/>
              <w:bottom w:val="single" w:sz="4" w:space="0" w:color="auto"/>
              <w:right w:val="single" w:sz="4" w:space="0" w:color="auto"/>
            </w:tcBorders>
            <w:noWrap/>
            <w:vAlign w:val="center"/>
            <w:hideMark/>
          </w:tcPr>
          <w:p w14:paraId="0A557F44" w14:textId="60A585FE"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31,62</w:t>
            </w:r>
          </w:p>
        </w:tc>
        <w:tc>
          <w:tcPr>
            <w:tcW w:w="980" w:type="dxa"/>
            <w:tcBorders>
              <w:top w:val="nil"/>
              <w:left w:val="nil"/>
              <w:bottom w:val="single" w:sz="4" w:space="0" w:color="auto"/>
              <w:right w:val="single" w:sz="4" w:space="0" w:color="auto"/>
            </w:tcBorders>
            <w:noWrap/>
            <w:vAlign w:val="center"/>
            <w:hideMark/>
          </w:tcPr>
          <w:p w14:paraId="0CFFFA38"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102,97</w:t>
            </w:r>
          </w:p>
        </w:tc>
        <w:tc>
          <w:tcPr>
            <w:tcW w:w="894" w:type="dxa"/>
            <w:tcBorders>
              <w:top w:val="nil"/>
              <w:left w:val="nil"/>
              <w:bottom w:val="single" w:sz="4" w:space="0" w:color="auto"/>
              <w:right w:val="single" w:sz="4" w:space="0" w:color="auto"/>
            </w:tcBorders>
            <w:noWrap/>
            <w:vAlign w:val="center"/>
            <w:hideMark/>
          </w:tcPr>
          <w:p w14:paraId="532EF7C1" w14:textId="5CABEB1C"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31,07</w:t>
            </w:r>
          </w:p>
        </w:tc>
      </w:tr>
      <w:tr w:rsidR="00DC038D" w:rsidRPr="002B008A" w14:paraId="619A88F1" w14:textId="77777777" w:rsidTr="008A5D81">
        <w:trPr>
          <w:trHeight w:val="176"/>
        </w:trPr>
        <w:tc>
          <w:tcPr>
            <w:tcW w:w="3792" w:type="dxa"/>
            <w:tcBorders>
              <w:top w:val="nil"/>
              <w:left w:val="single" w:sz="4" w:space="0" w:color="auto"/>
              <w:bottom w:val="single" w:sz="4" w:space="0" w:color="auto"/>
              <w:right w:val="single" w:sz="4" w:space="0" w:color="auto"/>
            </w:tcBorders>
            <w:noWrap/>
            <w:vAlign w:val="center"/>
            <w:hideMark/>
          </w:tcPr>
          <w:p w14:paraId="75211C6B" w14:textId="77777777" w:rsidR="00DC038D" w:rsidRPr="002B008A" w:rsidRDefault="00DC038D" w:rsidP="00DC038D">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 Nợ xấu</w:t>
            </w:r>
          </w:p>
        </w:tc>
        <w:tc>
          <w:tcPr>
            <w:tcW w:w="1165" w:type="dxa"/>
            <w:tcBorders>
              <w:top w:val="single" w:sz="4" w:space="0" w:color="auto"/>
              <w:left w:val="nil"/>
              <w:bottom w:val="single" w:sz="4" w:space="0" w:color="auto"/>
              <w:right w:val="single" w:sz="4" w:space="0" w:color="auto"/>
            </w:tcBorders>
            <w:noWrap/>
            <w:vAlign w:val="center"/>
            <w:hideMark/>
          </w:tcPr>
          <w:p w14:paraId="124C226B"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2,61</w:t>
            </w:r>
          </w:p>
        </w:tc>
        <w:tc>
          <w:tcPr>
            <w:tcW w:w="951" w:type="dxa"/>
            <w:tcBorders>
              <w:top w:val="nil"/>
              <w:left w:val="nil"/>
              <w:bottom w:val="single" w:sz="4" w:space="0" w:color="auto"/>
              <w:right w:val="single" w:sz="4" w:space="0" w:color="auto"/>
            </w:tcBorders>
            <w:noWrap/>
            <w:vAlign w:val="center"/>
            <w:hideMark/>
          </w:tcPr>
          <w:p w14:paraId="0DD12BEE"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75" w:type="dxa"/>
            <w:tcBorders>
              <w:top w:val="nil"/>
              <w:left w:val="nil"/>
              <w:bottom w:val="single" w:sz="4" w:space="0" w:color="auto"/>
              <w:right w:val="single" w:sz="4" w:space="0" w:color="auto"/>
            </w:tcBorders>
            <w:noWrap/>
            <w:vAlign w:val="center"/>
            <w:hideMark/>
          </w:tcPr>
          <w:p w14:paraId="2C8F00C2"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3,33</w:t>
            </w:r>
          </w:p>
        </w:tc>
        <w:tc>
          <w:tcPr>
            <w:tcW w:w="850" w:type="dxa"/>
            <w:tcBorders>
              <w:top w:val="nil"/>
              <w:left w:val="nil"/>
              <w:bottom w:val="single" w:sz="4" w:space="0" w:color="auto"/>
              <w:right w:val="single" w:sz="4" w:space="0" w:color="auto"/>
            </w:tcBorders>
            <w:noWrap/>
            <w:vAlign w:val="center"/>
            <w:hideMark/>
          </w:tcPr>
          <w:p w14:paraId="051CEE45"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1134" w:type="dxa"/>
            <w:tcBorders>
              <w:top w:val="nil"/>
              <w:left w:val="nil"/>
              <w:bottom w:val="single" w:sz="4" w:space="0" w:color="auto"/>
              <w:right w:val="single" w:sz="4" w:space="0" w:color="auto"/>
            </w:tcBorders>
            <w:noWrap/>
            <w:vAlign w:val="center"/>
            <w:hideMark/>
          </w:tcPr>
          <w:p w14:paraId="41ED6DBC"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4,98</w:t>
            </w:r>
          </w:p>
        </w:tc>
        <w:tc>
          <w:tcPr>
            <w:tcW w:w="993" w:type="dxa"/>
            <w:tcBorders>
              <w:top w:val="nil"/>
              <w:left w:val="nil"/>
              <w:bottom w:val="single" w:sz="4" w:space="0" w:color="auto"/>
              <w:right w:val="single" w:sz="4" w:space="0" w:color="auto"/>
            </w:tcBorders>
            <w:noWrap/>
            <w:vAlign w:val="center"/>
            <w:hideMark/>
          </w:tcPr>
          <w:p w14:paraId="4C97A6A1" w14:textId="7E1C3144"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100</w:t>
            </w:r>
          </w:p>
        </w:tc>
        <w:tc>
          <w:tcPr>
            <w:tcW w:w="998" w:type="dxa"/>
            <w:tcBorders>
              <w:top w:val="nil"/>
              <w:left w:val="nil"/>
              <w:bottom w:val="single" w:sz="4" w:space="0" w:color="auto"/>
              <w:right w:val="single" w:sz="4" w:space="0" w:color="auto"/>
            </w:tcBorders>
            <w:noWrap/>
            <w:vAlign w:val="center"/>
            <w:hideMark/>
          </w:tcPr>
          <w:p w14:paraId="70E04674"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0,72</w:t>
            </w:r>
          </w:p>
        </w:tc>
        <w:tc>
          <w:tcPr>
            <w:tcW w:w="956" w:type="dxa"/>
            <w:tcBorders>
              <w:top w:val="nil"/>
              <w:left w:val="nil"/>
              <w:bottom w:val="single" w:sz="4" w:space="0" w:color="auto"/>
              <w:right w:val="single" w:sz="4" w:space="0" w:color="auto"/>
            </w:tcBorders>
            <w:noWrap/>
            <w:vAlign w:val="center"/>
            <w:hideMark/>
          </w:tcPr>
          <w:p w14:paraId="66FBB36B" w14:textId="44E677A8"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27,59</w:t>
            </w:r>
          </w:p>
        </w:tc>
        <w:tc>
          <w:tcPr>
            <w:tcW w:w="980" w:type="dxa"/>
            <w:tcBorders>
              <w:top w:val="nil"/>
              <w:left w:val="nil"/>
              <w:bottom w:val="single" w:sz="4" w:space="0" w:color="auto"/>
              <w:right w:val="single" w:sz="4" w:space="0" w:color="auto"/>
            </w:tcBorders>
            <w:noWrap/>
            <w:vAlign w:val="center"/>
            <w:hideMark/>
          </w:tcPr>
          <w:p w14:paraId="611F03A2" w14:textId="77777777"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1,65</w:t>
            </w:r>
          </w:p>
        </w:tc>
        <w:tc>
          <w:tcPr>
            <w:tcW w:w="894" w:type="dxa"/>
            <w:tcBorders>
              <w:top w:val="nil"/>
              <w:left w:val="nil"/>
              <w:bottom w:val="single" w:sz="4" w:space="0" w:color="auto"/>
              <w:right w:val="single" w:sz="4" w:space="0" w:color="auto"/>
            </w:tcBorders>
            <w:noWrap/>
            <w:vAlign w:val="center"/>
            <w:hideMark/>
          </w:tcPr>
          <w:p w14:paraId="7DDB500A" w14:textId="21D99A68" w:rsidR="00DC038D" w:rsidRPr="002B008A" w:rsidRDefault="00DC038D" w:rsidP="00DC038D">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49,55</w:t>
            </w:r>
          </w:p>
        </w:tc>
      </w:tr>
      <w:tr w:rsidR="00DC038D" w:rsidRPr="002B008A" w14:paraId="0E20A029"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00846264" w14:textId="1411869D" w:rsidR="00DC038D" w:rsidRPr="002B008A" w:rsidRDefault="00DC038D" w:rsidP="00DC038D">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xml:space="preserve">Cho vay </w:t>
            </w:r>
            <w:r w:rsidR="006773BA" w:rsidRPr="002B008A">
              <w:rPr>
                <w:rFonts w:ascii="Times New Roman" w:eastAsia="Times New Roman" w:hAnsi="Times New Roman" w:cs="Times New Roman"/>
                <w:color w:val="000000"/>
                <w:kern w:val="0"/>
                <w:sz w:val="26"/>
                <w:szCs w:val="26"/>
                <w:lang w:eastAsia="zh-CN"/>
                <w14:ligatures w14:val="none"/>
              </w:rPr>
              <w:t>theo</w:t>
            </w:r>
            <w:r w:rsidR="006773BA" w:rsidRPr="002B008A">
              <w:rPr>
                <w:rFonts w:ascii="Times New Roman" w:eastAsia="Times New Roman" w:hAnsi="Times New Roman" w:cs="Times New Roman"/>
                <w:color w:val="000000"/>
                <w:kern w:val="0"/>
                <w:sz w:val="26"/>
                <w:szCs w:val="26"/>
                <w:lang w:val="vi-VN" w:eastAsia="zh-CN"/>
                <w14:ligatures w14:val="none"/>
              </w:rPr>
              <w:t xml:space="preserve"> món</w:t>
            </w:r>
          </w:p>
        </w:tc>
        <w:tc>
          <w:tcPr>
            <w:tcW w:w="1165" w:type="dxa"/>
            <w:tcBorders>
              <w:top w:val="nil"/>
              <w:left w:val="nil"/>
              <w:bottom w:val="nil"/>
              <w:right w:val="nil"/>
            </w:tcBorders>
            <w:vAlign w:val="center"/>
            <w:hideMark/>
          </w:tcPr>
          <w:p w14:paraId="71BF4BD3"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1,02</w:t>
            </w:r>
          </w:p>
        </w:tc>
        <w:tc>
          <w:tcPr>
            <w:tcW w:w="951" w:type="dxa"/>
            <w:tcBorders>
              <w:top w:val="nil"/>
              <w:left w:val="single" w:sz="4" w:space="0" w:color="auto"/>
              <w:bottom w:val="single" w:sz="4" w:space="0" w:color="auto"/>
              <w:right w:val="single" w:sz="4" w:space="0" w:color="auto"/>
            </w:tcBorders>
            <w:noWrap/>
            <w:vAlign w:val="center"/>
            <w:hideMark/>
          </w:tcPr>
          <w:p w14:paraId="52CCD204"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39,08</w:t>
            </w:r>
          </w:p>
        </w:tc>
        <w:tc>
          <w:tcPr>
            <w:tcW w:w="1175" w:type="dxa"/>
            <w:tcBorders>
              <w:top w:val="nil"/>
              <w:left w:val="nil"/>
              <w:bottom w:val="nil"/>
              <w:right w:val="nil"/>
            </w:tcBorders>
            <w:vAlign w:val="center"/>
            <w:hideMark/>
          </w:tcPr>
          <w:p w14:paraId="16A1CC48"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1,28</w:t>
            </w:r>
          </w:p>
        </w:tc>
        <w:tc>
          <w:tcPr>
            <w:tcW w:w="850" w:type="dxa"/>
            <w:tcBorders>
              <w:top w:val="nil"/>
              <w:left w:val="single" w:sz="4" w:space="0" w:color="auto"/>
              <w:bottom w:val="single" w:sz="4" w:space="0" w:color="auto"/>
              <w:right w:val="single" w:sz="4" w:space="0" w:color="auto"/>
            </w:tcBorders>
            <w:noWrap/>
            <w:vAlign w:val="center"/>
            <w:hideMark/>
          </w:tcPr>
          <w:p w14:paraId="58269E0D"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38,44</w:t>
            </w:r>
          </w:p>
        </w:tc>
        <w:tc>
          <w:tcPr>
            <w:tcW w:w="1134" w:type="dxa"/>
            <w:tcBorders>
              <w:top w:val="nil"/>
              <w:left w:val="nil"/>
              <w:bottom w:val="nil"/>
              <w:right w:val="nil"/>
            </w:tcBorders>
            <w:vAlign w:val="center"/>
            <w:hideMark/>
          </w:tcPr>
          <w:p w14:paraId="5C8A45E4"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1,92</w:t>
            </w:r>
          </w:p>
        </w:tc>
        <w:tc>
          <w:tcPr>
            <w:tcW w:w="993" w:type="dxa"/>
            <w:tcBorders>
              <w:top w:val="nil"/>
              <w:left w:val="single" w:sz="4" w:space="0" w:color="auto"/>
              <w:bottom w:val="single" w:sz="4" w:space="0" w:color="auto"/>
              <w:right w:val="single" w:sz="4" w:space="0" w:color="auto"/>
            </w:tcBorders>
            <w:noWrap/>
            <w:vAlign w:val="center"/>
            <w:hideMark/>
          </w:tcPr>
          <w:p w14:paraId="3FA82E9E" w14:textId="48B379A8"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38,55</w:t>
            </w:r>
          </w:p>
        </w:tc>
        <w:tc>
          <w:tcPr>
            <w:tcW w:w="998" w:type="dxa"/>
            <w:tcBorders>
              <w:top w:val="nil"/>
              <w:left w:val="nil"/>
              <w:bottom w:val="single" w:sz="4" w:space="0" w:color="auto"/>
              <w:right w:val="single" w:sz="4" w:space="0" w:color="auto"/>
            </w:tcBorders>
            <w:noWrap/>
            <w:vAlign w:val="center"/>
            <w:hideMark/>
          </w:tcPr>
          <w:p w14:paraId="321147BB"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0,26</w:t>
            </w:r>
          </w:p>
        </w:tc>
        <w:tc>
          <w:tcPr>
            <w:tcW w:w="956" w:type="dxa"/>
            <w:tcBorders>
              <w:top w:val="nil"/>
              <w:left w:val="nil"/>
              <w:bottom w:val="single" w:sz="4" w:space="0" w:color="auto"/>
              <w:right w:val="single" w:sz="4" w:space="0" w:color="auto"/>
            </w:tcBorders>
            <w:noWrap/>
            <w:vAlign w:val="center"/>
            <w:hideMark/>
          </w:tcPr>
          <w:p w14:paraId="5BF98CBA" w14:textId="784F951F"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25,49</w:t>
            </w:r>
          </w:p>
        </w:tc>
        <w:tc>
          <w:tcPr>
            <w:tcW w:w="980" w:type="dxa"/>
            <w:tcBorders>
              <w:top w:val="nil"/>
              <w:left w:val="nil"/>
              <w:bottom w:val="single" w:sz="4" w:space="0" w:color="auto"/>
              <w:right w:val="single" w:sz="4" w:space="0" w:color="auto"/>
            </w:tcBorders>
            <w:noWrap/>
            <w:vAlign w:val="center"/>
            <w:hideMark/>
          </w:tcPr>
          <w:p w14:paraId="0F989377"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0,64</w:t>
            </w:r>
          </w:p>
        </w:tc>
        <w:tc>
          <w:tcPr>
            <w:tcW w:w="894" w:type="dxa"/>
            <w:tcBorders>
              <w:top w:val="nil"/>
              <w:left w:val="nil"/>
              <w:bottom w:val="single" w:sz="4" w:space="0" w:color="auto"/>
              <w:right w:val="single" w:sz="4" w:space="0" w:color="auto"/>
            </w:tcBorders>
            <w:noWrap/>
            <w:vAlign w:val="center"/>
            <w:hideMark/>
          </w:tcPr>
          <w:p w14:paraId="6B5DF22D" w14:textId="7088802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50,00</w:t>
            </w:r>
          </w:p>
        </w:tc>
      </w:tr>
      <w:tr w:rsidR="00DC038D" w:rsidRPr="002B008A" w14:paraId="4D20912E"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14AD0975" w14:textId="1D507473" w:rsidR="00DC038D" w:rsidRPr="002B008A" w:rsidRDefault="00DC038D" w:rsidP="00DC038D">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xml:space="preserve">Cho vay theo hạn mức </w:t>
            </w:r>
          </w:p>
        </w:tc>
        <w:tc>
          <w:tcPr>
            <w:tcW w:w="1165" w:type="dxa"/>
            <w:tcBorders>
              <w:top w:val="nil"/>
              <w:left w:val="nil"/>
              <w:bottom w:val="nil"/>
              <w:right w:val="nil"/>
            </w:tcBorders>
            <w:vAlign w:val="center"/>
            <w:hideMark/>
          </w:tcPr>
          <w:p w14:paraId="4D5088B2"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1,59</w:t>
            </w:r>
          </w:p>
        </w:tc>
        <w:tc>
          <w:tcPr>
            <w:tcW w:w="951" w:type="dxa"/>
            <w:tcBorders>
              <w:top w:val="nil"/>
              <w:left w:val="single" w:sz="4" w:space="0" w:color="auto"/>
              <w:bottom w:val="single" w:sz="4" w:space="0" w:color="auto"/>
              <w:right w:val="single" w:sz="4" w:space="0" w:color="auto"/>
            </w:tcBorders>
            <w:noWrap/>
            <w:vAlign w:val="center"/>
            <w:hideMark/>
          </w:tcPr>
          <w:p w14:paraId="25990189"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60,92</w:t>
            </w:r>
          </w:p>
        </w:tc>
        <w:tc>
          <w:tcPr>
            <w:tcW w:w="1175" w:type="dxa"/>
            <w:tcBorders>
              <w:top w:val="nil"/>
              <w:left w:val="nil"/>
              <w:bottom w:val="nil"/>
              <w:right w:val="nil"/>
            </w:tcBorders>
            <w:vAlign w:val="center"/>
            <w:hideMark/>
          </w:tcPr>
          <w:p w14:paraId="79DCBBAF"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2,05</w:t>
            </w:r>
          </w:p>
        </w:tc>
        <w:tc>
          <w:tcPr>
            <w:tcW w:w="850" w:type="dxa"/>
            <w:tcBorders>
              <w:top w:val="nil"/>
              <w:left w:val="single" w:sz="4" w:space="0" w:color="auto"/>
              <w:bottom w:val="single" w:sz="4" w:space="0" w:color="auto"/>
              <w:right w:val="single" w:sz="4" w:space="0" w:color="auto"/>
            </w:tcBorders>
            <w:noWrap/>
            <w:vAlign w:val="center"/>
            <w:hideMark/>
          </w:tcPr>
          <w:p w14:paraId="24191D64"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61,56</w:t>
            </w:r>
          </w:p>
        </w:tc>
        <w:tc>
          <w:tcPr>
            <w:tcW w:w="1134" w:type="dxa"/>
            <w:tcBorders>
              <w:top w:val="nil"/>
              <w:left w:val="nil"/>
              <w:bottom w:val="nil"/>
              <w:right w:val="nil"/>
            </w:tcBorders>
            <w:vAlign w:val="center"/>
            <w:hideMark/>
          </w:tcPr>
          <w:p w14:paraId="72893FB2"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3,06</w:t>
            </w:r>
          </w:p>
        </w:tc>
        <w:tc>
          <w:tcPr>
            <w:tcW w:w="993" w:type="dxa"/>
            <w:tcBorders>
              <w:top w:val="nil"/>
              <w:left w:val="single" w:sz="4" w:space="0" w:color="auto"/>
              <w:bottom w:val="single" w:sz="4" w:space="0" w:color="auto"/>
              <w:right w:val="single" w:sz="4" w:space="0" w:color="auto"/>
            </w:tcBorders>
            <w:noWrap/>
            <w:vAlign w:val="center"/>
            <w:hideMark/>
          </w:tcPr>
          <w:p w14:paraId="165D7C9D" w14:textId="5ADBD26F"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61,45</w:t>
            </w:r>
          </w:p>
        </w:tc>
        <w:tc>
          <w:tcPr>
            <w:tcW w:w="998" w:type="dxa"/>
            <w:tcBorders>
              <w:top w:val="nil"/>
              <w:left w:val="nil"/>
              <w:bottom w:val="single" w:sz="4" w:space="0" w:color="auto"/>
              <w:right w:val="single" w:sz="4" w:space="0" w:color="auto"/>
            </w:tcBorders>
            <w:noWrap/>
            <w:vAlign w:val="center"/>
            <w:hideMark/>
          </w:tcPr>
          <w:p w14:paraId="1B824AB6"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0,46</w:t>
            </w:r>
          </w:p>
        </w:tc>
        <w:tc>
          <w:tcPr>
            <w:tcW w:w="956" w:type="dxa"/>
            <w:tcBorders>
              <w:top w:val="nil"/>
              <w:left w:val="nil"/>
              <w:bottom w:val="single" w:sz="4" w:space="0" w:color="auto"/>
              <w:right w:val="single" w:sz="4" w:space="0" w:color="auto"/>
            </w:tcBorders>
            <w:noWrap/>
            <w:vAlign w:val="center"/>
            <w:hideMark/>
          </w:tcPr>
          <w:p w14:paraId="7078DA04" w14:textId="23B92C18"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28,93</w:t>
            </w:r>
          </w:p>
        </w:tc>
        <w:tc>
          <w:tcPr>
            <w:tcW w:w="980" w:type="dxa"/>
            <w:tcBorders>
              <w:top w:val="nil"/>
              <w:left w:val="nil"/>
              <w:bottom w:val="single" w:sz="4" w:space="0" w:color="auto"/>
              <w:right w:val="single" w:sz="4" w:space="0" w:color="auto"/>
            </w:tcBorders>
            <w:noWrap/>
            <w:vAlign w:val="center"/>
            <w:hideMark/>
          </w:tcPr>
          <w:p w14:paraId="6750CA9B" w14:textId="77777777"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1,01</w:t>
            </w:r>
          </w:p>
        </w:tc>
        <w:tc>
          <w:tcPr>
            <w:tcW w:w="894" w:type="dxa"/>
            <w:tcBorders>
              <w:top w:val="nil"/>
              <w:left w:val="nil"/>
              <w:bottom w:val="single" w:sz="4" w:space="0" w:color="auto"/>
              <w:right w:val="single" w:sz="4" w:space="0" w:color="auto"/>
            </w:tcBorders>
            <w:noWrap/>
            <w:vAlign w:val="center"/>
            <w:hideMark/>
          </w:tcPr>
          <w:p w14:paraId="21797F97" w14:textId="76A51898" w:rsidR="00DC038D" w:rsidRPr="002B008A" w:rsidRDefault="00DC038D" w:rsidP="00DC038D">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49,27</w:t>
            </w:r>
          </w:p>
        </w:tc>
      </w:tr>
      <w:tr w:rsidR="00DC038D" w:rsidRPr="002B008A" w14:paraId="35B214FB" w14:textId="77777777" w:rsidTr="008A5D81">
        <w:trPr>
          <w:trHeight w:val="176"/>
        </w:trPr>
        <w:tc>
          <w:tcPr>
            <w:tcW w:w="3792" w:type="dxa"/>
            <w:tcBorders>
              <w:top w:val="nil"/>
              <w:left w:val="single" w:sz="4" w:space="0" w:color="auto"/>
              <w:bottom w:val="single" w:sz="4" w:space="0" w:color="auto"/>
              <w:right w:val="single" w:sz="4" w:space="0" w:color="auto"/>
            </w:tcBorders>
            <w:noWrap/>
            <w:vAlign w:val="center"/>
            <w:hideMark/>
          </w:tcPr>
          <w:p w14:paraId="756E7CEE" w14:textId="77777777" w:rsidR="00DC038D" w:rsidRPr="002B008A" w:rsidRDefault="00DC038D" w:rsidP="00DC038D">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5. Tỷ lệ nợ xấu (%)</w:t>
            </w:r>
          </w:p>
        </w:tc>
        <w:tc>
          <w:tcPr>
            <w:tcW w:w="2116" w:type="dxa"/>
            <w:gridSpan w:val="2"/>
            <w:tcBorders>
              <w:top w:val="single" w:sz="4" w:space="0" w:color="auto"/>
              <w:left w:val="nil"/>
              <w:bottom w:val="single" w:sz="4" w:space="0" w:color="auto"/>
              <w:right w:val="single" w:sz="4" w:space="0" w:color="000000"/>
            </w:tcBorders>
            <w:noWrap/>
            <w:vAlign w:val="bottom"/>
            <w:hideMark/>
          </w:tcPr>
          <w:p w14:paraId="2ABBB3E4"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0,65</w:t>
            </w:r>
          </w:p>
        </w:tc>
        <w:tc>
          <w:tcPr>
            <w:tcW w:w="2025" w:type="dxa"/>
            <w:gridSpan w:val="2"/>
            <w:tcBorders>
              <w:top w:val="single" w:sz="4" w:space="0" w:color="auto"/>
              <w:left w:val="nil"/>
              <w:bottom w:val="single" w:sz="4" w:space="0" w:color="auto"/>
              <w:right w:val="single" w:sz="4" w:space="0" w:color="000000"/>
            </w:tcBorders>
            <w:noWrap/>
            <w:vAlign w:val="bottom"/>
            <w:hideMark/>
          </w:tcPr>
          <w:p w14:paraId="7DF10E5C"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0,62</w:t>
            </w:r>
          </w:p>
        </w:tc>
        <w:tc>
          <w:tcPr>
            <w:tcW w:w="2127" w:type="dxa"/>
            <w:gridSpan w:val="2"/>
            <w:tcBorders>
              <w:top w:val="single" w:sz="4" w:space="0" w:color="auto"/>
              <w:left w:val="nil"/>
              <w:bottom w:val="single" w:sz="4" w:space="0" w:color="auto"/>
              <w:right w:val="single" w:sz="4" w:space="0" w:color="000000"/>
            </w:tcBorders>
            <w:noWrap/>
            <w:vAlign w:val="bottom"/>
            <w:hideMark/>
          </w:tcPr>
          <w:p w14:paraId="23C0EC24"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0,71</w:t>
            </w:r>
          </w:p>
        </w:tc>
        <w:tc>
          <w:tcPr>
            <w:tcW w:w="3828" w:type="dxa"/>
            <w:gridSpan w:val="4"/>
            <w:vMerge w:val="restart"/>
            <w:tcBorders>
              <w:top w:val="single" w:sz="4" w:space="0" w:color="auto"/>
              <w:left w:val="single" w:sz="4" w:space="0" w:color="auto"/>
              <w:bottom w:val="single" w:sz="4" w:space="0" w:color="000000"/>
              <w:right w:val="single" w:sz="4" w:space="0" w:color="000000"/>
            </w:tcBorders>
            <w:noWrap/>
            <w:vAlign w:val="center"/>
            <w:hideMark/>
          </w:tcPr>
          <w:p w14:paraId="3B2FD95A" w14:textId="77777777" w:rsidR="00DC038D" w:rsidRPr="002B008A" w:rsidRDefault="00DC038D" w:rsidP="00DC038D">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 </w:t>
            </w:r>
          </w:p>
        </w:tc>
      </w:tr>
      <w:tr w:rsidR="00DC038D" w:rsidRPr="002B008A" w14:paraId="405FC123"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0BDBBF5F" w14:textId="03EED742" w:rsidR="00DC038D" w:rsidRPr="002B008A" w:rsidRDefault="00DC038D" w:rsidP="00DC038D">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xml:space="preserve">Cho vay </w:t>
            </w:r>
            <w:r w:rsidR="006773BA" w:rsidRPr="002B008A">
              <w:rPr>
                <w:rFonts w:ascii="Times New Roman" w:eastAsia="Times New Roman" w:hAnsi="Times New Roman" w:cs="Times New Roman"/>
                <w:color w:val="000000"/>
                <w:kern w:val="0"/>
                <w:sz w:val="26"/>
                <w:szCs w:val="26"/>
                <w:lang w:eastAsia="zh-CN"/>
                <w14:ligatures w14:val="none"/>
              </w:rPr>
              <w:t>theo</w:t>
            </w:r>
            <w:r w:rsidR="006773BA" w:rsidRPr="002B008A">
              <w:rPr>
                <w:rFonts w:ascii="Times New Roman" w:eastAsia="Times New Roman" w:hAnsi="Times New Roman" w:cs="Times New Roman"/>
                <w:color w:val="000000"/>
                <w:kern w:val="0"/>
                <w:sz w:val="26"/>
                <w:szCs w:val="26"/>
                <w:lang w:val="vi-VN" w:eastAsia="zh-CN"/>
                <w14:ligatures w14:val="none"/>
              </w:rPr>
              <w:t xml:space="preserve"> món</w:t>
            </w:r>
          </w:p>
        </w:tc>
        <w:tc>
          <w:tcPr>
            <w:tcW w:w="2116" w:type="dxa"/>
            <w:gridSpan w:val="2"/>
            <w:tcBorders>
              <w:top w:val="single" w:sz="4" w:space="0" w:color="auto"/>
              <w:left w:val="nil"/>
              <w:bottom w:val="single" w:sz="4" w:space="0" w:color="auto"/>
              <w:right w:val="single" w:sz="4" w:space="0" w:color="000000"/>
            </w:tcBorders>
            <w:noWrap/>
            <w:vAlign w:val="bottom"/>
            <w:hideMark/>
          </w:tcPr>
          <w:p w14:paraId="08495F5B" w14:textId="77777777" w:rsidR="00DC038D" w:rsidRPr="002B008A" w:rsidRDefault="00DC038D" w:rsidP="00DC038D">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0,67</w:t>
            </w:r>
          </w:p>
        </w:tc>
        <w:tc>
          <w:tcPr>
            <w:tcW w:w="2025" w:type="dxa"/>
            <w:gridSpan w:val="2"/>
            <w:tcBorders>
              <w:top w:val="single" w:sz="4" w:space="0" w:color="auto"/>
              <w:left w:val="nil"/>
              <w:bottom w:val="single" w:sz="4" w:space="0" w:color="auto"/>
              <w:right w:val="single" w:sz="4" w:space="0" w:color="000000"/>
            </w:tcBorders>
            <w:noWrap/>
            <w:vAlign w:val="bottom"/>
            <w:hideMark/>
          </w:tcPr>
          <w:p w14:paraId="01DBD03F" w14:textId="77777777" w:rsidR="00DC038D" w:rsidRPr="002B008A" w:rsidRDefault="00DC038D" w:rsidP="00DC038D">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0,62</w:t>
            </w:r>
          </w:p>
        </w:tc>
        <w:tc>
          <w:tcPr>
            <w:tcW w:w="2127" w:type="dxa"/>
            <w:gridSpan w:val="2"/>
            <w:tcBorders>
              <w:top w:val="single" w:sz="4" w:space="0" w:color="auto"/>
              <w:left w:val="nil"/>
              <w:bottom w:val="single" w:sz="4" w:space="0" w:color="auto"/>
              <w:right w:val="single" w:sz="4" w:space="0" w:color="000000"/>
            </w:tcBorders>
            <w:noWrap/>
            <w:vAlign w:val="bottom"/>
            <w:hideMark/>
          </w:tcPr>
          <w:p w14:paraId="68D0BE7A" w14:textId="77777777" w:rsidR="00DC038D" w:rsidRPr="002B008A" w:rsidRDefault="00DC038D" w:rsidP="00DC038D">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0,72</w:t>
            </w:r>
          </w:p>
        </w:tc>
        <w:tc>
          <w:tcPr>
            <w:tcW w:w="3828" w:type="dxa"/>
            <w:gridSpan w:val="4"/>
            <w:vMerge/>
            <w:tcBorders>
              <w:top w:val="single" w:sz="4" w:space="0" w:color="auto"/>
              <w:left w:val="single" w:sz="4" w:space="0" w:color="auto"/>
              <w:bottom w:val="single" w:sz="4" w:space="0" w:color="000000"/>
              <w:right w:val="single" w:sz="4" w:space="0" w:color="000000"/>
            </w:tcBorders>
            <w:vAlign w:val="center"/>
            <w:hideMark/>
          </w:tcPr>
          <w:p w14:paraId="2B283400" w14:textId="77777777" w:rsidR="00DC038D" w:rsidRPr="002B008A" w:rsidRDefault="00DC038D" w:rsidP="00DC038D">
            <w:pPr>
              <w:spacing w:after="0" w:line="240" w:lineRule="auto"/>
              <w:rPr>
                <w:rFonts w:ascii="Times New Roman" w:eastAsia="Times New Roman" w:hAnsi="Times New Roman" w:cs="Times New Roman"/>
                <w:b/>
                <w:bCs/>
                <w:color w:val="000000"/>
                <w:kern w:val="0"/>
                <w:sz w:val="26"/>
                <w:szCs w:val="26"/>
                <w:lang w:eastAsia="zh-CN"/>
                <w14:ligatures w14:val="none"/>
              </w:rPr>
            </w:pPr>
          </w:p>
        </w:tc>
      </w:tr>
      <w:tr w:rsidR="00DC038D" w:rsidRPr="002B008A" w14:paraId="5BAF600A" w14:textId="77777777" w:rsidTr="008A5D81">
        <w:trPr>
          <w:trHeight w:val="176"/>
        </w:trPr>
        <w:tc>
          <w:tcPr>
            <w:tcW w:w="3792" w:type="dxa"/>
            <w:tcBorders>
              <w:top w:val="nil"/>
              <w:left w:val="single" w:sz="4" w:space="0" w:color="auto"/>
              <w:bottom w:val="single" w:sz="4" w:space="0" w:color="auto"/>
              <w:right w:val="single" w:sz="4" w:space="0" w:color="auto"/>
            </w:tcBorders>
            <w:vAlign w:val="center"/>
            <w:hideMark/>
          </w:tcPr>
          <w:p w14:paraId="34812D17" w14:textId="32901E58" w:rsidR="00DC038D" w:rsidRPr="002B008A" w:rsidRDefault="00DC038D" w:rsidP="00DC038D">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 xml:space="preserve">Cho vay theo hạn mức </w:t>
            </w:r>
          </w:p>
        </w:tc>
        <w:tc>
          <w:tcPr>
            <w:tcW w:w="2116" w:type="dxa"/>
            <w:gridSpan w:val="2"/>
            <w:tcBorders>
              <w:top w:val="single" w:sz="4" w:space="0" w:color="auto"/>
              <w:left w:val="nil"/>
              <w:bottom w:val="single" w:sz="4" w:space="0" w:color="auto"/>
              <w:right w:val="single" w:sz="4" w:space="0" w:color="000000"/>
            </w:tcBorders>
            <w:noWrap/>
            <w:vAlign w:val="bottom"/>
            <w:hideMark/>
          </w:tcPr>
          <w:p w14:paraId="5AAB88DF" w14:textId="77777777" w:rsidR="00DC038D" w:rsidRPr="002B008A" w:rsidRDefault="00DC038D" w:rsidP="00DC038D">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0,63</w:t>
            </w:r>
          </w:p>
        </w:tc>
        <w:tc>
          <w:tcPr>
            <w:tcW w:w="2025" w:type="dxa"/>
            <w:gridSpan w:val="2"/>
            <w:tcBorders>
              <w:top w:val="single" w:sz="4" w:space="0" w:color="auto"/>
              <w:left w:val="nil"/>
              <w:bottom w:val="single" w:sz="4" w:space="0" w:color="auto"/>
              <w:right w:val="single" w:sz="4" w:space="0" w:color="000000"/>
            </w:tcBorders>
            <w:noWrap/>
            <w:vAlign w:val="bottom"/>
            <w:hideMark/>
          </w:tcPr>
          <w:p w14:paraId="01AEB1BA" w14:textId="77777777" w:rsidR="00DC038D" w:rsidRPr="002B008A" w:rsidRDefault="00DC038D" w:rsidP="00DC038D">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0,62</w:t>
            </w:r>
          </w:p>
        </w:tc>
        <w:tc>
          <w:tcPr>
            <w:tcW w:w="2127" w:type="dxa"/>
            <w:gridSpan w:val="2"/>
            <w:tcBorders>
              <w:top w:val="single" w:sz="4" w:space="0" w:color="auto"/>
              <w:left w:val="nil"/>
              <w:bottom w:val="single" w:sz="4" w:space="0" w:color="auto"/>
              <w:right w:val="single" w:sz="4" w:space="0" w:color="000000"/>
            </w:tcBorders>
            <w:noWrap/>
            <w:vAlign w:val="bottom"/>
            <w:hideMark/>
          </w:tcPr>
          <w:p w14:paraId="25E4D076" w14:textId="77777777" w:rsidR="00DC038D" w:rsidRPr="002B008A" w:rsidRDefault="00DC038D" w:rsidP="00DC038D">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6"/>
                <w:szCs w:val="26"/>
                <w:lang w:eastAsia="zh-CN"/>
                <w14:ligatures w14:val="none"/>
              </w:rPr>
              <w:t>0,70</w:t>
            </w:r>
          </w:p>
        </w:tc>
        <w:tc>
          <w:tcPr>
            <w:tcW w:w="3828" w:type="dxa"/>
            <w:gridSpan w:val="4"/>
            <w:vMerge/>
            <w:tcBorders>
              <w:top w:val="single" w:sz="4" w:space="0" w:color="auto"/>
              <w:left w:val="single" w:sz="4" w:space="0" w:color="auto"/>
              <w:bottom w:val="single" w:sz="4" w:space="0" w:color="000000"/>
              <w:right w:val="single" w:sz="4" w:space="0" w:color="000000"/>
            </w:tcBorders>
            <w:vAlign w:val="center"/>
            <w:hideMark/>
          </w:tcPr>
          <w:p w14:paraId="561E18EF" w14:textId="77777777" w:rsidR="00DC038D" w:rsidRPr="002B008A" w:rsidRDefault="00DC038D" w:rsidP="00DC038D">
            <w:pPr>
              <w:spacing w:after="0" w:line="240" w:lineRule="auto"/>
              <w:rPr>
                <w:rFonts w:ascii="Times New Roman" w:eastAsia="Times New Roman" w:hAnsi="Times New Roman" w:cs="Times New Roman"/>
                <w:b/>
                <w:bCs/>
                <w:color w:val="000000"/>
                <w:kern w:val="0"/>
                <w:sz w:val="26"/>
                <w:szCs w:val="26"/>
                <w:lang w:eastAsia="zh-CN"/>
                <w14:ligatures w14:val="none"/>
              </w:rPr>
            </w:pPr>
          </w:p>
        </w:tc>
      </w:tr>
    </w:tbl>
    <w:p w14:paraId="4EEC57E3" w14:textId="77777777" w:rsidR="00435073" w:rsidRPr="002B008A" w:rsidRDefault="00435073" w:rsidP="00DC038D">
      <w:pPr>
        <w:tabs>
          <w:tab w:val="left" w:pos="6210"/>
        </w:tabs>
        <w:spacing w:after="0" w:line="360" w:lineRule="auto"/>
        <w:ind w:right="260" w:firstLine="567"/>
        <w:jc w:val="right"/>
        <w:rPr>
          <w:rFonts w:ascii="Times New Roman" w:hAnsi="Times New Roman" w:cs="Times New Roman"/>
          <w:i/>
          <w:iCs/>
          <w:color w:val="000000" w:themeColor="text1"/>
          <w:sz w:val="26"/>
          <w:szCs w:val="26"/>
          <w:lang w:val="vi"/>
        </w:rPr>
        <w:sectPr w:rsidR="00435073" w:rsidRPr="002B008A" w:rsidSect="009E0361">
          <w:pgSz w:w="16838" w:h="11906" w:orient="landscape" w:code="9"/>
          <w:pgMar w:top="1134" w:right="1134" w:bottom="1134" w:left="1701" w:header="720" w:footer="720" w:gutter="0"/>
          <w:cols w:space="720"/>
          <w:docGrid w:linePitch="360"/>
        </w:sectPr>
      </w:pPr>
      <w:r w:rsidRPr="002B008A">
        <w:rPr>
          <w:rFonts w:ascii="Times New Roman" w:eastAsia="Times New Roman" w:hAnsi="Times New Roman" w:cs="Times New Roman"/>
          <w:i/>
          <w:iCs/>
          <w:color w:val="000000"/>
          <w:kern w:val="0"/>
          <w:sz w:val="26"/>
          <w:szCs w:val="26"/>
          <w:lang w:val="vi-VN"/>
          <w14:ligatures w14:val="none"/>
        </w:rPr>
        <w:t>(Nguồn: Báo cáo tài chính Ngân hàng TMCP Quân đội - Chi Nhánh Đà Nẵng giai đoạn 2023 - 2025)</w:t>
      </w:r>
    </w:p>
    <w:p w14:paraId="554644D6" w14:textId="77777777" w:rsidR="00D93FA1" w:rsidRPr="002B008A" w:rsidRDefault="00D93FA1" w:rsidP="00D93FA1">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lastRenderedPageBreak/>
        <w:t xml:space="preserve">Xét theo phương thức cho vay, cho vay theo hạn mức chiếm tỷ trọng chủ đạo, duy trì khoảng 62% tổng doanh số cho vay SXKD đối với KHCN trong giai đoạn 2023–2025. Quy mô cho vay tăng từ 192,59 tỷ đồng năm 2023 lên 320,24 tỷ đồng năm 2025, cho thấy ngân hàng định hướng tập trung vào hình thức cấp tín dụng linh hoạt nhằm đáp ứng nhu cầu vốn lưu động thường xuyên của khách hàng. Phương thức này chủ yếu phục vụ nhu cầu nhập hàng, dự trữ hàng hóa và duy trì hoạt động kinh doanh liên tục. Tuy nhiên, hiệu quả sử dụng vốn phụ thuộc lớn vào khả năng luân chuyển hàng hóa và thu hồi công nợ của khách hàng nên tiềm ẩn rủi ro khi dòng tiền kinh doanh bị gián đoạn. </w:t>
      </w:r>
    </w:p>
    <w:p w14:paraId="03CBA56E" w14:textId="77777777" w:rsidR="00D93FA1" w:rsidRPr="002B008A" w:rsidRDefault="00D93FA1" w:rsidP="00D93FA1">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 xml:space="preserve">Trong khi đó, cho vay theo món chiếm khoảng 38% tổng doanh số cho vay và tăng từ 116,05 tỷ đồng năm 2023 lên 192,49 tỷ đồng năm 2025. Phương thức này chủ yếu áp dụng đối với các nhu cầu đầu tư tài sản cố định, mua sắm máy móc hoặc mở rộng cơ sở kinh doanh. Do từng khoản vay gắn với mục đích sử dụng vốn và thời hạn trả nợ cụ thể nên ngân hàng có điều kiện kiểm soát dòng tiền và quản lý khoản vay chặt chẽ hơn. </w:t>
      </w:r>
    </w:p>
    <w:p w14:paraId="5953E1B0" w14:textId="77777777" w:rsidR="00A6118D" w:rsidRPr="002B008A" w:rsidRDefault="00A6118D" w:rsidP="00A6118D">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Về khả năng thu hồi vốn, doanh số thu nợ tăng từ 214,34 tỷ đồng năm 2023 lên 283,91 tỷ đồng năm 2024 và đạt 346,48 tỷ đồng năm 2025, cho thấy công tác thu hồi nợ của chi nhánh vẫn duy trì tương đối ổn định qua các năm. Tuy nhiên, mức tăng của doanh số thu nợ chưa thực sự lớn do trong giai đoạn 2023–2025, chi nhánh vẫn tập trung đẩy mạnh hoạt động cho vay nhằm đáp ứng nhu cầu vay vốn SXKD ngày càng gia tăng của KHCN trên địa bàn. Xét theo phương thức, thu nợ theo hạn mức chiếm tỷ trọng chủ đạo khoảng 63%, tuy nhiên phần lớn mang tính chất quay vòng trong hạn mức tín dụng. Trong khi đó, thu nợ từ cho vay theo món chiếm khoảng 37%, ổn định hơn do gắn với kỳ hạn trả nợ cụ thể, qua đó góp phần nâng cao khả năng kiểm soát dòng tiền.</w:t>
      </w:r>
    </w:p>
    <w:p w14:paraId="334FDDEA" w14:textId="77777777" w:rsidR="00D93FA1" w:rsidRPr="002B008A" w:rsidRDefault="00D93FA1" w:rsidP="00D93FA1">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 xml:space="preserve">Cùng với đó, dư nợ cho vay SXKD đối với KHCN tăng mạnh từ 403,17 tỷ đồng năm 2023 lên 536,54 tỷ đồng năm 2024 và đạt 702,79 tỷ đồng năm 2025, với tốc độ tăng cao hơn tốc độ thu nợ. Điều này phản ánh hoạt động tín dụng của chi nhánh đang trong xu hướng mở rộng, đáp ứng nhu cầu vốn ngày càng tăng của khách hàng. Trong cơ cấu dư nợ, cho vay theo hạn mức tiếp tục chiếm tỷ trọng lớn, chiếm khoảng 62%, tương ứng 434,41 tỷ đồng năm 2025, cho thấy khách hàng duy trì sử dụng vốn thường xuyên để phục vụ hoạt động kinh doanh. Tuy nhiên, việc dư nợ tăng nhanh hơn thu nợ cũng cho thấy một phần vốn tín dụng chưa được thu hồi kịp thời trong kỳ; trong điều </w:t>
      </w:r>
      <w:r w:rsidRPr="002B008A">
        <w:rPr>
          <w:rFonts w:ascii="Times New Roman" w:hAnsi="Times New Roman" w:cs="Times New Roman"/>
          <w:color w:val="000000" w:themeColor="text1"/>
          <w:sz w:val="26"/>
          <w:szCs w:val="26"/>
          <w:lang w:val="vi"/>
        </w:rPr>
        <w:lastRenderedPageBreak/>
        <w:t>kiện thị trường thuận lợi, điều này không gây áp lực lớn, nhưng nếu dòng tiền bị gián đoạn có thể ảnh hưởng đến khả năng thu hồi vốn.</w:t>
      </w:r>
    </w:p>
    <w:p w14:paraId="084AED42" w14:textId="4FB7A43B" w:rsidR="00D93FA1" w:rsidRPr="002B008A" w:rsidRDefault="00D93FA1" w:rsidP="00D93FA1">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 xml:space="preserve">Về chất lượng tín dụng, nợ xấu tăng từ 2,61 tỷ đồng năm 2023 lên 3,33 tỷ đồng năm 2024 và đạt 4,98 tỷ đồng năm 2025, tuy nhiên tỷ lệ nợ xấu vẫn duy trì dưới 1%, lần lượt ở mức 0,65%, 0,62% và 0,71%, cho thấy chi nhánh vẫn kiểm soát rủi ro tín dụng ở mức tương đối tốt. Xét theo cơ cấu, nợ xấu cho vay theo hạn mức chiếm khoảng 62%, tương ứng với tỷ trọng dư nợ của phương thức này, trong khi cho vay theo món chiếm khoảng 38%. </w:t>
      </w:r>
      <w:r w:rsidR="00AD0071" w:rsidRPr="002B008A">
        <w:rPr>
          <w:rFonts w:ascii="Times New Roman" w:hAnsi="Times New Roman" w:cs="Times New Roman"/>
          <w:color w:val="000000" w:themeColor="text1"/>
          <w:sz w:val="26"/>
          <w:szCs w:val="26"/>
          <w:lang w:val="vi"/>
        </w:rPr>
        <w:t xml:space="preserve">Tuy nhiên, tỷ lệ nợ xấu giữa hai phương thức không có sự chênh lệch đáng kể khi cho vay theo hạn mức dao động từ 0,62%–0,70%, còn cho vay theo món từ 0,62%–0,72%, cho thấy chất lượng tín dụng phụ thuộc chủ yếu vào hiệu quả hoạt động kinh doanh và khả năng trả nợ của khách hàng hơn là phương thức cho vay. </w:t>
      </w:r>
      <w:r w:rsidRPr="002B008A">
        <w:rPr>
          <w:rFonts w:ascii="Times New Roman" w:hAnsi="Times New Roman" w:cs="Times New Roman"/>
          <w:color w:val="000000" w:themeColor="text1"/>
          <w:sz w:val="26"/>
          <w:szCs w:val="26"/>
          <w:lang w:val="vi"/>
        </w:rPr>
        <w:t xml:space="preserve">Bên cạnh đó, nợ xấu vẫn có xu hướng gia tăng qua các </w:t>
      </w:r>
      <w:r w:rsidR="002B6DD2" w:rsidRPr="002B008A">
        <w:rPr>
          <w:rFonts w:ascii="Times New Roman" w:hAnsi="Times New Roman" w:cs="Times New Roman"/>
          <w:color w:val="000000" w:themeColor="text1"/>
          <w:sz w:val="26"/>
          <w:szCs w:val="26"/>
          <w:lang w:val="vi"/>
        </w:rPr>
        <w:t>năm, do</w:t>
      </w:r>
      <w:r w:rsidRPr="002B008A">
        <w:rPr>
          <w:rFonts w:ascii="Times New Roman" w:hAnsi="Times New Roman" w:cs="Times New Roman"/>
          <w:color w:val="000000" w:themeColor="text1"/>
          <w:sz w:val="26"/>
          <w:szCs w:val="26"/>
          <w:lang w:val="vi"/>
        </w:rPr>
        <w:t xml:space="preserve"> một số khách hàng gặp khó khăn trong</w:t>
      </w:r>
      <w:r w:rsidR="002B6DD2" w:rsidRPr="002B008A">
        <w:rPr>
          <w:rFonts w:ascii="Times New Roman" w:hAnsi="Times New Roman" w:cs="Times New Roman"/>
          <w:color w:val="000000" w:themeColor="text1"/>
          <w:sz w:val="26"/>
          <w:szCs w:val="26"/>
          <w:lang w:val="vi"/>
        </w:rPr>
        <w:t xml:space="preserve"> việc</w:t>
      </w:r>
      <w:r w:rsidRPr="002B008A">
        <w:rPr>
          <w:rFonts w:ascii="Times New Roman" w:hAnsi="Times New Roman" w:cs="Times New Roman"/>
          <w:color w:val="000000" w:themeColor="text1"/>
          <w:sz w:val="26"/>
          <w:szCs w:val="26"/>
          <w:lang w:val="vi"/>
        </w:rPr>
        <w:t xml:space="preserve"> tiêu thụ hàng hóa và thu hồi công nợ, đồng thời công tác giám sát sau cho vay trong một số trường hợp chưa theo sát biến động thực tế của khách hàng. </w:t>
      </w:r>
    </w:p>
    <w:p w14:paraId="60E8291F" w14:textId="596350CE" w:rsidR="00D93FA1" w:rsidRPr="002B008A" w:rsidRDefault="00D93FA1" w:rsidP="00D93FA1">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 xml:space="preserve">Nhìn chung, hoạt động cho vay SXKD đối với KHCN tại chi nhánh vẫn tập trung chủ yếu vào cho vay theo hạn mức nhằm đáp ứng nhu cầu </w:t>
      </w:r>
      <w:r w:rsidR="002B6DD2" w:rsidRPr="002B008A">
        <w:rPr>
          <w:rFonts w:ascii="Times New Roman" w:hAnsi="Times New Roman" w:cs="Times New Roman"/>
          <w:color w:val="000000" w:themeColor="text1"/>
          <w:sz w:val="26"/>
          <w:szCs w:val="26"/>
          <w:lang w:val="vi"/>
        </w:rPr>
        <w:t xml:space="preserve">bổ sung </w:t>
      </w:r>
      <w:r w:rsidRPr="002B008A">
        <w:rPr>
          <w:rFonts w:ascii="Times New Roman" w:hAnsi="Times New Roman" w:cs="Times New Roman"/>
          <w:color w:val="000000" w:themeColor="text1"/>
          <w:sz w:val="26"/>
          <w:szCs w:val="26"/>
          <w:lang w:val="vi"/>
        </w:rPr>
        <w:t>vốn lưu động. Mặc dù tỷ lệ nợ xấu vẫn được duy trì dưới 1%,</w:t>
      </w:r>
      <w:r w:rsidR="002B6DD2" w:rsidRPr="002B008A">
        <w:rPr>
          <w:rFonts w:ascii="Times New Roman" w:hAnsi="Times New Roman" w:cs="Times New Roman"/>
          <w:color w:val="000000" w:themeColor="text1"/>
          <w:sz w:val="26"/>
          <w:szCs w:val="26"/>
          <w:lang w:val="vi"/>
        </w:rPr>
        <w:t xml:space="preserve"> nhưng</w:t>
      </w:r>
      <w:r w:rsidRPr="002B008A">
        <w:rPr>
          <w:rFonts w:ascii="Times New Roman" w:hAnsi="Times New Roman" w:cs="Times New Roman"/>
          <w:color w:val="000000" w:themeColor="text1"/>
          <w:sz w:val="26"/>
          <w:szCs w:val="26"/>
          <w:lang w:val="vi"/>
        </w:rPr>
        <w:t xml:space="preserve"> xu hướng gia tăng nợ xấu trong năm 2025 cho thấy rủi ro tín dụng đang có dấu hiệu tăng lên, đòi hỏi chi nhánh cần tiếp tục nâng cao chất lượng giám sát dòng tiền và kiểm soát sau cho vay nhằm đảm bảo chất lượng tín dụng bền vững hơn trong thời gian tới. </w:t>
      </w:r>
    </w:p>
    <w:p w14:paraId="5735BE43" w14:textId="2D574FEB" w:rsidR="00AF30D7" w:rsidRPr="002B008A" w:rsidRDefault="00AF30D7" w:rsidP="004E66A4">
      <w:pPr>
        <w:pStyle w:val="ListParagraph"/>
        <w:numPr>
          <w:ilvl w:val="0"/>
          <w:numId w:val="4"/>
        </w:numPr>
        <w:tabs>
          <w:tab w:val="left" w:pos="851"/>
        </w:tabs>
        <w:spacing w:after="0" w:line="360" w:lineRule="auto"/>
        <w:ind w:left="0" w:firstLine="567"/>
        <w:jc w:val="both"/>
        <w:rPr>
          <w:rFonts w:ascii="Times New Roman" w:hAnsi="Times New Roman" w:cs="Times New Roman"/>
          <w:b/>
          <w:bCs/>
          <w:color w:val="000000" w:themeColor="text1"/>
          <w:sz w:val="26"/>
          <w:szCs w:val="26"/>
          <w:lang w:val="vi-VN"/>
        </w:rPr>
      </w:pPr>
      <w:r w:rsidRPr="002B008A">
        <w:rPr>
          <w:rFonts w:ascii="Times New Roman" w:hAnsi="Times New Roman" w:cs="Times New Roman"/>
          <w:b/>
          <w:bCs/>
          <w:color w:val="000000" w:themeColor="text1"/>
          <w:sz w:val="26"/>
          <w:szCs w:val="26"/>
          <w:lang w:val="vi-VN"/>
        </w:rPr>
        <w:t xml:space="preserve">Tình hình hoạt động cho vay sản xuất kinh doanh đối với khách hàng cá nhân phân theo hình thức đảm bảo tại Ngân hàng TMCP Quân đội – Chi nhánh Đà </w:t>
      </w:r>
      <w:r w:rsidR="00A03CAB" w:rsidRPr="002B008A">
        <w:rPr>
          <w:rFonts w:ascii="Times New Roman" w:hAnsi="Times New Roman" w:cs="Times New Roman"/>
          <w:b/>
          <w:bCs/>
          <w:color w:val="000000" w:themeColor="text1"/>
          <w:sz w:val="26"/>
          <w:szCs w:val="26"/>
          <w:lang w:val="vi-VN"/>
        </w:rPr>
        <w:t>Nẵng.</w:t>
      </w:r>
    </w:p>
    <w:p w14:paraId="65C569A4" w14:textId="5F88E048" w:rsidR="00B31643" w:rsidRPr="002B008A" w:rsidRDefault="00A55E6F" w:rsidP="00F642E1">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Hình thức đảm bảo là một trong những yếu tố quan trọng trong hoạt động cho vay sản xuất kinh doanh, ảnh hưởng trực tiếp đến mức độ an toàn của khoản</w:t>
      </w:r>
      <w:r w:rsidR="00B9784C" w:rsidRPr="002B008A">
        <w:rPr>
          <w:rFonts w:ascii="Times New Roman" w:hAnsi="Times New Roman" w:cs="Times New Roman"/>
          <w:color w:val="000000" w:themeColor="text1"/>
          <w:sz w:val="26"/>
          <w:szCs w:val="26"/>
          <w:lang w:val="vi-VN"/>
        </w:rPr>
        <w:t xml:space="preserve"> cho</w:t>
      </w:r>
      <w:r w:rsidRPr="002B008A">
        <w:rPr>
          <w:rFonts w:ascii="Times New Roman" w:hAnsi="Times New Roman" w:cs="Times New Roman"/>
          <w:color w:val="000000" w:themeColor="text1"/>
          <w:sz w:val="26"/>
          <w:szCs w:val="26"/>
          <w:lang w:val="vi-VN"/>
        </w:rPr>
        <w:t xml:space="preserve"> vay. Qua bảng số liệu trên có thể thấy, trong giai đoạn 2023–2025, các khoản</w:t>
      </w:r>
      <w:r w:rsidR="00B9784C" w:rsidRPr="002B008A">
        <w:rPr>
          <w:rFonts w:ascii="Times New Roman" w:hAnsi="Times New Roman" w:cs="Times New Roman"/>
          <w:color w:val="000000" w:themeColor="text1"/>
          <w:sz w:val="26"/>
          <w:szCs w:val="26"/>
          <w:lang w:val="vi-VN"/>
        </w:rPr>
        <w:t xml:space="preserve"> cho</w:t>
      </w:r>
      <w:r w:rsidRPr="002B008A">
        <w:rPr>
          <w:rFonts w:ascii="Times New Roman" w:hAnsi="Times New Roman" w:cs="Times New Roman"/>
          <w:color w:val="000000" w:themeColor="text1"/>
          <w:sz w:val="26"/>
          <w:szCs w:val="26"/>
          <w:lang w:val="vi-VN"/>
        </w:rPr>
        <w:t xml:space="preserve"> vay có tài sản đảm bảo và không có tài sản đảm bảo có sự khác nhau về quy mô cũng như các chỉ tiêu như doanh số cho vay, thu nợ, dư nợ và nợ xấu. Những thay đổi này phần nào phản ánh cách ngân hàng lựa chọn hình thức cấp tín dụng và kiểm soát rủi ro qua từng năm.</w:t>
      </w:r>
      <w:r w:rsidR="007F4B00" w:rsidRPr="002B008A">
        <w:rPr>
          <w:rFonts w:ascii="Times New Roman" w:hAnsi="Times New Roman" w:cs="Times New Roman"/>
          <w:color w:val="000000" w:themeColor="text1"/>
          <w:sz w:val="26"/>
          <w:szCs w:val="26"/>
          <w:lang w:val="vi-VN"/>
        </w:rPr>
        <w:t xml:space="preserve"> </w:t>
      </w:r>
    </w:p>
    <w:p w14:paraId="738DE4AD" w14:textId="77777777" w:rsidR="00A55E6F" w:rsidRPr="002B008A" w:rsidRDefault="00A55E6F" w:rsidP="00A55E6F">
      <w:pPr>
        <w:spacing w:line="26" w:lineRule="atLeast"/>
        <w:jc w:val="right"/>
        <w:rPr>
          <w:rFonts w:ascii="Times New Roman" w:hAnsi="Times New Roman" w:cs="Times New Roman"/>
          <w:i/>
          <w:iCs/>
          <w:sz w:val="26"/>
          <w:szCs w:val="26"/>
          <w:lang w:val="vi-VN"/>
        </w:rPr>
        <w:sectPr w:rsidR="00A55E6F" w:rsidRPr="002B008A" w:rsidSect="009E0361">
          <w:pgSz w:w="11906" w:h="16838" w:code="9"/>
          <w:pgMar w:top="1134" w:right="1134" w:bottom="1134" w:left="1701" w:header="720" w:footer="720" w:gutter="0"/>
          <w:cols w:space="720"/>
          <w:docGrid w:linePitch="360"/>
        </w:sectPr>
      </w:pPr>
    </w:p>
    <w:p w14:paraId="58FBACC7" w14:textId="749EA129" w:rsidR="00882F4F" w:rsidRPr="00545BE9" w:rsidRDefault="00EB0E27" w:rsidP="00EB0E27">
      <w:pPr>
        <w:pStyle w:val="Caption"/>
        <w:jc w:val="center"/>
        <w:rPr>
          <w:rFonts w:ascii="Times New Roman" w:hAnsi="Times New Roman" w:cs="Times New Roman"/>
          <w:b/>
          <w:bCs/>
          <w:i w:val="0"/>
          <w:iCs w:val="0"/>
          <w:lang w:val="vi-VN"/>
        </w:rPr>
      </w:pPr>
      <w:bookmarkStart w:id="57" w:name="_Toc230367585"/>
      <w:r w:rsidRPr="00545BE9">
        <w:rPr>
          <w:rFonts w:ascii="Times New Roman" w:hAnsi="Times New Roman" w:cs="Times New Roman"/>
          <w:b/>
          <w:bCs/>
          <w:i w:val="0"/>
          <w:iCs w:val="0"/>
          <w:color w:val="000000" w:themeColor="text1"/>
          <w:sz w:val="26"/>
          <w:szCs w:val="26"/>
          <w:lang w:val="vi-VN"/>
        </w:rPr>
        <w:lastRenderedPageBreak/>
        <w:t>Bảng 2.</w:t>
      </w:r>
      <w:r w:rsidRPr="00545BE9">
        <w:rPr>
          <w:rFonts w:ascii="Times New Roman" w:hAnsi="Times New Roman" w:cs="Times New Roman"/>
          <w:b/>
          <w:bCs/>
          <w:i w:val="0"/>
          <w:iCs w:val="0"/>
          <w:color w:val="000000" w:themeColor="text1"/>
          <w:sz w:val="26"/>
          <w:szCs w:val="26"/>
        </w:rPr>
        <w:fldChar w:fldCharType="begin"/>
      </w:r>
      <w:r w:rsidRPr="00545BE9">
        <w:rPr>
          <w:rFonts w:ascii="Times New Roman" w:hAnsi="Times New Roman" w:cs="Times New Roman"/>
          <w:b/>
          <w:bCs/>
          <w:i w:val="0"/>
          <w:iCs w:val="0"/>
          <w:color w:val="000000" w:themeColor="text1"/>
          <w:sz w:val="26"/>
          <w:szCs w:val="26"/>
          <w:lang w:val="vi-VN"/>
        </w:rPr>
        <w:instrText xml:space="preserve"> SEQ Bảng_2. \* ARABIC </w:instrText>
      </w:r>
      <w:r w:rsidRPr="00545BE9">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9</w:t>
      </w:r>
      <w:r w:rsidRPr="00545BE9">
        <w:rPr>
          <w:rFonts w:ascii="Times New Roman" w:hAnsi="Times New Roman" w:cs="Times New Roman"/>
          <w:b/>
          <w:bCs/>
          <w:i w:val="0"/>
          <w:iCs w:val="0"/>
          <w:color w:val="000000" w:themeColor="text1"/>
          <w:sz w:val="26"/>
          <w:szCs w:val="26"/>
        </w:rPr>
        <w:fldChar w:fldCharType="end"/>
      </w:r>
      <w:r w:rsidRPr="00545BE9">
        <w:rPr>
          <w:rFonts w:ascii="Times New Roman" w:hAnsi="Times New Roman" w:cs="Times New Roman"/>
          <w:b/>
          <w:bCs/>
          <w:i w:val="0"/>
          <w:iCs w:val="0"/>
          <w:sz w:val="26"/>
          <w:szCs w:val="26"/>
          <w:lang w:val="vi-VN"/>
        </w:rPr>
        <w:t xml:space="preserve"> </w:t>
      </w:r>
      <w:r w:rsidR="00AF30D7" w:rsidRPr="00545BE9">
        <w:rPr>
          <w:rFonts w:ascii="Times New Roman" w:hAnsi="Times New Roman" w:cs="Times New Roman"/>
          <w:b/>
          <w:bCs/>
          <w:i w:val="0"/>
          <w:iCs w:val="0"/>
          <w:color w:val="000000" w:themeColor="text1"/>
          <w:sz w:val="26"/>
          <w:szCs w:val="26"/>
          <w:lang w:val="vi-VN"/>
        </w:rPr>
        <w:t>Tình hình hoạt động cho vay sản xuất kinh doanh đối với khách hàng cá nhân phân theo</w:t>
      </w:r>
      <w:r w:rsidR="00614B82" w:rsidRPr="00545BE9">
        <w:rPr>
          <w:rFonts w:ascii="Times New Roman" w:hAnsi="Times New Roman" w:cs="Times New Roman"/>
          <w:b/>
          <w:bCs/>
          <w:i w:val="0"/>
          <w:iCs w:val="0"/>
          <w:color w:val="000000" w:themeColor="text1"/>
          <w:sz w:val="26"/>
          <w:szCs w:val="26"/>
          <w:lang w:val="vi-VN"/>
        </w:rPr>
        <w:t xml:space="preserve"> phương thức đảm bảo</w:t>
      </w:r>
      <w:r w:rsidR="00AF30D7" w:rsidRPr="00545BE9">
        <w:rPr>
          <w:rFonts w:ascii="Times New Roman" w:hAnsi="Times New Roman" w:cs="Times New Roman"/>
          <w:b/>
          <w:bCs/>
          <w:i w:val="0"/>
          <w:iCs w:val="0"/>
          <w:color w:val="000000" w:themeColor="text1"/>
          <w:sz w:val="26"/>
          <w:szCs w:val="26"/>
          <w:lang w:val="vi-VN"/>
        </w:rPr>
        <w:t xml:space="preserve"> tại Ngân hàng TMCP Quân đội – Chi nhánh Đà </w:t>
      </w:r>
      <w:r w:rsidR="00BE2DA5" w:rsidRPr="00545BE9">
        <w:rPr>
          <w:rFonts w:ascii="Times New Roman" w:hAnsi="Times New Roman" w:cs="Times New Roman"/>
          <w:b/>
          <w:bCs/>
          <w:i w:val="0"/>
          <w:iCs w:val="0"/>
          <w:color w:val="000000" w:themeColor="text1"/>
          <w:sz w:val="26"/>
          <w:szCs w:val="26"/>
          <w:lang w:val="vi-VN"/>
        </w:rPr>
        <w:t>Nẵng.</w:t>
      </w:r>
      <w:bookmarkEnd w:id="57"/>
    </w:p>
    <w:p w14:paraId="75D82534" w14:textId="7DC535A0" w:rsidR="00AF30D7" w:rsidRPr="002B008A" w:rsidRDefault="00EF0259" w:rsidP="00EF0259">
      <w:pPr>
        <w:pStyle w:val="Caption"/>
        <w:jc w:val="right"/>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Đơn vị tính: Tỷ đồng</w:t>
      </w:r>
    </w:p>
    <w:tbl>
      <w:tblPr>
        <w:tblW w:w="14236" w:type="dxa"/>
        <w:tblLayout w:type="fixed"/>
        <w:tblLook w:val="04A0" w:firstRow="1" w:lastRow="0" w:firstColumn="1" w:lastColumn="0" w:noHBand="0" w:noVBand="1"/>
      </w:tblPr>
      <w:tblGrid>
        <w:gridCol w:w="3887"/>
        <w:gridCol w:w="960"/>
        <w:gridCol w:w="1209"/>
        <w:gridCol w:w="1004"/>
        <w:gridCol w:w="1209"/>
        <w:gridCol w:w="1082"/>
        <w:gridCol w:w="1043"/>
        <w:gridCol w:w="941"/>
        <w:gridCol w:w="980"/>
        <w:gridCol w:w="1005"/>
        <w:gridCol w:w="916"/>
      </w:tblGrid>
      <w:tr w:rsidR="00545BE9" w:rsidRPr="002B008A" w14:paraId="70AEAF22" w14:textId="77777777" w:rsidTr="00545BE9">
        <w:trPr>
          <w:trHeight w:val="170"/>
        </w:trPr>
        <w:tc>
          <w:tcPr>
            <w:tcW w:w="3887"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5A3D0F10"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Chỉ tiêu</w:t>
            </w:r>
          </w:p>
        </w:tc>
        <w:tc>
          <w:tcPr>
            <w:tcW w:w="2169"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7377B4BF"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2023</w:t>
            </w:r>
          </w:p>
        </w:tc>
        <w:tc>
          <w:tcPr>
            <w:tcW w:w="2213"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525DFEB8"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2024</w:t>
            </w:r>
          </w:p>
        </w:tc>
        <w:tc>
          <w:tcPr>
            <w:tcW w:w="2125"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7B01B214"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Năm 2025</w:t>
            </w:r>
          </w:p>
        </w:tc>
        <w:tc>
          <w:tcPr>
            <w:tcW w:w="1921"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0B19B649"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2024/2023</w:t>
            </w:r>
          </w:p>
        </w:tc>
        <w:tc>
          <w:tcPr>
            <w:tcW w:w="1921"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7472BC4C"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Chênh lệch 2025/2024</w:t>
            </w:r>
          </w:p>
        </w:tc>
      </w:tr>
      <w:tr w:rsidR="00545BE9" w:rsidRPr="002B008A" w14:paraId="7DE0FEE6" w14:textId="77777777" w:rsidTr="00545BE9">
        <w:trPr>
          <w:trHeight w:val="170"/>
        </w:trPr>
        <w:tc>
          <w:tcPr>
            <w:tcW w:w="3887" w:type="dxa"/>
            <w:vMerge/>
            <w:tcBorders>
              <w:top w:val="single" w:sz="4" w:space="0" w:color="auto"/>
              <w:left w:val="single" w:sz="4" w:space="0" w:color="auto"/>
              <w:bottom w:val="single" w:sz="4" w:space="0" w:color="000000"/>
              <w:right w:val="single" w:sz="4" w:space="0" w:color="auto"/>
            </w:tcBorders>
            <w:vAlign w:val="center"/>
            <w:hideMark/>
          </w:tcPr>
          <w:p w14:paraId="7881B18C" w14:textId="77777777" w:rsidR="00545BE9" w:rsidRPr="002B008A" w:rsidRDefault="00545BE9" w:rsidP="00E2719E">
            <w:pPr>
              <w:spacing w:after="0" w:line="240" w:lineRule="auto"/>
              <w:rPr>
                <w:rFonts w:ascii="Times New Roman" w:eastAsia="Times New Roman" w:hAnsi="Times New Roman" w:cs="Times New Roman"/>
                <w:b/>
                <w:bCs/>
                <w:color w:val="000000"/>
                <w:kern w:val="0"/>
                <w:sz w:val="26"/>
                <w:szCs w:val="26"/>
                <w:lang w:eastAsia="zh-CN"/>
                <w14:ligatures w14:val="none"/>
              </w:rPr>
            </w:pPr>
          </w:p>
        </w:tc>
        <w:tc>
          <w:tcPr>
            <w:tcW w:w="960" w:type="dxa"/>
            <w:tcBorders>
              <w:top w:val="nil"/>
              <w:left w:val="nil"/>
              <w:bottom w:val="single" w:sz="4" w:space="0" w:color="auto"/>
              <w:right w:val="single" w:sz="4" w:space="0" w:color="auto"/>
            </w:tcBorders>
            <w:shd w:val="clear" w:color="000000" w:fill="DDEBF7"/>
            <w:noWrap/>
            <w:vAlign w:val="center"/>
            <w:hideMark/>
          </w:tcPr>
          <w:p w14:paraId="22852DFD"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209" w:type="dxa"/>
            <w:tcBorders>
              <w:top w:val="nil"/>
              <w:left w:val="nil"/>
              <w:bottom w:val="single" w:sz="4" w:space="0" w:color="auto"/>
              <w:right w:val="single" w:sz="4" w:space="0" w:color="auto"/>
            </w:tcBorders>
            <w:shd w:val="clear" w:color="000000" w:fill="DDEBF7"/>
            <w:noWrap/>
            <w:vAlign w:val="center"/>
            <w:hideMark/>
          </w:tcPr>
          <w:p w14:paraId="6A420C90"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1004" w:type="dxa"/>
            <w:tcBorders>
              <w:top w:val="nil"/>
              <w:left w:val="nil"/>
              <w:bottom w:val="single" w:sz="4" w:space="0" w:color="auto"/>
              <w:right w:val="single" w:sz="4" w:space="0" w:color="auto"/>
            </w:tcBorders>
            <w:shd w:val="clear" w:color="000000" w:fill="DDEBF7"/>
            <w:noWrap/>
            <w:vAlign w:val="center"/>
            <w:hideMark/>
          </w:tcPr>
          <w:p w14:paraId="02E8DF5C"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 xml:space="preserve">Số tiền </w:t>
            </w:r>
          </w:p>
        </w:tc>
        <w:tc>
          <w:tcPr>
            <w:tcW w:w="1209" w:type="dxa"/>
            <w:tcBorders>
              <w:top w:val="nil"/>
              <w:left w:val="nil"/>
              <w:bottom w:val="single" w:sz="4" w:space="0" w:color="auto"/>
              <w:right w:val="single" w:sz="4" w:space="0" w:color="auto"/>
            </w:tcBorders>
            <w:shd w:val="clear" w:color="000000" w:fill="DDEBF7"/>
            <w:noWrap/>
            <w:vAlign w:val="center"/>
            <w:hideMark/>
          </w:tcPr>
          <w:p w14:paraId="3ACD873E"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1082" w:type="dxa"/>
            <w:tcBorders>
              <w:top w:val="nil"/>
              <w:left w:val="nil"/>
              <w:bottom w:val="single" w:sz="4" w:space="0" w:color="auto"/>
              <w:right w:val="single" w:sz="4" w:space="0" w:color="auto"/>
            </w:tcBorders>
            <w:shd w:val="clear" w:color="000000" w:fill="DDEBF7"/>
            <w:noWrap/>
            <w:vAlign w:val="center"/>
            <w:hideMark/>
          </w:tcPr>
          <w:p w14:paraId="79CA1F8D"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1043" w:type="dxa"/>
            <w:tcBorders>
              <w:top w:val="nil"/>
              <w:left w:val="nil"/>
              <w:bottom w:val="single" w:sz="4" w:space="0" w:color="auto"/>
              <w:right w:val="single" w:sz="4" w:space="0" w:color="auto"/>
            </w:tcBorders>
            <w:shd w:val="clear" w:color="000000" w:fill="DDEBF7"/>
            <w:noWrap/>
            <w:vAlign w:val="center"/>
            <w:hideMark/>
          </w:tcPr>
          <w:p w14:paraId="5A2966BF"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trọng (%)</w:t>
            </w:r>
          </w:p>
        </w:tc>
        <w:tc>
          <w:tcPr>
            <w:tcW w:w="941" w:type="dxa"/>
            <w:tcBorders>
              <w:top w:val="nil"/>
              <w:left w:val="nil"/>
              <w:bottom w:val="single" w:sz="4" w:space="0" w:color="auto"/>
              <w:right w:val="single" w:sz="4" w:space="0" w:color="auto"/>
            </w:tcBorders>
            <w:shd w:val="clear" w:color="000000" w:fill="DDEBF7"/>
            <w:noWrap/>
            <w:vAlign w:val="center"/>
            <w:hideMark/>
          </w:tcPr>
          <w:p w14:paraId="0157976A"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980" w:type="dxa"/>
            <w:tcBorders>
              <w:top w:val="nil"/>
              <w:left w:val="nil"/>
              <w:bottom w:val="single" w:sz="4" w:space="0" w:color="auto"/>
              <w:right w:val="single" w:sz="4" w:space="0" w:color="auto"/>
            </w:tcBorders>
            <w:shd w:val="clear" w:color="000000" w:fill="DDEBF7"/>
            <w:noWrap/>
            <w:vAlign w:val="center"/>
            <w:hideMark/>
          </w:tcPr>
          <w:p w14:paraId="185871CF"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c>
          <w:tcPr>
            <w:tcW w:w="1005" w:type="dxa"/>
            <w:tcBorders>
              <w:top w:val="nil"/>
              <w:left w:val="nil"/>
              <w:bottom w:val="single" w:sz="4" w:space="0" w:color="auto"/>
              <w:right w:val="single" w:sz="4" w:space="0" w:color="auto"/>
            </w:tcBorders>
            <w:shd w:val="clear" w:color="000000" w:fill="DDEBF7"/>
            <w:noWrap/>
            <w:vAlign w:val="center"/>
            <w:hideMark/>
          </w:tcPr>
          <w:p w14:paraId="1412E3CD"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Số tiền</w:t>
            </w:r>
          </w:p>
        </w:tc>
        <w:tc>
          <w:tcPr>
            <w:tcW w:w="916" w:type="dxa"/>
            <w:tcBorders>
              <w:top w:val="nil"/>
              <w:left w:val="nil"/>
              <w:bottom w:val="single" w:sz="4" w:space="0" w:color="auto"/>
              <w:right w:val="single" w:sz="4" w:space="0" w:color="auto"/>
            </w:tcBorders>
            <w:shd w:val="clear" w:color="000000" w:fill="DDEBF7"/>
            <w:noWrap/>
            <w:vAlign w:val="center"/>
            <w:hideMark/>
          </w:tcPr>
          <w:p w14:paraId="33B9E708"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Tỷ lệ (%)</w:t>
            </w:r>
          </w:p>
        </w:tc>
      </w:tr>
      <w:tr w:rsidR="00545BE9" w:rsidRPr="002B008A" w14:paraId="0E747B48" w14:textId="77777777" w:rsidTr="00545BE9">
        <w:trPr>
          <w:trHeight w:val="170"/>
        </w:trPr>
        <w:tc>
          <w:tcPr>
            <w:tcW w:w="3887" w:type="dxa"/>
            <w:tcBorders>
              <w:top w:val="nil"/>
              <w:left w:val="single" w:sz="4" w:space="0" w:color="auto"/>
              <w:bottom w:val="single" w:sz="4" w:space="0" w:color="auto"/>
              <w:right w:val="single" w:sz="4" w:space="0" w:color="auto"/>
            </w:tcBorders>
            <w:noWrap/>
            <w:vAlign w:val="center"/>
            <w:hideMark/>
          </w:tcPr>
          <w:p w14:paraId="3B9FAFB5" w14:textId="77777777" w:rsidR="00545BE9" w:rsidRPr="002B008A" w:rsidRDefault="00545BE9" w:rsidP="00E2719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 Doanh số cho vay SXKD đối với KHCN</w:t>
            </w:r>
          </w:p>
        </w:tc>
        <w:tc>
          <w:tcPr>
            <w:tcW w:w="960" w:type="dxa"/>
            <w:tcBorders>
              <w:top w:val="nil"/>
              <w:left w:val="nil"/>
              <w:bottom w:val="single" w:sz="4" w:space="0" w:color="auto"/>
              <w:right w:val="single" w:sz="4" w:space="0" w:color="auto"/>
            </w:tcBorders>
            <w:noWrap/>
            <w:vAlign w:val="center"/>
            <w:hideMark/>
          </w:tcPr>
          <w:p w14:paraId="7824956E"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308,64</w:t>
            </w:r>
          </w:p>
        </w:tc>
        <w:tc>
          <w:tcPr>
            <w:tcW w:w="1209" w:type="dxa"/>
            <w:tcBorders>
              <w:top w:val="nil"/>
              <w:left w:val="nil"/>
              <w:bottom w:val="single" w:sz="4" w:space="0" w:color="auto"/>
              <w:right w:val="single" w:sz="4" w:space="0" w:color="auto"/>
            </w:tcBorders>
            <w:noWrap/>
            <w:vAlign w:val="center"/>
            <w:hideMark/>
          </w:tcPr>
          <w:p w14:paraId="2E85A5A2"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1004" w:type="dxa"/>
            <w:tcBorders>
              <w:top w:val="nil"/>
              <w:left w:val="nil"/>
              <w:bottom w:val="single" w:sz="4" w:space="0" w:color="auto"/>
              <w:right w:val="single" w:sz="4" w:space="0" w:color="auto"/>
            </w:tcBorders>
            <w:noWrap/>
            <w:vAlign w:val="center"/>
            <w:hideMark/>
          </w:tcPr>
          <w:p w14:paraId="582FF751"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417,28</w:t>
            </w:r>
          </w:p>
        </w:tc>
        <w:tc>
          <w:tcPr>
            <w:tcW w:w="1209" w:type="dxa"/>
            <w:tcBorders>
              <w:top w:val="nil"/>
              <w:left w:val="nil"/>
              <w:bottom w:val="single" w:sz="4" w:space="0" w:color="auto"/>
              <w:right w:val="single" w:sz="4" w:space="0" w:color="auto"/>
            </w:tcBorders>
            <w:noWrap/>
            <w:vAlign w:val="center"/>
            <w:hideMark/>
          </w:tcPr>
          <w:p w14:paraId="432FB27F"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1082" w:type="dxa"/>
            <w:tcBorders>
              <w:top w:val="nil"/>
              <w:left w:val="nil"/>
              <w:bottom w:val="single" w:sz="4" w:space="0" w:color="auto"/>
              <w:right w:val="single" w:sz="4" w:space="0" w:color="auto"/>
            </w:tcBorders>
            <w:noWrap/>
            <w:vAlign w:val="center"/>
            <w:hideMark/>
          </w:tcPr>
          <w:p w14:paraId="17DF8456"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512,73</w:t>
            </w:r>
          </w:p>
        </w:tc>
        <w:tc>
          <w:tcPr>
            <w:tcW w:w="1043" w:type="dxa"/>
            <w:tcBorders>
              <w:top w:val="nil"/>
              <w:left w:val="nil"/>
              <w:bottom w:val="single" w:sz="4" w:space="0" w:color="auto"/>
              <w:right w:val="single" w:sz="4" w:space="0" w:color="auto"/>
            </w:tcBorders>
            <w:noWrap/>
            <w:vAlign w:val="center"/>
            <w:hideMark/>
          </w:tcPr>
          <w:p w14:paraId="74E494AE"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941" w:type="dxa"/>
            <w:tcBorders>
              <w:top w:val="nil"/>
              <w:left w:val="nil"/>
              <w:bottom w:val="single" w:sz="4" w:space="0" w:color="auto"/>
              <w:right w:val="single" w:sz="4" w:space="0" w:color="auto"/>
            </w:tcBorders>
            <w:noWrap/>
            <w:vAlign w:val="center"/>
            <w:hideMark/>
          </w:tcPr>
          <w:p w14:paraId="0028D552"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108,64</w:t>
            </w:r>
          </w:p>
        </w:tc>
        <w:tc>
          <w:tcPr>
            <w:tcW w:w="980" w:type="dxa"/>
            <w:tcBorders>
              <w:top w:val="nil"/>
              <w:left w:val="nil"/>
              <w:bottom w:val="single" w:sz="4" w:space="0" w:color="auto"/>
              <w:right w:val="single" w:sz="4" w:space="0" w:color="auto"/>
            </w:tcBorders>
            <w:noWrap/>
            <w:vAlign w:val="center"/>
            <w:hideMark/>
          </w:tcPr>
          <w:p w14:paraId="398C52E0"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35,20</w:t>
            </w:r>
          </w:p>
        </w:tc>
        <w:tc>
          <w:tcPr>
            <w:tcW w:w="1005" w:type="dxa"/>
            <w:tcBorders>
              <w:top w:val="nil"/>
              <w:left w:val="nil"/>
              <w:bottom w:val="single" w:sz="4" w:space="0" w:color="auto"/>
              <w:right w:val="single" w:sz="4" w:space="0" w:color="auto"/>
            </w:tcBorders>
            <w:noWrap/>
            <w:vAlign w:val="center"/>
            <w:hideMark/>
          </w:tcPr>
          <w:p w14:paraId="57543C08"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95,45</w:t>
            </w:r>
          </w:p>
        </w:tc>
        <w:tc>
          <w:tcPr>
            <w:tcW w:w="916" w:type="dxa"/>
            <w:tcBorders>
              <w:top w:val="nil"/>
              <w:left w:val="nil"/>
              <w:bottom w:val="single" w:sz="4" w:space="0" w:color="auto"/>
              <w:right w:val="single" w:sz="4" w:space="0" w:color="auto"/>
            </w:tcBorders>
            <w:noWrap/>
            <w:vAlign w:val="center"/>
            <w:hideMark/>
          </w:tcPr>
          <w:p w14:paraId="558FF345"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22,87</w:t>
            </w:r>
          </w:p>
        </w:tc>
      </w:tr>
      <w:tr w:rsidR="00545BE9" w:rsidRPr="002B008A" w14:paraId="42F39229"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25AA2B23"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bằng tài sản</w:t>
            </w:r>
          </w:p>
        </w:tc>
        <w:tc>
          <w:tcPr>
            <w:tcW w:w="960" w:type="dxa"/>
            <w:tcBorders>
              <w:top w:val="nil"/>
              <w:left w:val="nil"/>
              <w:bottom w:val="single" w:sz="4" w:space="0" w:color="auto"/>
              <w:right w:val="single" w:sz="4" w:space="0" w:color="auto"/>
            </w:tcBorders>
            <w:vAlign w:val="center"/>
            <w:hideMark/>
          </w:tcPr>
          <w:p w14:paraId="0C45971D"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254,13</w:t>
            </w:r>
          </w:p>
        </w:tc>
        <w:tc>
          <w:tcPr>
            <w:tcW w:w="1209" w:type="dxa"/>
            <w:tcBorders>
              <w:top w:val="nil"/>
              <w:left w:val="nil"/>
              <w:bottom w:val="single" w:sz="4" w:space="0" w:color="auto"/>
              <w:right w:val="single" w:sz="4" w:space="0" w:color="auto"/>
            </w:tcBorders>
            <w:noWrap/>
            <w:vAlign w:val="center"/>
            <w:hideMark/>
          </w:tcPr>
          <w:p w14:paraId="64C2EC41"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82,34</w:t>
            </w:r>
          </w:p>
        </w:tc>
        <w:tc>
          <w:tcPr>
            <w:tcW w:w="1004" w:type="dxa"/>
            <w:tcBorders>
              <w:top w:val="nil"/>
              <w:left w:val="nil"/>
              <w:bottom w:val="nil"/>
              <w:right w:val="nil"/>
            </w:tcBorders>
            <w:vAlign w:val="center"/>
            <w:hideMark/>
          </w:tcPr>
          <w:p w14:paraId="24EE66B6"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346,62</w:t>
            </w:r>
          </w:p>
        </w:tc>
        <w:tc>
          <w:tcPr>
            <w:tcW w:w="1209" w:type="dxa"/>
            <w:tcBorders>
              <w:top w:val="nil"/>
              <w:left w:val="single" w:sz="4" w:space="0" w:color="auto"/>
              <w:bottom w:val="single" w:sz="4" w:space="0" w:color="auto"/>
              <w:right w:val="single" w:sz="4" w:space="0" w:color="auto"/>
            </w:tcBorders>
            <w:noWrap/>
            <w:vAlign w:val="center"/>
            <w:hideMark/>
          </w:tcPr>
          <w:p w14:paraId="68E71993"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83,07</w:t>
            </w:r>
          </w:p>
        </w:tc>
        <w:tc>
          <w:tcPr>
            <w:tcW w:w="1082" w:type="dxa"/>
            <w:tcBorders>
              <w:top w:val="nil"/>
              <w:left w:val="nil"/>
              <w:bottom w:val="nil"/>
              <w:right w:val="nil"/>
            </w:tcBorders>
            <w:vAlign w:val="center"/>
            <w:hideMark/>
          </w:tcPr>
          <w:p w14:paraId="04CD04DB"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427,58</w:t>
            </w:r>
          </w:p>
        </w:tc>
        <w:tc>
          <w:tcPr>
            <w:tcW w:w="1043" w:type="dxa"/>
            <w:tcBorders>
              <w:top w:val="nil"/>
              <w:left w:val="single" w:sz="4" w:space="0" w:color="auto"/>
              <w:bottom w:val="single" w:sz="4" w:space="0" w:color="auto"/>
              <w:right w:val="single" w:sz="4" w:space="0" w:color="auto"/>
            </w:tcBorders>
            <w:noWrap/>
            <w:vAlign w:val="center"/>
            <w:hideMark/>
          </w:tcPr>
          <w:p w14:paraId="484000FA"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83,39</w:t>
            </w:r>
          </w:p>
        </w:tc>
        <w:tc>
          <w:tcPr>
            <w:tcW w:w="941" w:type="dxa"/>
            <w:tcBorders>
              <w:top w:val="nil"/>
              <w:left w:val="nil"/>
              <w:bottom w:val="single" w:sz="4" w:space="0" w:color="auto"/>
              <w:right w:val="single" w:sz="4" w:space="0" w:color="auto"/>
            </w:tcBorders>
            <w:noWrap/>
            <w:vAlign w:val="center"/>
            <w:hideMark/>
          </w:tcPr>
          <w:p w14:paraId="5A72523B"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92,49</w:t>
            </w:r>
          </w:p>
        </w:tc>
        <w:tc>
          <w:tcPr>
            <w:tcW w:w="980" w:type="dxa"/>
            <w:tcBorders>
              <w:top w:val="nil"/>
              <w:left w:val="nil"/>
              <w:bottom w:val="single" w:sz="4" w:space="0" w:color="auto"/>
              <w:right w:val="single" w:sz="4" w:space="0" w:color="auto"/>
            </w:tcBorders>
            <w:noWrap/>
            <w:vAlign w:val="center"/>
            <w:hideMark/>
          </w:tcPr>
          <w:p w14:paraId="6EC99259"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36,39</w:t>
            </w:r>
          </w:p>
        </w:tc>
        <w:tc>
          <w:tcPr>
            <w:tcW w:w="1005" w:type="dxa"/>
            <w:tcBorders>
              <w:top w:val="nil"/>
              <w:left w:val="nil"/>
              <w:bottom w:val="single" w:sz="4" w:space="0" w:color="auto"/>
              <w:right w:val="single" w:sz="4" w:space="0" w:color="auto"/>
            </w:tcBorders>
            <w:noWrap/>
            <w:vAlign w:val="center"/>
            <w:hideMark/>
          </w:tcPr>
          <w:p w14:paraId="46005645"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80,96</w:t>
            </w:r>
          </w:p>
        </w:tc>
        <w:tc>
          <w:tcPr>
            <w:tcW w:w="916" w:type="dxa"/>
            <w:tcBorders>
              <w:top w:val="nil"/>
              <w:left w:val="nil"/>
              <w:bottom w:val="single" w:sz="4" w:space="0" w:color="auto"/>
              <w:right w:val="single" w:sz="4" w:space="0" w:color="auto"/>
            </w:tcBorders>
            <w:noWrap/>
            <w:vAlign w:val="center"/>
            <w:hideMark/>
          </w:tcPr>
          <w:p w14:paraId="15FA6B50"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23,36</w:t>
            </w:r>
          </w:p>
        </w:tc>
      </w:tr>
      <w:tr w:rsidR="00545BE9" w:rsidRPr="002B008A" w14:paraId="7811D705"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153B0E48"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không bằng tài sản</w:t>
            </w:r>
          </w:p>
        </w:tc>
        <w:tc>
          <w:tcPr>
            <w:tcW w:w="960" w:type="dxa"/>
            <w:tcBorders>
              <w:top w:val="nil"/>
              <w:left w:val="nil"/>
              <w:bottom w:val="single" w:sz="4" w:space="0" w:color="auto"/>
              <w:right w:val="single" w:sz="4" w:space="0" w:color="auto"/>
            </w:tcBorders>
            <w:vAlign w:val="center"/>
            <w:hideMark/>
          </w:tcPr>
          <w:p w14:paraId="159F9C67"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54,51</w:t>
            </w:r>
          </w:p>
        </w:tc>
        <w:tc>
          <w:tcPr>
            <w:tcW w:w="1209" w:type="dxa"/>
            <w:tcBorders>
              <w:top w:val="nil"/>
              <w:left w:val="nil"/>
              <w:bottom w:val="single" w:sz="4" w:space="0" w:color="auto"/>
              <w:right w:val="single" w:sz="4" w:space="0" w:color="auto"/>
            </w:tcBorders>
            <w:noWrap/>
            <w:vAlign w:val="center"/>
            <w:hideMark/>
          </w:tcPr>
          <w:p w14:paraId="273FD065"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17,66</w:t>
            </w:r>
          </w:p>
        </w:tc>
        <w:tc>
          <w:tcPr>
            <w:tcW w:w="1004" w:type="dxa"/>
            <w:tcBorders>
              <w:top w:val="nil"/>
              <w:left w:val="nil"/>
              <w:bottom w:val="nil"/>
              <w:right w:val="nil"/>
            </w:tcBorders>
            <w:vAlign w:val="center"/>
            <w:hideMark/>
          </w:tcPr>
          <w:p w14:paraId="562A7647"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70,66</w:t>
            </w:r>
          </w:p>
        </w:tc>
        <w:tc>
          <w:tcPr>
            <w:tcW w:w="1209" w:type="dxa"/>
            <w:tcBorders>
              <w:top w:val="nil"/>
              <w:left w:val="single" w:sz="4" w:space="0" w:color="auto"/>
              <w:bottom w:val="single" w:sz="4" w:space="0" w:color="auto"/>
              <w:right w:val="single" w:sz="4" w:space="0" w:color="auto"/>
            </w:tcBorders>
            <w:noWrap/>
            <w:vAlign w:val="center"/>
            <w:hideMark/>
          </w:tcPr>
          <w:p w14:paraId="3608557D"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16,93</w:t>
            </w:r>
          </w:p>
        </w:tc>
        <w:tc>
          <w:tcPr>
            <w:tcW w:w="1082" w:type="dxa"/>
            <w:tcBorders>
              <w:top w:val="nil"/>
              <w:left w:val="nil"/>
              <w:bottom w:val="nil"/>
              <w:right w:val="nil"/>
            </w:tcBorders>
            <w:vAlign w:val="center"/>
            <w:hideMark/>
          </w:tcPr>
          <w:p w14:paraId="78C47220"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85,15</w:t>
            </w:r>
          </w:p>
        </w:tc>
        <w:tc>
          <w:tcPr>
            <w:tcW w:w="1043" w:type="dxa"/>
            <w:tcBorders>
              <w:top w:val="nil"/>
              <w:left w:val="single" w:sz="4" w:space="0" w:color="auto"/>
              <w:bottom w:val="single" w:sz="4" w:space="0" w:color="auto"/>
              <w:right w:val="single" w:sz="4" w:space="0" w:color="auto"/>
            </w:tcBorders>
            <w:noWrap/>
            <w:vAlign w:val="center"/>
            <w:hideMark/>
          </w:tcPr>
          <w:p w14:paraId="235B2E09"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16,61</w:t>
            </w:r>
          </w:p>
        </w:tc>
        <w:tc>
          <w:tcPr>
            <w:tcW w:w="941" w:type="dxa"/>
            <w:tcBorders>
              <w:top w:val="nil"/>
              <w:left w:val="nil"/>
              <w:bottom w:val="single" w:sz="4" w:space="0" w:color="auto"/>
              <w:right w:val="single" w:sz="4" w:space="0" w:color="auto"/>
            </w:tcBorders>
            <w:noWrap/>
            <w:vAlign w:val="center"/>
            <w:hideMark/>
          </w:tcPr>
          <w:p w14:paraId="7C01E535"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16,15</w:t>
            </w:r>
          </w:p>
        </w:tc>
        <w:tc>
          <w:tcPr>
            <w:tcW w:w="980" w:type="dxa"/>
            <w:tcBorders>
              <w:top w:val="nil"/>
              <w:left w:val="nil"/>
              <w:bottom w:val="single" w:sz="4" w:space="0" w:color="auto"/>
              <w:right w:val="single" w:sz="4" w:space="0" w:color="auto"/>
            </w:tcBorders>
            <w:noWrap/>
            <w:vAlign w:val="center"/>
            <w:hideMark/>
          </w:tcPr>
          <w:p w14:paraId="6FC32F91"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29,63</w:t>
            </w:r>
          </w:p>
        </w:tc>
        <w:tc>
          <w:tcPr>
            <w:tcW w:w="1005" w:type="dxa"/>
            <w:tcBorders>
              <w:top w:val="nil"/>
              <w:left w:val="nil"/>
              <w:bottom w:val="single" w:sz="4" w:space="0" w:color="auto"/>
              <w:right w:val="single" w:sz="4" w:space="0" w:color="auto"/>
            </w:tcBorders>
            <w:noWrap/>
            <w:vAlign w:val="center"/>
            <w:hideMark/>
          </w:tcPr>
          <w:p w14:paraId="2E04BDB2"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14,49</w:t>
            </w:r>
          </w:p>
        </w:tc>
        <w:tc>
          <w:tcPr>
            <w:tcW w:w="916" w:type="dxa"/>
            <w:tcBorders>
              <w:top w:val="nil"/>
              <w:left w:val="nil"/>
              <w:bottom w:val="single" w:sz="4" w:space="0" w:color="auto"/>
              <w:right w:val="single" w:sz="4" w:space="0" w:color="auto"/>
            </w:tcBorders>
            <w:noWrap/>
            <w:vAlign w:val="center"/>
            <w:hideMark/>
          </w:tcPr>
          <w:p w14:paraId="06EE1E6C"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20,51</w:t>
            </w:r>
          </w:p>
        </w:tc>
      </w:tr>
      <w:tr w:rsidR="00545BE9" w:rsidRPr="002B008A" w14:paraId="303A93A4" w14:textId="77777777" w:rsidTr="00545BE9">
        <w:trPr>
          <w:trHeight w:val="170"/>
        </w:trPr>
        <w:tc>
          <w:tcPr>
            <w:tcW w:w="3887" w:type="dxa"/>
            <w:tcBorders>
              <w:top w:val="nil"/>
              <w:left w:val="single" w:sz="4" w:space="0" w:color="auto"/>
              <w:bottom w:val="single" w:sz="4" w:space="0" w:color="auto"/>
              <w:right w:val="single" w:sz="4" w:space="0" w:color="auto"/>
            </w:tcBorders>
            <w:noWrap/>
            <w:vAlign w:val="center"/>
            <w:hideMark/>
          </w:tcPr>
          <w:p w14:paraId="5F72C716" w14:textId="77777777" w:rsidR="00545BE9" w:rsidRPr="002B008A" w:rsidRDefault="00545BE9" w:rsidP="00E2719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2. Doanh số thu nợ cho vay SXKD đối với KHCN</w:t>
            </w:r>
          </w:p>
        </w:tc>
        <w:tc>
          <w:tcPr>
            <w:tcW w:w="960" w:type="dxa"/>
            <w:tcBorders>
              <w:top w:val="nil"/>
              <w:left w:val="nil"/>
              <w:bottom w:val="single" w:sz="4" w:space="0" w:color="auto"/>
              <w:right w:val="single" w:sz="4" w:space="0" w:color="auto"/>
            </w:tcBorders>
            <w:noWrap/>
            <w:vAlign w:val="center"/>
            <w:hideMark/>
          </w:tcPr>
          <w:p w14:paraId="514C82F7"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214,34</w:t>
            </w:r>
          </w:p>
        </w:tc>
        <w:tc>
          <w:tcPr>
            <w:tcW w:w="1209" w:type="dxa"/>
            <w:tcBorders>
              <w:top w:val="nil"/>
              <w:left w:val="nil"/>
              <w:bottom w:val="single" w:sz="4" w:space="0" w:color="auto"/>
              <w:right w:val="single" w:sz="4" w:space="0" w:color="auto"/>
            </w:tcBorders>
            <w:noWrap/>
            <w:vAlign w:val="center"/>
            <w:hideMark/>
          </w:tcPr>
          <w:p w14:paraId="7F490DC0"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1004" w:type="dxa"/>
            <w:tcBorders>
              <w:top w:val="single" w:sz="4" w:space="0" w:color="auto"/>
              <w:left w:val="nil"/>
              <w:bottom w:val="single" w:sz="4" w:space="0" w:color="auto"/>
              <w:right w:val="single" w:sz="4" w:space="0" w:color="auto"/>
            </w:tcBorders>
            <w:noWrap/>
            <w:vAlign w:val="center"/>
            <w:hideMark/>
          </w:tcPr>
          <w:p w14:paraId="30A17EA7"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283,91</w:t>
            </w:r>
          </w:p>
        </w:tc>
        <w:tc>
          <w:tcPr>
            <w:tcW w:w="1209" w:type="dxa"/>
            <w:tcBorders>
              <w:top w:val="nil"/>
              <w:left w:val="nil"/>
              <w:bottom w:val="single" w:sz="4" w:space="0" w:color="auto"/>
              <w:right w:val="single" w:sz="4" w:space="0" w:color="auto"/>
            </w:tcBorders>
            <w:noWrap/>
            <w:vAlign w:val="center"/>
            <w:hideMark/>
          </w:tcPr>
          <w:p w14:paraId="3E84A8E8"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1082" w:type="dxa"/>
            <w:tcBorders>
              <w:top w:val="single" w:sz="4" w:space="0" w:color="auto"/>
              <w:left w:val="nil"/>
              <w:bottom w:val="single" w:sz="4" w:space="0" w:color="auto"/>
              <w:right w:val="single" w:sz="4" w:space="0" w:color="auto"/>
            </w:tcBorders>
            <w:noWrap/>
            <w:vAlign w:val="center"/>
            <w:hideMark/>
          </w:tcPr>
          <w:p w14:paraId="025096C4"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346,48</w:t>
            </w:r>
          </w:p>
        </w:tc>
        <w:tc>
          <w:tcPr>
            <w:tcW w:w="1043" w:type="dxa"/>
            <w:tcBorders>
              <w:top w:val="nil"/>
              <w:left w:val="nil"/>
              <w:bottom w:val="single" w:sz="4" w:space="0" w:color="auto"/>
              <w:right w:val="single" w:sz="4" w:space="0" w:color="auto"/>
            </w:tcBorders>
            <w:noWrap/>
            <w:vAlign w:val="center"/>
            <w:hideMark/>
          </w:tcPr>
          <w:p w14:paraId="68B47F71"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941" w:type="dxa"/>
            <w:tcBorders>
              <w:top w:val="nil"/>
              <w:left w:val="nil"/>
              <w:bottom w:val="single" w:sz="4" w:space="0" w:color="auto"/>
              <w:right w:val="single" w:sz="4" w:space="0" w:color="auto"/>
            </w:tcBorders>
            <w:noWrap/>
            <w:vAlign w:val="center"/>
            <w:hideMark/>
          </w:tcPr>
          <w:p w14:paraId="6F8A12A1"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69,57</w:t>
            </w:r>
          </w:p>
        </w:tc>
        <w:tc>
          <w:tcPr>
            <w:tcW w:w="980" w:type="dxa"/>
            <w:tcBorders>
              <w:top w:val="nil"/>
              <w:left w:val="nil"/>
              <w:bottom w:val="single" w:sz="4" w:space="0" w:color="auto"/>
              <w:right w:val="single" w:sz="4" w:space="0" w:color="auto"/>
            </w:tcBorders>
            <w:noWrap/>
            <w:vAlign w:val="center"/>
            <w:hideMark/>
          </w:tcPr>
          <w:p w14:paraId="1EF98FA5"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32,46</w:t>
            </w:r>
          </w:p>
        </w:tc>
        <w:tc>
          <w:tcPr>
            <w:tcW w:w="1005" w:type="dxa"/>
            <w:tcBorders>
              <w:top w:val="nil"/>
              <w:left w:val="nil"/>
              <w:bottom w:val="single" w:sz="4" w:space="0" w:color="auto"/>
              <w:right w:val="single" w:sz="4" w:space="0" w:color="auto"/>
            </w:tcBorders>
            <w:noWrap/>
            <w:vAlign w:val="center"/>
            <w:hideMark/>
          </w:tcPr>
          <w:p w14:paraId="670868CF"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62,57</w:t>
            </w:r>
          </w:p>
        </w:tc>
        <w:tc>
          <w:tcPr>
            <w:tcW w:w="916" w:type="dxa"/>
            <w:tcBorders>
              <w:top w:val="nil"/>
              <w:left w:val="nil"/>
              <w:bottom w:val="single" w:sz="4" w:space="0" w:color="auto"/>
              <w:right w:val="single" w:sz="4" w:space="0" w:color="auto"/>
            </w:tcBorders>
            <w:noWrap/>
            <w:vAlign w:val="center"/>
            <w:hideMark/>
          </w:tcPr>
          <w:p w14:paraId="48A9AC0F"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22,04</w:t>
            </w:r>
          </w:p>
        </w:tc>
      </w:tr>
      <w:tr w:rsidR="00545BE9" w:rsidRPr="002B008A" w14:paraId="21AB73B4"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523ECC66"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bằng tài sản</w:t>
            </w:r>
          </w:p>
        </w:tc>
        <w:tc>
          <w:tcPr>
            <w:tcW w:w="960" w:type="dxa"/>
            <w:tcBorders>
              <w:top w:val="nil"/>
              <w:left w:val="nil"/>
              <w:bottom w:val="nil"/>
              <w:right w:val="nil"/>
            </w:tcBorders>
            <w:vAlign w:val="center"/>
            <w:hideMark/>
          </w:tcPr>
          <w:p w14:paraId="4E344C61"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171,82</w:t>
            </w:r>
          </w:p>
        </w:tc>
        <w:tc>
          <w:tcPr>
            <w:tcW w:w="1209" w:type="dxa"/>
            <w:tcBorders>
              <w:top w:val="nil"/>
              <w:left w:val="single" w:sz="4" w:space="0" w:color="auto"/>
              <w:bottom w:val="single" w:sz="4" w:space="0" w:color="auto"/>
              <w:right w:val="single" w:sz="4" w:space="0" w:color="auto"/>
            </w:tcBorders>
            <w:noWrap/>
            <w:vAlign w:val="center"/>
            <w:hideMark/>
          </w:tcPr>
          <w:p w14:paraId="47631196"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80,16</w:t>
            </w:r>
          </w:p>
        </w:tc>
        <w:tc>
          <w:tcPr>
            <w:tcW w:w="1004" w:type="dxa"/>
            <w:tcBorders>
              <w:top w:val="nil"/>
              <w:left w:val="nil"/>
              <w:bottom w:val="nil"/>
              <w:right w:val="nil"/>
            </w:tcBorders>
            <w:vAlign w:val="center"/>
            <w:hideMark/>
          </w:tcPr>
          <w:p w14:paraId="3EA673FF"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229,47</w:t>
            </w:r>
          </w:p>
        </w:tc>
        <w:tc>
          <w:tcPr>
            <w:tcW w:w="1209" w:type="dxa"/>
            <w:tcBorders>
              <w:top w:val="nil"/>
              <w:left w:val="single" w:sz="4" w:space="0" w:color="auto"/>
              <w:bottom w:val="single" w:sz="4" w:space="0" w:color="auto"/>
              <w:right w:val="single" w:sz="4" w:space="0" w:color="auto"/>
            </w:tcBorders>
            <w:noWrap/>
            <w:vAlign w:val="center"/>
            <w:hideMark/>
          </w:tcPr>
          <w:p w14:paraId="12BCC293"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80,82</w:t>
            </w:r>
          </w:p>
        </w:tc>
        <w:tc>
          <w:tcPr>
            <w:tcW w:w="1082" w:type="dxa"/>
            <w:tcBorders>
              <w:top w:val="nil"/>
              <w:left w:val="nil"/>
              <w:bottom w:val="nil"/>
              <w:right w:val="nil"/>
            </w:tcBorders>
            <w:vAlign w:val="center"/>
            <w:hideMark/>
          </w:tcPr>
          <w:p w14:paraId="6E813912"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281,63</w:t>
            </w:r>
          </w:p>
        </w:tc>
        <w:tc>
          <w:tcPr>
            <w:tcW w:w="1043" w:type="dxa"/>
            <w:tcBorders>
              <w:top w:val="nil"/>
              <w:left w:val="single" w:sz="4" w:space="0" w:color="auto"/>
              <w:bottom w:val="single" w:sz="4" w:space="0" w:color="auto"/>
              <w:right w:val="single" w:sz="4" w:space="0" w:color="auto"/>
            </w:tcBorders>
            <w:noWrap/>
            <w:vAlign w:val="center"/>
            <w:hideMark/>
          </w:tcPr>
          <w:p w14:paraId="6E77662A"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81,28</w:t>
            </w:r>
          </w:p>
        </w:tc>
        <w:tc>
          <w:tcPr>
            <w:tcW w:w="941" w:type="dxa"/>
            <w:tcBorders>
              <w:top w:val="nil"/>
              <w:left w:val="nil"/>
              <w:bottom w:val="single" w:sz="4" w:space="0" w:color="auto"/>
              <w:right w:val="single" w:sz="4" w:space="0" w:color="auto"/>
            </w:tcBorders>
            <w:noWrap/>
            <w:vAlign w:val="center"/>
            <w:hideMark/>
          </w:tcPr>
          <w:p w14:paraId="7597588F"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57,65</w:t>
            </w:r>
          </w:p>
        </w:tc>
        <w:tc>
          <w:tcPr>
            <w:tcW w:w="980" w:type="dxa"/>
            <w:tcBorders>
              <w:top w:val="nil"/>
              <w:left w:val="nil"/>
              <w:bottom w:val="single" w:sz="4" w:space="0" w:color="auto"/>
              <w:right w:val="single" w:sz="4" w:space="0" w:color="auto"/>
            </w:tcBorders>
            <w:noWrap/>
            <w:vAlign w:val="center"/>
            <w:hideMark/>
          </w:tcPr>
          <w:p w14:paraId="4A2D572A"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33,55</w:t>
            </w:r>
          </w:p>
        </w:tc>
        <w:tc>
          <w:tcPr>
            <w:tcW w:w="1005" w:type="dxa"/>
            <w:tcBorders>
              <w:top w:val="nil"/>
              <w:left w:val="nil"/>
              <w:bottom w:val="single" w:sz="4" w:space="0" w:color="auto"/>
              <w:right w:val="single" w:sz="4" w:space="0" w:color="auto"/>
            </w:tcBorders>
            <w:noWrap/>
            <w:vAlign w:val="center"/>
            <w:hideMark/>
          </w:tcPr>
          <w:p w14:paraId="4875D1C8"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52,16</w:t>
            </w:r>
          </w:p>
        </w:tc>
        <w:tc>
          <w:tcPr>
            <w:tcW w:w="916" w:type="dxa"/>
            <w:tcBorders>
              <w:top w:val="nil"/>
              <w:left w:val="nil"/>
              <w:bottom w:val="single" w:sz="4" w:space="0" w:color="auto"/>
              <w:right w:val="single" w:sz="4" w:space="0" w:color="auto"/>
            </w:tcBorders>
            <w:noWrap/>
            <w:vAlign w:val="center"/>
            <w:hideMark/>
          </w:tcPr>
          <w:p w14:paraId="6AFDB23B"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22,73</w:t>
            </w:r>
          </w:p>
        </w:tc>
      </w:tr>
      <w:tr w:rsidR="00545BE9" w:rsidRPr="002B008A" w14:paraId="703D7895"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49827404"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không bằng tài sản</w:t>
            </w:r>
          </w:p>
        </w:tc>
        <w:tc>
          <w:tcPr>
            <w:tcW w:w="960" w:type="dxa"/>
            <w:tcBorders>
              <w:top w:val="nil"/>
              <w:left w:val="nil"/>
              <w:bottom w:val="nil"/>
              <w:right w:val="nil"/>
            </w:tcBorders>
            <w:vAlign w:val="center"/>
            <w:hideMark/>
          </w:tcPr>
          <w:p w14:paraId="2CA99D10"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42,52</w:t>
            </w:r>
          </w:p>
        </w:tc>
        <w:tc>
          <w:tcPr>
            <w:tcW w:w="1209" w:type="dxa"/>
            <w:tcBorders>
              <w:top w:val="nil"/>
              <w:left w:val="single" w:sz="4" w:space="0" w:color="auto"/>
              <w:bottom w:val="single" w:sz="4" w:space="0" w:color="auto"/>
              <w:right w:val="single" w:sz="4" w:space="0" w:color="auto"/>
            </w:tcBorders>
            <w:noWrap/>
            <w:vAlign w:val="center"/>
            <w:hideMark/>
          </w:tcPr>
          <w:p w14:paraId="01FB3FF7"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19,84</w:t>
            </w:r>
          </w:p>
        </w:tc>
        <w:tc>
          <w:tcPr>
            <w:tcW w:w="1004" w:type="dxa"/>
            <w:tcBorders>
              <w:top w:val="nil"/>
              <w:left w:val="nil"/>
              <w:bottom w:val="nil"/>
              <w:right w:val="nil"/>
            </w:tcBorders>
            <w:vAlign w:val="center"/>
            <w:hideMark/>
          </w:tcPr>
          <w:p w14:paraId="1ED18F58"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54,44</w:t>
            </w:r>
          </w:p>
        </w:tc>
        <w:tc>
          <w:tcPr>
            <w:tcW w:w="1209" w:type="dxa"/>
            <w:tcBorders>
              <w:top w:val="nil"/>
              <w:left w:val="single" w:sz="4" w:space="0" w:color="auto"/>
              <w:bottom w:val="single" w:sz="4" w:space="0" w:color="auto"/>
              <w:right w:val="single" w:sz="4" w:space="0" w:color="auto"/>
            </w:tcBorders>
            <w:noWrap/>
            <w:vAlign w:val="center"/>
            <w:hideMark/>
          </w:tcPr>
          <w:p w14:paraId="6874E7AE"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19,18</w:t>
            </w:r>
          </w:p>
        </w:tc>
        <w:tc>
          <w:tcPr>
            <w:tcW w:w="1082" w:type="dxa"/>
            <w:tcBorders>
              <w:top w:val="nil"/>
              <w:left w:val="nil"/>
              <w:bottom w:val="nil"/>
              <w:right w:val="nil"/>
            </w:tcBorders>
            <w:vAlign w:val="center"/>
            <w:hideMark/>
          </w:tcPr>
          <w:p w14:paraId="67E8DE58"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64,85</w:t>
            </w:r>
          </w:p>
        </w:tc>
        <w:tc>
          <w:tcPr>
            <w:tcW w:w="1043" w:type="dxa"/>
            <w:tcBorders>
              <w:top w:val="nil"/>
              <w:left w:val="single" w:sz="4" w:space="0" w:color="auto"/>
              <w:bottom w:val="single" w:sz="4" w:space="0" w:color="auto"/>
              <w:right w:val="single" w:sz="4" w:space="0" w:color="auto"/>
            </w:tcBorders>
            <w:noWrap/>
            <w:vAlign w:val="center"/>
            <w:hideMark/>
          </w:tcPr>
          <w:p w14:paraId="6BA6B187"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18,72</w:t>
            </w:r>
          </w:p>
        </w:tc>
        <w:tc>
          <w:tcPr>
            <w:tcW w:w="941" w:type="dxa"/>
            <w:tcBorders>
              <w:top w:val="nil"/>
              <w:left w:val="nil"/>
              <w:bottom w:val="single" w:sz="4" w:space="0" w:color="auto"/>
              <w:right w:val="single" w:sz="4" w:space="0" w:color="auto"/>
            </w:tcBorders>
            <w:noWrap/>
            <w:vAlign w:val="center"/>
            <w:hideMark/>
          </w:tcPr>
          <w:p w14:paraId="74F586E5"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11,92</w:t>
            </w:r>
          </w:p>
        </w:tc>
        <w:tc>
          <w:tcPr>
            <w:tcW w:w="980" w:type="dxa"/>
            <w:tcBorders>
              <w:top w:val="nil"/>
              <w:left w:val="nil"/>
              <w:bottom w:val="single" w:sz="4" w:space="0" w:color="auto"/>
              <w:right w:val="single" w:sz="4" w:space="0" w:color="auto"/>
            </w:tcBorders>
            <w:noWrap/>
            <w:vAlign w:val="center"/>
            <w:hideMark/>
          </w:tcPr>
          <w:p w14:paraId="0A44ECF7"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28,03</w:t>
            </w:r>
          </w:p>
        </w:tc>
        <w:tc>
          <w:tcPr>
            <w:tcW w:w="1005" w:type="dxa"/>
            <w:tcBorders>
              <w:top w:val="nil"/>
              <w:left w:val="nil"/>
              <w:bottom w:val="single" w:sz="4" w:space="0" w:color="auto"/>
              <w:right w:val="single" w:sz="4" w:space="0" w:color="auto"/>
            </w:tcBorders>
            <w:noWrap/>
            <w:vAlign w:val="center"/>
            <w:hideMark/>
          </w:tcPr>
          <w:p w14:paraId="11437741"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10,41</w:t>
            </w:r>
          </w:p>
        </w:tc>
        <w:tc>
          <w:tcPr>
            <w:tcW w:w="916" w:type="dxa"/>
            <w:tcBorders>
              <w:top w:val="nil"/>
              <w:left w:val="nil"/>
              <w:bottom w:val="single" w:sz="4" w:space="0" w:color="auto"/>
              <w:right w:val="single" w:sz="4" w:space="0" w:color="auto"/>
            </w:tcBorders>
            <w:noWrap/>
            <w:vAlign w:val="center"/>
            <w:hideMark/>
          </w:tcPr>
          <w:p w14:paraId="6442C2F1"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19,12</w:t>
            </w:r>
          </w:p>
        </w:tc>
      </w:tr>
      <w:tr w:rsidR="00545BE9" w:rsidRPr="002B008A" w14:paraId="0059F29A" w14:textId="77777777" w:rsidTr="00545BE9">
        <w:trPr>
          <w:trHeight w:val="170"/>
        </w:trPr>
        <w:tc>
          <w:tcPr>
            <w:tcW w:w="3887" w:type="dxa"/>
            <w:tcBorders>
              <w:top w:val="nil"/>
              <w:left w:val="single" w:sz="4" w:space="0" w:color="auto"/>
              <w:bottom w:val="single" w:sz="4" w:space="0" w:color="auto"/>
              <w:right w:val="single" w:sz="4" w:space="0" w:color="auto"/>
            </w:tcBorders>
            <w:noWrap/>
            <w:vAlign w:val="center"/>
            <w:hideMark/>
          </w:tcPr>
          <w:p w14:paraId="0147CE97" w14:textId="77777777" w:rsidR="00545BE9" w:rsidRPr="002B008A" w:rsidRDefault="00545BE9" w:rsidP="00E2719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3. Dư nợ cho vay sản xuất kinh doanh</w:t>
            </w:r>
          </w:p>
        </w:tc>
        <w:tc>
          <w:tcPr>
            <w:tcW w:w="960" w:type="dxa"/>
            <w:tcBorders>
              <w:top w:val="single" w:sz="4" w:space="0" w:color="auto"/>
              <w:left w:val="nil"/>
              <w:bottom w:val="single" w:sz="4" w:space="0" w:color="auto"/>
              <w:right w:val="single" w:sz="4" w:space="0" w:color="auto"/>
            </w:tcBorders>
            <w:noWrap/>
            <w:vAlign w:val="center"/>
            <w:hideMark/>
          </w:tcPr>
          <w:p w14:paraId="3ACD1E0B"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403,17</w:t>
            </w:r>
          </w:p>
        </w:tc>
        <w:tc>
          <w:tcPr>
            <w:tcW w:w="1209" w:type="dxa"/>
            <w:tcBorders>
              <w:top w:val="nil"/>
              <w:left w:val="nil"/>
              <w:bottom w:val="single" w:sz="4" w:space="0" w:color="auto"/>
              <w:right w:val="single" w:sz="4" w:space="0" w:color="auto"/>
            </w:tcBorders>
            <w:noWrap/>
            <w:vAlign w:val="center"/>
            <w:hideMark/>
          </w:tcPr>
          <w:p w14:paraId="6A0665C2"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1004" w:type="dxa"/>
            <w:tcBorders>
              <w:top w:val="single" w:sz="4" w:space="0" w:color="auto"/>
              <w:left w:val="nil"/>
              <w:bottom w:val="single" w:sz="4" w:space="0" w:color="auto"/>
              <w:right w:val="single" w:sz="4" w:space="0" w:color="auto"/>
            </w:tcBorders>
            <w:noWrap/>
            <w:vAlign w:val="center"/>
            <w:hideMark/>
          </w:tcPr>
          <w:p w14:paraId="127AC003"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536,54</w:t>
            </w:r>
          </w:p>
        </w:tc>
        <w:tc>
          <w:tcPr>
            <w:tcW w:w="1209" w:type="dxa"/>
            <w:tcBorders>
              <w:top w:val="nil"/>
              <w:left w:val="nil"/>
              <w:bottom w:val="single" w:sz="4" w:space="0" w:color="auto"/>
              <w:right w:val="single" w:sz="4" w:space="0" w:color="auto"/>
            </w:tcBorders>
            <w:noWrap/>
            <w:vAlign w:val="center"/>
            <w:hideMark/>
          </w:tcPr>
          <w:p w14:paraId="0A24E239"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val="vi-VN" w:eastAsia="zh-CN"/>
                <w14:ligatures w14:val="none"/>
              </w:rPr>
              <w:t>100</w:t>
            </w:r>
          </w:p>
        </w:tc>
        <w:tc>
          <w:tcPr>
            <w:tcW w:w="1082" w:type="dxa"/>
            <w:tcBorders>
              <w:top w:val="single" w:sz="4" w:space="0" w:color="auto"/>
              <w:left w:val="nil"/>
              <w:bottom w:val="single" w:sz="4" w:space="0" w:color="auto"/>
              <w:right w:val="single" w:sz="4" w:space="0" w:color="auto"/>
            </w:tcBorders>
            <w:noWrap/>
            <w:vAlign w:val="center"/>
            <w:hideMark/>
          </w:tcPr>
          <w:p w14:paraId="440761D9"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702,79</w:t>
            </w:r>
          </w:p>
        </w:tc>
        <w:tc>
          <w:tcPr>
            <w:tcW w:w="1043" w:type="dxa"/>
            <w:tcBorders>
              <w:top w:val="nil"/>
              <w:left w:val="nil"/>
              <w:bottom w:val="single" w:sz="4" w:space="0" w:color="auto"/>
              <w:right w:val="single" w:sz="4" w:space="0" w:color="auto"/>
            </w:tcBorders>
            <w:noWrap/>
            <w:vAlign w:val="center"/>
            <w:hideMark/>
          </w:tcPr>
          <w:p w14:paraId="6A41A410"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val="vi-VN" w:eastAsia="zh-CN"/>
                <w14:ligatures w14:val="none"/>
              </w:rPr>
              <w:t>100</w:t>
            </w:r>
          </w:p>
        </w:tc>
        <w:tc>
          <w:tcPr>
            <w:tcW w:w="941" w:type="dxa"/>
            <w:tcBorders>
              <w:top w:val="nil"/>
              <w:left w:val="nil"/>
              <w:bottom w:val="single" w:sz="4" w:space="0" w:color="auto"/>
              <w:right w:val="single" w:sz="4" w:space="0" w:color="auto"/>
            </w:tcBorders>
            <w:noWrap/>
            <w:vAlign w:val="center"/>
            <w:hideMark/>
          </w:tcPr>
          <w:p w14:paraId="733FD8AB"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133,37</w:t>
            </w:r>
          </w:p>
        </w:tc>
        <w:tc>
          <w:tcPr>
            <w:tcW w:w="980" w:type="dxa"/>
            <w:tcBorders>
              <w:top w:val="nil"/>
              <w:left w:val="nil"/>
              <w:bottom w:val="single" w:sz="4" w:space="0" w:color="auto"/>
              <w:right w:val="single" w:sz="4" w:space="0" w:color="auto"/>
            </w:tcBorders>
            <w:noWrap/>
            <w:vAlign w:val="center"/>
            <w:hideMark/>
          </w:tcPr>
          <w:p w14:paraId="736816AC"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33,08</w:t>
            </w:r>
          </w:p>
        </w:tc>
        <w:tc>
          <w:tcPr>
            <w:tcW w:w="1005" w:type="dxa"/>
            <w:tcBorders>
              <w:top w:val="nil"/>
              <w:left w:val="nil"/>
              <w:bottom w:val="single" w:sz="4" w:space="0" w:color="auto"/>
              <w:right w:val="single" w:sz="4" w:space="0" w:color="auto"/>
            </w:tcBorders>
            <w:noWrap/>
            <w:vAlign w:val="center"/>
            <w:hideMark/>
          </w:tcPr>
          <w:p w14:paraId="7B3ABCBE"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166,25</w:t>
            </w:r>
          </w:p>
        </w:tc>
        <w:tc>
          <w:tcPr>
            <w:tcW w:w="916" w:type="dxa"/>
            <w:tcBorders>
              <w:top w:val="nil"/>
              <w:left w:val="nil"/>
              <w:bottom w:val="single" w:sz="4" w:space="0" w:color="auto"/>
              <w:right w:val="single" w:sz="4" w:space="0" w:color="auto"/>
            </w:tcBorders>
            <w:noWrap/>
            <w:vAlign w:val="center"/>
            <w:hideMark/>
          </w:tcPr>
          <w:p w14:paraId="1767B365"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30,99</w:t>
            </w:r>
          </w:p>
        </w:tc>
      </w:tr>
      <w:tr w:rsidR="00545BE9" w:rsidRPr="002B008A" w14:paraId="651881F2"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15BCA74F"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bằng tài sản</w:t>
            </w:r>
          </w:p>
        </w:tc>
        <w:tc>
          <w:tcPr>
            <w:tcW w:w="960" w:type="dxa"/>
            <w:tcBorders>
              <w:top w:val="nil"/>
              <w:left w:val="nil"/>
              <w:bottom w:val="nil"/>
              <w:right w:val="nil"/>
            </w:tcBorders>
            <w:vAlign w:val="center"/>
            <w:hideMark/>
          </w:tcPr>
          <w:p w14:paraId="016B3F5F"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331,82</w:t>
            </w:r>
          </w:p>
        </w:tc>
        <w:tc>
          <w:tcPr>
            <w:tcW w:w="1209" w:type="dxa"/>
            <w:tcBorders>
              <w:top w:val="nil"/>
              <w:left w:val="single" w:sz="4" w:space="0" w:color="auto"/>
              <w:bottom w:val="single" w:sz="4" w:space="0" w:color="auto"/>
              <w:right w:val="single" w:sz="4" w:space="0" w:color="auto"/>
            </w:tcBorders>
            <w:noWrap/>
            <w:vAlign w:val="center"/>
            <w:hideMark/>
          </w:tcPr>
          <w:p w14:paraId="0A6ACDCD"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82,30</w:t>
            </w:r>
          </w:p>
        </w:tc>
        <w:tc>
          <w:tcPr>
            <w:tcW w:w="1004" w:type="dxa"/>
            <w:tcBorders>
              <w:top w:val="nil"/>
              <w:left w:val="nil"/>
              <w:bottom w:val="single" w:sz="4" w:space="0" w:color="auto"/>
              <w:right w:val="single" w:sz="4" w:space="0" w:color="auto"/>
            </w:tcBorders>
            <w:noWrap/>
            <w:vAlign w:val="center"/>
            <w:hideMark/>
          </w:tcPr>
          <w:p w14:paraId="3E65F68A"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448,97</w:t>
            </w:r>
          </w:p>
        </w:tc>
        <w:tc>
          <w:tcPr>
            <w:tcW w:w="1209" w:type="dxa"/>
            <w:tcBorders>
              <w:top w:val="nil"/>
              <w:left w:val="nil"/>
              <w:bottom w:val="single" w:sz="4" w:space="0" w:color="auto"/>
              <w:right w:val="single" w:sz="4" w:space="0" w:color="auto"/>
            </w:tcBorders>
            <w:noWrap/>
            <w:vAlign w:val="center"/>
            <w:hideMark/>
          </w:tcPr>
          <w:p w14:paraId="68AFE517"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val="vi-VN" w:eastAsia="zh-CN"/>
                <w14:ligatures w14:val="none"/>
              </w:rPr>
              <w:t>83,68</w:t>
            </w:r>
          </w:p>
        </w:tc>
        <w:tc>
          <w:tcPr>
            <w:tcW w:w="1082" w:type="dxa"/>
            <w:tcBorders>
              <w:top w:val="nil"/>
              <w:left w:val="nil"/>
              <w:bottom w:val="single" w:sz="4" w:space="0" w:color="auto"/>
              <w:right w:val="single" w:sz="4" w:space="0" w:color="auto"/>
            </w:tcBorders>
            <w:noWrap/>
            <w:vAlign w:val="center"/>
            <w:hideMark/>
          </w:tcPr>
          <w:p w14:paraId="3EF48CA1"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594,92</w:t>
            </w:r>
          </w:p>
        </w:tc>
        <w:tc>
          <w:tcPr>
            <w:tcW w:w="1043" w:type="dxa"/>
            <w:tcBorders>
              <w:top w:val="nil"/>
              <w:left w:val="nil"/>
              <w:bottom w:val="single" w:sz="4" w:space="0" w:color="auto"/>
              <w:right w:val="single" w:sz="4" w:space="0" w:color="auto"/>
            </w:tcBorders>
            <w:noWrap/>
            <w:vAlign w:val="center"/>
            <w:hideMark/>
          </w:tcPr>
          <w:p w14:paraId="46C3DE32"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val="vi-VN" w:eastAsia="zh-CN"/>
                <w14:ligatures w14:val="none"/>
              </w:rPr>
              <w:t>84,65</w:t>
            </w:r>
          </w:p>
        </w:tc>
        <w:tc>
          <w:tcPr>
            <w:tcW w:w="941" w:type="dxa"/>
            <w:tcBorders>
              <w:top w:val="nil"/>
              <w:left w:val="nil"/>
              <w:bottom w:val="single" w:sz="4" w:space="0" w:color="auto"/>
              <w:right w:val="single" w:sz="4" w:space="0" w:color="auto"/>
            </w:tcBorders>
            <w:noWrap/>
            <w:vAlign w:val="center"/>
            <w:hideMark/>
          </w:tcPr>
          <w:p w14:paraId="632FF89B"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117,15</w:t>
            </w:r>
          </w:p>
        </w:tc>
        <w:tc>
          <w:tcPr>
            <w:tcW w:w="980" w:type="dxa"/>
            <w:tcBorders>
              <w:top w:val="nil"/>
              <w:left w:val="nil"/>
              <w:bottom w:val="single" w:sz="4" w:space="0" w:color="auto"/>
              <w:right w:val="single" w:sz="4" w:space="0" w:color="auto"/>
            </w:tcBorders>
            <w:noWrap/>
            <w:vAlign w:val="center"/>
            <w:hideMark/>
          </w:tcPr>
          <w:p w14:paraId="42614759"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35,31</w:t>
            </w:r>
          </w:p>
        </w:tc>
        <w:tc>
          <w:tcPr>
            <w:tcW w:w="1005" w:type="dxa"/>
            <w:tcBorders>
              <w:top w:val="nil"/>
              <w:left w:val="nil"/>
              <w:bottom w:val="single" w:sz="4" w:space="0" w:color="auto"/>
              <w:right w:val="single" w:sz="4" w:space="0" w:color="auto"/>
            </w:tcBorders>
            <w:noWrap/>
            <w:vAlign w:val="center"/>
            <w:hideMark/>
          </w:tcPr>
          <w:p w14:paraId="28FAF088"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145,95</w:t>
            </w:r>
          </w:p>
        </w:tc>
        <w:tc>
          <w:tcPr>
            <w:tcW w:w="916" w:type="dxa"/>
            <w:tcBorders>
              <w:top w:val="nil"/>
              <w:left w:val="nil"/>
              <w:bottom w:val="single" w:sz="4" w:space="0" w:color="auto"/>
              <w:right w:val="single" w:sz="4" w:space="0" w:color="auto"/>
            </w:tcBorders>
            <w:noWrap/>
            <w:vAlign w:val="center"/>
            <w:hideMark/>
          </w:tcPr>
          <w:p w14:paraId="3DEA6B05"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32,51</w:t>
            </w:r>
          </w:p>
        </w:tc>
      </w:tr>
      <w:tr w:rsidR="00545BE9" w:rsidRPr="002B008A" w14:paraId="446847F7"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783E06AA"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val="vi-VN"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không bằng tài sản</w:t>
            </w:r>
          </w:p>
        </w:tc>
        <w:tc>
          <w:tcPr>
            <w:tcW w:w="960" w:type="dxa"/>
            <w:tcBorders>
              <w:top w:val="nil"/>
              <w:left w:val="nil"/>
              <w:bottom w:val="nil"/>
              <w:right w:val="nil"/>
            </w:tcBorders>
            <w:vAlign w:val="center"/>
            <w:hideMark/>
          </w:tcPr>
          <w:p w14:paraId="7E929B38"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71,35</w:t>
            </w:r>
          </w:p>
        </w:tc>
        <w:tc>
          <w:tcPr>
            <w:tcW w:w="1209" w:type="dxa"/>
            <w:tcBorders>
              <w:top w:val="nil"/>
              <w:left w:val="single" w:sz="4" w:space="0" w:color="auto"/>
              <w:bottom w:val="single" w:sz="4" w:space="0" w:color="auto"/>
              <w:right w:val="single" w:sz="4" w:space="0" w:color="auto"/>
            </w:tcBorders>
            <w:noWrap/>
            <w:vAlign w:val="center"/>
            <w:hideMark/>
          </w:tcPr>
          <w:p w14:paraId="5959B019"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17,70</w:t>
            </w:r>
          </w:p>
        </w:tc>
        <w:tc>
          <w:tcPr>
            <w:tcW w:w="1004" w:type="dxa"/>
            <w:tcBorders>
              <w:top w:val="nil"/>
              <w:left w:val="nil"/>
              <w:bottom w:val="single" w:sz="4" w:space="0" w:color="auto"/>
              <w:right w:val="single" w:sz="4" w:space="0" w:color="auto"/>
            </w:tcBorders>
            <w:noWrap/>
            <w:vAlign w:val="center"/>
            <w:hideMark/>
          </w:tcPr>
          <w:p w14:paraId="60C5998E"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87,57</w:t>
            </w:r>
          </w:p>
        </w:tc>
        <w:tc>
          <w:tcPr>
            <w:tcW w:w="1209" w:type="dxa"/>
            <w:tcBorders>
              <w:top w:val="nil"/>
              <w:left w:val="nil"/>
              <w:bottom w:val="single" w:sz="4" w:space="0" w:color="auto"/>
              <w:right w:val="single" w:sz="4" w:space="0" w:color="auto"/>
            </w:tcBorders>
            <w:noWrap/>
            <w:vAlign w:val="center"/>
            <w:hideMark/>
          </w:tcPr>
          <w:p w14:paraId="17A0BAB3"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val="vi-VN" w:eastAsia="zh-CN"/>
                <w14:ligatures w14:val="none"/>
              </w:rPr>
              <w:t>16,32</w:t>
            </w:r>
          </w:p>
        </w:tc>
        <w:tc>
          <w:tcPr>
            <w:tcW w:w="1082" w:type="dxa"/>
            <w:tcBorders>
              <w:top w:val="nil"/>
              <w:left w:val="nil"/>
              <w:bottom w:val="single" w:sz="4" w:space="0" w:color="auto"/>
              <w:right w:val="single" w:sz="4" w:space="0" w:color="auto"/>
            </w:tcBorders>
            <w:noWrap/>
            <w:vAlign w:val="center"/>
            <w:hideMark/>
          </w:tcPr>
          <w:p w14:paraId="0C271DE7"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107,87</w:t>
            </w:r>
          </w:p>
        </w:tc>
        <w:tc>
          <w:tcPr>
            <w:tcW w:w="1043" w:type="dxa"/>
            <w:tcBorders>
              <w:top w:val="nil"/>
              <w:left w:val="nil"/>
              <w:bottom w:val="single" w:sz="4" w:space="0" w:color="auto"/>
              <w:right w:val="single" w:sz="4" w:space="0" w:color="auto"/>
            </w:tcBorders>
            <w:noWrap/>
            <w:vAlign w:val="center"/>
            <w:hideMark/>
          </w:tcPr>
          <w:p w14:paraId="53B2D539"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val="vi-VN" w:eastAsia="zh-CN"/>
                <w14:ligatures w14:val="none"/>
              </w:rPr>
              <w:t>15,35</w:t>
            </w:r>
          </w:p>
        </w:tc>
        <w:tc>
          <w:tcPr>
            <w:tcW w:w="941" w:type="dxa"/>
            <w:tcBorders>
              <w:top w:val="nil"/>
              <w:left w:val="nil"/>
              <w:bottom w:val="single" w:sz="4" w:space="0" w:color="auto"/>
              <w:right w:val="single" w:sz="4" w:space="0" w:color="auto"/>
            </w:tcBorders>
            <w:noWrap/>
            <w:vAlign w:val="center"/>
            <w:hideMark/>
          </w:tcPr>
          <w:p w14:paraId="0EAACF4A"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16,22</w:t>
            </w:r>
          </w:p>
        </w:tc>
        <w:tc>
          <w:tcPr>
            <w:tcW w:w="980" w:type="dxa"/>
            <w:tcBorders>
              <w:top w:val="nil"/>
              <w:left w:val="nil"/>
              <w:bottom w:val="single" w:sz="4" w:space="0" w:color="auto"/>
              <w:right w:val="single" w:sz="4" w:space="0" w:color="auto"/>
            </w:tcBorders>
            <w:noWrap/>
            <w:vAlign w:val="center"/>
            <w:hideMark/>
          </w:tcPr>
          <w:p w14:paraId="49DF0CB8"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22,73</w:t>
            </w:r>
          </w:p>
        </w:tc>
        <w:tc>
          <w:tcPr>
            <w:tcW w:w="1005" w:type="dxa"/>
            <w:tcBorders>
              <w:top w:val="nil"/>
              <w:left w:val="nil"/>
              <w:bottom w:val="single" w:sz="4" w:space="0" w:color="auto"/>
              <w:right w:val="single" w:sz="4" w:space="0" w:color="auto"/>
            </w:tcBorders>
            <w:noWrap/>
            <w:vAlign w:val="center"/>
            <w:hideMark/>
          </w:tcPr>
          <w:p w14:paraId="0CF7C996"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20,30</w:t>
            </w:r>
          </w:p>
        </w:tc>
        <w:tc>
          <w:tcPr>
            <w:tcW w:w="916" w:type="dxa"/>
            <w:tcBorders>
              <w:top w:val="nil"/>
              <w:left w:val="nil"/>
              <w:bottom w:val="single" w:sz="4" w:space="0" w:color="auto"/>
              <w:right w:val="single" w:sz="4" w:space="0" w:color="auto"/>
            </w:tcBorders>
            <w:noWrap/>
            <w:vAlign w:val="center"/>
            <w:hideMark/>
          </w:tcPr>
          <w:p w14:paraId="18FD31B2"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23,18</w:t>
            </w:r>
          </w:p>
        </w:tc>
      </w:tr>
      <w:tr w:rsidR="00545BE9" w:rsidRPr="002B008A" w14:paraId="0FFD6645" w14:textId="77777777" w:rsidTr="00545BE9">
        <w:trPr>
          <w:trHeight w:val="170"/>
        </w:trPr>
        <w:tc>
          <w:tcPr>
            <w:tcW w:w="3887" w:type="dxa"/>
            <w:tcBorders>
              <w:top w:val="nil"/>
              <w:left w:val="single" w:sz="4" w:space="0" w:color="auto"/>
              <w:bottom w:val="single" w:sz="4" w:space="0" w:color="auto"/>
              <w:right w:val="single" w:sz="4" w:space="0" w:color="auto"/>
            </w:tcBorders>
            <w:noWrap/>
            <w:vAlign w:val="center"/>
            <w:hideMark/>
          </w:tcPr>
          <w:p w14:paraId="6F9DA173" w14:textId="77777777" w:rsidR="00545BE9" w:rsidRPr="002B008A" w:rsidRDefault="00545BE9" w:rsidP="00E2719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4. Nợ xấu</w:t>
            </w:r>
          </w:p>
        </w:tc>
        <w:tc>
          <w:tcPr>
            <w:tcW w:w="960" w:type="dxa"/>
            <w:tcBorders>
              <w:top w:val="single" w:sz="4" w:space="0" w:color="auto"/>
              <w:left w:val="nil"/>
              <w:bottom w:val="single" w:sz="4" w:space="0" w:color="auto"/>
              <w:right w:val="single" w:sz="4" w:space="0" w:color="auto"/>
            </w:tcBorders>
            <w:noWrap/>
            <w:vAlign w:val="center"/>
            <w:hideMark/>
          </w:tcPr>
          <w:p w14:paraId="0D47A700"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2,61</w:t>
            </w:r>
          </w:p>
        </w:tc>
        <w:tc>
          <w:tcPr>
            <w:tcW w:w="1209" w:type="dxa"/>
            <w:tcBorders>
              <w:top w:val="nil"/>
              <w:left w:val="nil"/>
              <w:bottom w:val="single" w:sz="4" w:space="0" w:color="auto"/>
              <w:right w:val="single" w:sz="4" w:space="0" w:color="auto"/>
            </w:tcBorders>
            <w:noWrap/>
            <w:vAlign w:val="center"/>
            <w:hideMark/>
          </w:tcPr>
          <w:p w14:paraId="10DE65F9"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1004" w:type="dxa"/>
            <w:tcBorders>
              <w:top w:val="nil"/>
              <w:left w:val="nil"/>
              <w:bottom w:val="single" w:sz="4" w:space="0" w:color="auto"/>
              <w:right w:val="single" w:sz="4" w:space="0" w:color="auto"/>
            </w:tcBorders>
            <w:noWrap/>
            <w:vAlign w:val="center"/>
            <w:hideMark/>
          </w:tcPr>
          <w:p w14:paraId="3EFAB30F"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3,33</w:t>
            </w:r>
          </w:p>
        </w:tc>
        <w:tc>
          <w:tcPr>
            <w:tcW w:w="1209" w:type="dxa"/>
            <w:tcBorders>
              <w:top w:val="nil"/>
              <w:left w:val="nil"/>
              <w:bottom w:val="single" w:sz="4" w:space="0" w:color="auto"/>
              <w:right w:val="single" w:sz="4" w:space="0" w:color="auto"/>
            </w:tcBorders>
            <w:noWrap/>
            <w:vAlign w:val="center"/>
            <w:hideMark/>
          </w:tcPr>
          <w:p w14:paraId="32B429BB"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1082" w:type="dxa"/>
            <w:tcBorders>
              <w:top w:val="nil"/>
              <w:left w:val="nil"/>
              <w:bottom w:val="single" w:sz="4" w:space="0" w:color="auto"/>
              <w:right w:val="single" w:sz="4" w:space="0" w:color="auto"/>
            </w:tcBorders>
            <w:noWrap/>
            <w:vAlign w:val="center"/>
            <w:hideMark/>
          </w:tcPr>
          <w:p w14:paraId="44B1B842"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4,98</w:t>
            </w:r>
          </w:p>
        </w:tc>
        <w:tc>
          <w:tcPr>
            <w:tcW w:w="1043" w:type="dxa"/>
            <w:tcBorders>
              <w:top w:val="nil"/>
              <w:left w:val="nil"/>
              <w:bottom w:val="single" w:sz="4" w:space="0" w:color="auto"/>
              <w:right w:val="single" w:sz="4" w:space="0" w:color="auto"/>
            </w:tcBorders>
            <w:noWrap/>
            <w:vAlign w:val="center"/>
            <w:hideMark/>
          </w:tcPr>
          <w:p w14:paraId="70F6A732"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100</w:t>
            </w:r>
          </w:p>
        </w:tc>
        <w:tc>
          <w:tcPr>
            <w:tcW w:w="941" w:type="dxa"/>
            <w:tcBorders>
              <w:top w:val="nil"/>
              <w:left w:val="nil"/>
              <w:bottom w:val="single" w:sz="4" w:space="0" w:color="auto"/>
              <w:right w:val="single" w:sz="4" w:space="0" w:color="auto"/>
            </w:tcBorders>
            <w:noWrap/>
            <w:vAlign w:val="center"/>
            <w:hideMark/>
          </w:tcPr>
          <w:p w14:paraId="41792698"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0,72</w:t>
            </w:r>
          </w:p>
        </w:tc>
        <w:tc>
          <w:tcPr>
            <w:tcW w:w="980" w:type="dxa"/>
            <w:tcBorders>
              <w:top w:val="nil"/>
              <w:left w:val="nil"/>
              <w:bottom w:val="single" w:sz="4" w:space="0" w:color="auto"/>
              <w:right w:val="single" w:sz="4" w:space="0" w:color="auto"/>
            </w:tcBorders>
            <w:noWrap/>
            <w:vAlign w:val="center"/>
            <w:hideMark/>
          </w:tcPr>
          <w:p w14:paraId="5FCA71C1"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27,59</w:t>
            </w:r>
          </w:p>
        </w:tc>
        <w:tc>
          <w:tcPr>
            <w:tcW w:w="1005" w:type="dxa"/>
            <w:tcBorders>
              <w:top w:val="nil"/>
              <w:left w:val="nil"/>
              <w:bottom w:val="single" w:sz="4" w:space="0" w:color="auto"/>
              <w:right w:val="single" w:sz="4" w:space="0" w:color="auto"/>
            </w:tcBorders>
            <w:noWrap/>
            <w:vAlign w:val="center"/>
            <w:hideMark/>
          </w:tcPr>
          <w:p w14:paraId="747ADF76"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1,65</w:t>
            </w:r>
          </w:p>
        </w:tc>
        <w:tc>
          <w:tcPr>
            <w:tcW w:w="916" w:type="dxa"/>
            <w:tcBorders>
              <w:top w:val="nil"/>
              <w:left w:val="nil"/>
              <w:bottom w:val="single" w:sz="4" w:space="0" w:color="auto"/>
              <w:right w:val="single" w:sz="4" w:space="0" w:color="auto"/>
            </w:tcBorders>
            <w:noWrap/>
            <w:vAlign w:val="center"/>
            <w:hideMark/>
          </w:tcPr>
          <w:p w14:paraId="28DBB6B7" w14:textId="77777777" w:rsidR="00545BE9" w:rsidRPr="002B008A" w:rsidRDefault="00545BE9" w:rsidP="00E2719E">
            <w:pPr>
              <w:spacing w:after="0" w:line="240" w:lineRule="auto"/>
              <w:jc w:val="right"/>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49,55</w:t>
            </w:r>
          </w:p>
        </w:tc>
      </w:tr>
      <w:tr w:rsidR="00545BE9" w:rsidRPr="002B008A" w14:paraId="53EFD52B"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07492C1A"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bằng tài sản</w:t>
            </w:r>
          </w:p>
        </w:tc>
        <w:tc>
          <w:tcPr>
            <w:tcW w:w="960" w:type="dxa"/>
            <w:tcBorders>
              <w:top w:val="nil"/>
              <w:left w:val="nil"/>
              <w:bottom w:val="nil"/>
              <w:right w:val="nil"/>
            </w:tcBorders>
            <w:vAlign w:val="center"/>
            <w:hideMark/>
          </w:tcPr>
          <w:p w14:paraId="1D2D9C6B"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1,87</w:t>
            </w:r>
          </w:p>
        </w:tc>
        <w:tc>
          <w:tcPr>
            <w:tcW w:w="1209" w:type="dxa"/>
            <w:tcBorders>
              <w:top w:val="nil"/>
              <w:left w:val="single" w:sz="4" w:space="0" w:color="auto"/>
              <w:bottom w:val="single" w:sz="4" w:space="0" w:color="auto"/>
              <w:right w:val="single" w:sz="4" w:space="0" w:color="auto"/>
            </w:tcBorders>
            <w:noWrap/>
            <w:vAlign w:val="center"/>
            <w:hideMark/>
          </w:tcPr>
          <w:p w14:paraId="79D66678"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71,65</w:t>
            </w:r>
          </w:p>
        </w:tc>
        <w:tc>
          <w:tcPr>
            <w:tcW w:w="1004" w:type="dxa"/>
            <w:tcBorders>
              <w:top w:val="nil"/>
              <w:left w:val="nil"/>
              <w:bottom w:val="nil"/>
              <w:right w:val="nil"/>
            </w:tcBorders>
            <w:vAlign w:val="center"/>
            <w:hideMark/>
          </w:tcPr>
          <w:p w14:paraId="3126133D"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2,32</w:t>
            </w:r>
          </w:p>
        </w:tc>
        <w:tc>
          <w:tcPr>
            <w:tcW w:w="1209" w:type="dxa"/>
            <w:tcBorders>
              <w:top w:val="nil"/>
              <w:left w:val="single" w:sz="4" w:space="0" w:color="auto"/>
              <w:bottom w:val="single" w:sz="4" w:space="0" w:color="auto"/>
              <w:right w:val="single" w:sz="4" w:space="0" w:color="auto"/>
            </w:tcBorders>
            <w:noWrap/>
            <w:vAlign w:val="center"/>
            <w:hideMark/>
          </w:tcPr>
          <w:p w14:paraId="1CBCD890"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69,67</w:t>
            </w:r>
          </w:p>
        </w:tc>
        <w:tc>
          <w:tcPr>
            <w:tcW w:w="1082" w:type="dxa"/>
            <w:tcBorders>
              <w:top w:val="nil"/>
              <w:left w:val="nil"/>
              <w:bottom w:val="nil"/>
              <w:right w:val="nil"/>
            </w:tcBorders>
            <w:vAlign w:val="center"/>
            <w:hideMark/>
          </w:tcPr>
          <w:p w14:paraId="13CCD825"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3,28</w:t>
            </w:r>
          </w:p>
        </w:tc>
        <w:tc>
          <w:tcPr>
            <w:tcW w:w="1043" w:type="dxa"/>
            <w:tcBorders>
              <w:top w:val="nil"/>
              <w:left w:val="single" w:sz="4" w:space="0" w:color="auto"/>
              <w:bottom w:val="single" w:sz="4" w:space="0" w:color="auto"/>
              <w:right w:val="single" w:sz="4" w:space="0" w:color="auto"/>
            </w:tcBorders>
            <w:noWrap/>
            <w:vAlign w:val="center"/>
            <w:hideMark/>
          </w:tcPr>
          <w:p w14:paraId="348CB006"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65,86</w:t>
            </w:r>
          </w:p>
        </w:tc>
        <w:tc>
          <w:tcPr>
            <w:tcW w:w="941" w:type="dxa"/>
            <w:tcBorders>
              <w:top w:val="nil"/>
              <w:left w:val="nil"/>
              <w:bottom w:val="single" w:sz="4" w:space="0" w:color="auto"/>
              <w:right w:val="single" w:sz="4" w:space="0" w:color="auto"/>
            </w:tcBorders>
            <w:noWrap/>
            <w:vAlign w:val="center"/>
            <w:hideMark/>
          </w:tcPr>
          <w:p w14:paraId="1449B2F2"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0,45</w:t>
            </w:r>
          </w:p>
        </w:tc>
        <w:tc>
          <w:tcPr>
            <w:tcW w:w="980" w:type="dxa"/>
            <w:tcBorders>
              <w:top w:val="nil"/>
              <w:left w:val="nil"/>
              <w:bottom w:val="single" w:sz="4" w:space="0" w:color="auto"/>
              <w:right w:val="single" w:sz="4" w:space="0" w:color="auto"/>
            </w:tcBorders>
            <w:noWrap/>
            <w:vAlign w:val="center"/>
            <w:hideMark/>
          </w:tcPr>
          <w:p w14:paraId="6A629C71"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24,06</w:t>
            </w:r>
          </w:p>
        </w:tc>
        <w:tc>
          <w:tcPr>
            <w:tcW w:w="1005" w:type="dxa"/>
            <w:tcBorders>
              <w:top w:val="nil"/>
              <w:left w:val="nil"/>
              <w:bottom w:val="single" w:sz="4" w:space="0" w:color="auto"/>
              <w:right w:val="single" w:sz="4" w:space="0" w:color="auto"/>
            </w:tcBorders>
            <w:noWrap/>
            <w:vAlign w:val="center"/>
            <w:hideMark/>
          </w:tcPr>
          <w:p w14:paraId="64189389"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0,96</w:t>
            </w:r>
          </w:p>
        </w:tc>
        <w:tc>
          <w:tcPr>
            <w:tcW w:w="916" w:type="dxa"/>
            <w:tcBorders>
              <w:top w:val="nil"/>
              <w:left w:val="nil"/>
              <w:bottom w:val="single" w:sz="4" w:space="0" w:color="auto"/>
              <w:right w:val="single" w:sz="4" w:space="0" w:color="auto"/>
            </w:tcBorders>
            <w:noWrap/>
            <w:vAlign w:val="center"/>
            <w:hideMark/>
          </w:tcPr>
          <w:p w14:paraId="1DE0CB9C"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41,38</w:t>
            </w:r>
          </w:p>
        </w:tc>
      </w:tr>
      <w:tr w:rsidR="00545BE9" w:rsidRPr="002B008A" w14:paraId="74CD325F"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32D1C6FC"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không bằng tài sản</w:t>
            </w:r>
          </w:p>
        </w:tc>
        <w:tc>
          <w:tcPr>
            <w:tcW w:w="960" w:type="dxa"/>
            <w:tcBorders>
              <w:top w:val="nil"/>
              <w:left w:val="nil"/>
              <w:bottom w:val="nil"/>
              <w:right w:val="nil"/>
            </w:tcBorders>
            <w:vAlign w:val="center"/>
            <w:hideMark/>
          </w:tcPr>
          <w:p w14:paraId="34CB8EC2"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0,74</w:t>
            </w:r>
          </w:p>
        </w:tc>
        <w:tc>
          <w:tcPr>
            <w:tcW w:w="1209" w:type="dxa"/>
            <w:tcBorders>
              <w:top w:val="nil"/>
              <w:left w:val="single" w:sz="4" w:space="0" w:color="auto"/>
              <w:bottom w:val="single" w:sz="4" w:space="0" w:color="auto"/>
              <w:right w:val="single" w:sz="4" w:space="0" w:color="auto"/>
            </w:tcBorders>
            <w:noWrap/>
            <w:vAlign w:val="center"/>
            <w:hideMark/>
          </w:tcPr>
          <w:p w14:paraId="003080D2"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28,35</w:t>
            </w:r>
          </w:p>
        </w:tc>
        <w:tc>
          <w:tcPr>
            <w:tcW w:w="1004" w:type="dxa"/>
            <w:tcBorders>
              <w:top w:val="nil"/>
              <w:left w:val="nil"/>
              <w:bottom w:val="nil"/>
              <w:right w:val="nil"/>
            </w:tcBorders>
            <w:vAlign w:val="center"/>
            <w:hideMark/>
          </w:tcPr>
          <w:p w14:paraId="5FCAB1AF"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1,01</w:t>
            </w:r>
          </w:p>
        </w:tc>
        <w:tc>
          <w:tcPr>
            <w:tcW w:w="1209" w:type="dxa"/>
            <w:tcBorders>
              <w:top w:val="nil"/>
              <w:left w:val="single" w:sz="4" w:space="0" w:color="auto"/>
              <w:bottom w:val="single" w:sz="4" w:space="0" w:color="auto"/>
              <w:right w:val="single" w:sz="4" w:space="0" w:color="auto"/>
            </w:tcBorders>
            <w:noWrap/>
            <w:vAlign w:val="center"/>
            <w:hideMark/>
          </w:tcPr>
          <w:p w14:paraId="7E0F65A8"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30,33</w:t>
            </w:r>
          </w:p>
        </w:tc>
        <w:tc>
          <w:tcPr>
            <w:tcW w:w="1082" w:type="dxa"/>
            <w:tcBorders>
              <w:top w:val="nil"/>
              <w:left w:val="nil"/>
              <w:bottom w:val="nil"/>
              <w:right w:val="nil"/>
            </w:tcBorders>
            <w:vAlign w:val="center"/>
            <w:hideMark/>
          </w:tcPr>
          <w:p w14:paraId="2FBBD984"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1,7</w:t>
            </w:r>
          </w:p>
        </w:tc>
        <w:tc>
          <w:tcPr>
            <w:tcW w:w="1043" w:type="dxa"/>
            <w:tcBorders>
              <w:top w:val="nil"/>
              <w:left w:val="single" w:sz="4" w:space="0" w:color="auto"/>
              <w:bottom w:val="single" w:sz="4" w:space="0" w:color="auto"/>
              <w:right w:val="single" w:sz="4" w:space="0" w:color="auto"/>
            </w:tcBorders>
            <w:noWrap/>
            <w:vAlign w:val="center"/>
            <w:hideMark/>
          </w:tcPr>
          <w:p w14:paraId="54945D9E"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34,14</w:t>
            </w:r>
          </w:p>
        </w:tc>
        <w:tc>
          <w:tcPr>
            <w:tcW w:w="941" w:type="dxa"/>
            <w:tcBorders>
              <w:top w:val="nil"/>
              <w:left w:val="nil"/>
              <w:bottom w:val="single" w:sz="4" w:space="0" w:color="auto"/>
              <w:right w:val="single" w:sz="4" w:space="0" w:color="auto"/>
            </w:tcBorders>
            <w:noWrap/>
            <w:vAlign w:val="center"/>
            <w:hideMark/>
          </w:tcPr>
          <w:p w14:paraId="5AD846DF"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0,27</w:t>
            </w:r>
          </w:p>
        </w:tc>
        <w:tc>
          <w:tcPr>
            <w:tcW w:w="980" w:type="dxa"/>
            <w:tcBorders>
              <w:top w:val="nil"/>
              <w:left w:val="nil"/>
              <w:bottom w:val="single" w:sz="4" w:space="0" w:color="auto"/>
              <w:right w:val="single" w:sz="4" w:space="0" w:color="auto"/>
            </w:tcBorders>
            <w:noWrap/>
            <w:vAlign w:val="center"/>
            <w:hideMark/>
          </w:tcPr>
          <w:p w14:paraId="3623B600"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36,49</w:t>
            </w:r>
          </w:p>
        </w:tc>
        <w:tc>
          <w:tcPr>
            <w:tcW w:w="1005" w:type="dxa"/>
            <w:tcBorders>
              <w:top w:val="nil"/>
              <w:left w:val="nil"/>
              <w:bottom w:val="single" w:sz="4" w:space="0" w:color="auto"/>
              <w:right w:val="single" w:sz="4" w:space="0" w:color="auto"/>
            </w:tcBorders>
            <w:noWrap/>
            <w:vAlign w:val="center"/>
            <w:hideMark/>
          </w:tcPr>
          <w:p w14:paraId="1309E170"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0,69</w:t>
            </w:r>
          </w:p>
        </w:tc>
        <w:tc>
          <w:tcPr>
            <w:tcW w:w="916" w:type="dxa"/>
            <w:tcBorders>
              <w:top w:val="nil"/>
              <w:left w:val="nil"/>
              <w:bottom w:val="single" w:sz="4" w:space="0" w:color="auto"/>
              <w:right w:val="single" w:sz="4" w:space="0" w:color="auto"/>
            </w:tcBorders>
            <w:noWrap/>
            <w:vAlign w:val="center"/>
            <w:hideMark/>
          </w:tcPr>
          <w:p w14:paraId="7D1A4B71" w14:textId="77777777" w:rsidR="00545BE9" w:rsidRPr="002B008A" w:rsidRDefault="00545BE9" w:rsidP="00E2719E">
            <w:pPr>
              <w:spacing w:after="0" w:line="240" w:lineRule="auto"/>
              <w:jc w:val="right"/>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68,32</w:t>
            </w:r>
          </w:p>
        </w:tc>
      </w:tr>
      <w:tr w:rsidR="00545BE9" w:rsidRPr="002B008A" w14:paraId="17ABBC84" w14:textId="77777777" w:rsidTr="00545BE9">
        <w:trPr>
          <w:trHeight w:val="170"/>
        </w:trPr>
        <w:tc>
          <w:tcPr>
            <w:tcW w:w="3887" w:type="dxa"/>
            <w:tcBorders>
              <w:top w:val="nil"/>
              <w:left w:val="single" w:sz="4" w:space="0" w:color="auto"/>
              <w:bottom w:val="single" w:sz="4" w:space="0" w:color="auto"/>
              <w:right w:val="single" w:sz="4" w:space="0" w:color="auto"/>
            </w:tcBorders>
            <w:noWrap/>
            <w:vAlign w:val="center"/>
            <w:hideMark/>
          </w:tcPr>
          <w:p w14:paraId="7F125E52" w14:textId="77777777" w:rsidR="00545BE9" w:rsidRPr="002B008A" w:rsidRDefault="00545BE9" w:rsidP="00E2719E">
            <w:pPr>
              <w:spacing w:after="0" w:line="240" w:lineRule="auto"/>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5. Tỷ lệ nợ xấu (%)</w:t>
            </w:r>
          </w:p>
        </w:tc>
        <w:tc>
          <w:tcPr>
            <w:tcW w:w="2169" w:type="dxa"/>
            <w:gridSpan w:val="2"/>
            <w:tcBorders>
              <w:top w:val="single" w:sz="4" w:space="0" w:color="auto"/>
              <w:left w:val="nil"/>
              <w:bottom w:val="single" w:sz="4" w:space="0" w:color="auto"/>
              <w:right w:val="single" w:sz="4" w:space="0" w:color="000000"/>
            </w:tcBorders>
            <w:noWrap/>
            <w:vAlign w:val="center"/>
            <w:hideMark/>
          </w:tcPr>
          <w:p w14:paraId="7EB95AB5"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0,65</w:t>
            </w:r>
          </w:p>
        </w:tc>
        <w:tc>
          <w:tcPr>
            <w:tcW w:w="2213" w:type="dxa"/>
            <w:gridSpan w:val="2"/>
            <w:tcBorders>
              <w:top w:val="single" w:sz="4" w:space="0" w:color="auto"/>
              <w:left w:val="nil"/>
              <w:bottom w:val="single" w:sz="4" w:space="0" w:color="auto"/>
              <w:right w:val="single" w:sz="4" w:space="0" w:color="000000"/>
            </w:tcBorders>
            <w:noWrap/>
            <w:vAlign w:val="center"/>
            <w:hideMark/>
          </w:tcPr>
          <w:p w14:paraId="27D9D9C0"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0,62</w:t>
            </w:r>
          </w:p>
        </w:tc>
        <w:tc>
          <w:tcPr>
            <w:tcW w:w="2125" w:type="dxa"/>
            <w:gridSpan w:val="2"/>
            <w:tcBorders>
              <w:top w:val="single" w:sz="4" w:space="0" w:color="auto"/>
              <w:left w:val="nil"/>
              <w:bottom w:val="single" w:sz="4" w:space="0" w:color="auto"/>
              <w:right w:val="single" w:sz="4" w:space="0" w:color="000000"/>
            </w:tcBorders>
            <w:noWrap/>
            <w:vAlign w:val="center"/>
            <w:hideMark/>
          </w:tcPr>
          <w:p w14:paraId="6B83684C"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4"/>
                <w:szCs w:val="24"/>
                <w:lang w:eastAsia="zh-CN"/>
                <w14:ligatures w14:val="none"/>
              </w:rPr>
              <w:t>0,71</w:t>
            </w:r>
          </w:p>
        </w:tc>
        <w:tc>
          <w:tcPr>
            <w:tcW w:w="3842" w:type="dxa"/>
            <w:gridSpan w:val="4"/>
            <w:vMerge w:val="restart"/>
            <w:tcBorders>
              <w:top w:val="single" w:sz="4" w:space="0" w:color="auto"/>
              <w:left w:val="single" w:sz="4" w:space="0" w:color="auto"/>
              <w:bottom w:val="single" w:sz="4" w:space="0" w:color="000000"/>
              <w:right w:val="single" w:sz="4" w:space="0" w:color="000000"/>
            </w:tcBorders>
            <w:noWrap/>
            <w:vAlign w:val="center"/>
            <w:hideMark/>
          </w:tcPr>
          <w:p w14:paraId="2B452BBD" w14:textId="77777777" w:rsidR="00545BE9" w:rsidRPr="002B008A" w:rsidRDefault="00545BE9" w:rsidP="00E2719E">
            <w:pPr>
              <w:spacing w:after="0" w:line="240" w:lineRule="auto"/>
              <w:jc w:val="center"/>
              <w:rPr>
                <w:rFonts w:ascii="Times New Roman" w:eastAsia="Times New Roman" w:hAnsi="Times New Roman" w:cs="Times New Roman"/>
                <w:b/>
                <w:bCs/>
                <w:color w:val="000000"/>
                <w:kern w:val="0"/>
                <w:sz w:val="26"/>
                <w:szCs w:val="26"/>
                <w:lang w:eastAsia="zh-CN"/>
                <w14:ligatures w14:val="none"/>
              </w:rPr>
            </w:pPr>
            <w:r w:rsidRPr="002B008A">
              <w:rPr>
                <w:rFonts w:ascii="Times New Roman" w:eastAsia="Times New Roman" w:hAnsi="Times New Roman" w:cs="Times New Roman"/>
                <w:b/>
                <w:bCs/>
                <w:color w:val="000000"/>
                <w:kern w:val="0"/>
                <w:sz w:val="26"/>
                <w:szCs w:val="26"/>
                <w:lang w:eastAsia="zh-CN"/>
                <w14:ligatures w14:val="none"/>
              </w:rPr>
              <w:t> </w:t>
            </w:r>
          </w:p>
        </w:tc>
      </w:tr>
      <w:tr w:rsidR="00545BE9" w:rsidRPr="002B008A" w14:paraId="223BC8DB"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326BD90A"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bằng tài sản</w:t>
            </w:r>
          </w:p>
        </w:tc>
        <w:tc>
          <w:tcPr>
            <w:tcW w:w="2169" w:type="dxa"/>
            <w:gridSpan w:val="2"/>
            <w:tcBorders>
              <w:top w:val="single" w:sz="4" w:space="0" w:color="auto"/>
              <w:left w:val="nil"/>
              <w:bottom w:val="single" w:sz="4" w:space="0" w:color="auto"/>
              <w:right w:val="single" w:sz="4" w:space="0" w:color="000000"/>
            </w:tcBorders>
            <w:noWrap/>
            <w:vAlign w:val="center"/>
            <w:hideMark/>
          </w:tcPr>
          <w:p w14:paraId="6E721A3D" w14:textId="77777777" w:rsidR="00545BE9" w:rsidRPr="002B008A" w:rsidRDefault="00545BE9" w:rsidP="00E2719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0,56</w:t>
            </w:r>
          </w:p>
        </w:tc>
        <w:tc>
          <w:tcPr>
            <w:tcW w:w="2213" w:type="dxa"/>
            <w:gridSpan w:val="2"/>
            <w:tcBorders>
              <w:top w:val="single" w:sz="4" w:space="0" w:color="auto"/>
              <w:left w:val="nil"/>
              <w:bottom w:val="single" w:sz="4" w:space="0" w:color="auto"/>
              <w:right w:val="single" w:sz="4" w:space="0" w:color="000000"/>
            </w:tcBorders>
            <w:noWrap/>
            <w:vAlign w:val="center"/>
            <w:hideMark/>
          </w:tcPr>
          <w:p w14:paraId="2A658C8C" w14:textId="77777777" w:rsidR="00545BE9" w:rsidRPr="002B008A" w:rsidRDefault="00545BE9" w:rsidP="00E2719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0,52</w:t>
            </w:r>
          </w:p>
        </w:tc>
        <w:tc>
          <w:tcPr>
            <w:tcW w:w="2125" w:type="dxa"/>
            <w:gridSpan w:val="2"/>
            <w:tcBorders>
              <w:top w:val="single" w:sz="4" w:space="0" w:color="auto"/>
              <w:left w:val="nil"/>
              <w:bottom w:val="single" w:sz="4" w:space="0" w:color="auto"/>
              <w:right w:val="single" w:sz="4" w:space="0" w:color="000000"/>
            </w:tcBorders>
            <w:noWrap/>
            <w:vAlign w:val="center"/>
            <w:hideMark/>
          </w:tcPr>
          <w:p w14:paraId="14CDB067" w14:textId="77777777" w:rsidR="00545BE9" w:rsidRPr="002B008A" w:rsidRDefault="00545BE9" w:rsidP="00E2719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0,55</w:t>
            </w:r>
          </w:p>
        </w:tc>
        <w:tc>
          <w:tcPr>
            <w:tcW w:w="3842" w:type="dxa"/>
            <w:gridSpan w:val="4"/>
            <w:vMerge/>
            <w:tcBorders>
              <w:top w:val="single" w:sz="4" w:space="0" w:color="auto"/>
              <w:left w:val="single" w:sz="4" w:space="0" w:color="auto"/>
              <w:bottom w:val="single" w:sz="4" w:space="0" w:color="000000"/>
              <w:right w:val="single" w:sz="4" w:space="0" w:color="000000"/>
            </w:tcBorders>
            <w:vAlign w:val="center"/>
            <w:hideMark/>
          </w:tcPr>
          <w:p w14:paraId="31F51538" w14:textId="77777777" w:rsidR="00545BE9" w:rsidRPr="002B008A" w:rsidRDefault="00545BE9" w:rsidP="00E2719E">
            <w:pPr>
              <w:spacing w:after="0" w:line="240" w:lineRule="auto"/>
              <w:rPr>
                <w:rFonts w:ascii="Times New Roman" w:eastAsia="Times New Roman" w:hAnsi="Times New Roman" w:cs="Times New Roman"/>
                <w:b/>
                <w:bCs/>
                <w:color w:val="000000"/>
                <w:kern w:val="0"/>
                <w:sz w:val="26"/>
                <w:szCs w:val="26"/>
                <w:lang w:eastAsia="zh-CN"/>
                <w14:ligatures w14:val="none"/>
              </w:rPr>
            </w:pPr>
          </w:p>
        </w:tc>
      </w:tr>
      <w:tr w:rsidR="00545BE9" w:rsidRPr="002B008A" w14:paraId="26D22997" w14:textId="77777777" w:rsidTr="00545BE9">
        <w:trPr>
          <w:trHeight w:val="170"/>
        </w:trPr>
        <w:tc>
          <w:tcPr>
            <w:tcW w:w="3887" w:type="dxa"/>
            <w:tcBorders>
              <w:top w:val="nil"/>
              <w:left w:val="single" w:sz="4" w:space="0" w:color="auto"/>
              <w:bottom w:val="single" w:sz="4" w:space="0" w:color="auto"/>
              <w:right w:val="single" w:sz="4" w:space="0" w:color="auto"/>
            </w:tcBorders>
            <w:vAlign w:val="center"/>
            <w:hideMark/>
          </w:tcPr>
          <w:p w14:paraId="6A954648" w14:textId="77777777" w:rsidR="00545BE9" w:rsidRPr="002B008A" w:rsidRDefault="00545BE9" w:rsidP="00E2719E">
            <w:pPr>
              <w:spacing w:after="0" w:line="240" w:lineRule="auto"/>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Cho vay đảm bảo không bằng tài sản</w:t>
            </w:r>
          </w:p>
        </w:tc>
        <w:tc>
          <w:tcPr>
            <w:tcW w:w="2169" w:type="dxa"/>
            <w:gridSpan w:val="2"/>
            <w:tcBorders>
              <w:top w:val="single" w:sz="4" w:space="0" w:color="auto"/>
              <w:left w:val="nil"/>
              <w:bottom w:val="single" w:sz="4" w:space="0" w:color="auto"/>
              <w:right w:val="single" w:sz="4" w:space="0" w:color="000000"/>
            </w:tcBorders>
            <w:noWrap/>
            <w:vAlign w:val="center"/>
            <w:hideMark/>
          </w:tcPr>
          <w:p w14:paraId="7BB6385B" w14:textId="77777777" w:rsidR="00545BE9" w:rsidRPr="002B008A" w:rsidRDefault="00545BE9" w:rsidP="00E2719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1,04</w:t>
            </w:r>
          </w:p>
        </w:tc>
        <w:tc>
          <w:tcPr>
            <w:tcW w:w="2213" w:type="dxa"/>
            <w:gridSpan w:val="2"/>
            <w:tcBorders>
              <w:top w:val="single" w:sz="4" w:space="0" w:color="auto"/>
              <w:left w:val="nil"/>
              <w:bottom w:val="single" w:sz="4" w:space="0" w:color="auto"/>
              <w:right w:val="single" w:sz="4" w:space="0" w:color="000000"/>
            </w:tcBorders>
            <w:noWrap/>
            <w:vAlign w:val="center"/>
            <w:hideMark/>
          </w:tcPr>
          <w:p w14:paraId="189CF319" w14:textId="77777777" w:rsidR="00545BE9" w:rsidRPr="002B008A" w:rsidRDefault="00545BE9" w:rsidP="00E2719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1,15</w:t>
            </w:r>
          </w:p>
        </w:tc>
        <w:tc>
          <w:tcPr>
            <w:tcW w:w="2125" w:type="dxa"/>
            <w:gridSpan w:val="2"/>
            <w:tcBorders>
              <w:top w:val="single" w:sz="4" w:space="0" w:color="auto"/>
              <w:left w:val="nil"/>
              <w:bottom w:val="single" w:sz="4" w:space="0" w:color="auto"/>
              <w:right w:val="single" w:sz="4" w:space="0" w:color="000000"/>
            </w:tcBorders>
            <w:noWrap/>
            <w:vAlign w:val="center"/>
            <w:hideMark/>
          </w:tcPr>
          <w:p w14:paraId="5826B942" w14:textId="77777777" w:rsidR="00545BE9" w:rsidRPr="002B008A" w:rsidRDefault="00545BE9" w:rsidP="00E2719E">
            <w:pPr>
              <w:spacing w:after="0" w:line="240" w:lineRule="auto"/>
              <w:jc w:val="center"/>
              <w:rPr>
                <w:rFonts w:ascii="Times New Roman" w:eastAsia="Times New Roman" w:hAnsi="Times New Roman" w:cs="Times New Roman"/>
                <w:color w:val="000000"/>
                <w:kern w:val="0"/>
                <w:sz w:val="26"/>
                <w:szCs w:val="26"/>
                <w:lang w:eastAsia="zh-CN"/>
                <w14:ligatures w14:val="none"/>
              </w:rPr>
            </w:pPr>
            <w:r w:rsidRPr="002B008A">
              <w:rPr>
                <w:rFonts w:ascii="Times New Roman" w:eastAsia="Times New Roman" w:hAnsi="Times New Roman" w:cs="Times New Roman"/>
                <w:color w:val="000000"/>
                <w:kern w:val="0"/>
                <w:sz w:val="24"/>
                <w:szCs w:val="24"/>
                <w:lang w:eastAsia="zh-CN"/>
                <w14:ligatures w14:val="none"/>
              </w:rPr>
              <w:t>1,58</w:t>
            </w:r>
          </w:p>
        </w:tc>
        <w:tc>
          <w:tcPr>
            <w:tcW w:w="3842" w:type="dxa"/>
            <w:gridSpan w:val="4"/>
            <w:vMerge/>
            <w:tcBorders>
              <w:top w:val="single" w:sz="4" w:space="0" w:color="auto"/>
              <w:left w:val="single" w:sz="4" w:space="0" w:color="auto"/>
              <w:bottom w:val="single" w:sz="4" w:space="0" w:color="000000"/>
              <w:right w:val="single" w:sz="4" w:space="0" w:color="000000"/>
            </w:tcBorders>
            <w:vAlign w:val="center"/>
            <w:hideMark/>
          </w:tcPr>
          <w:p w14:paraId="609DF523" w14:textId="77777777" w:rsidR="00545BE9" w:rsidRPr="002B008A" w:rsidRDefault="00545BE9" w:rsidP="00E2719E">
            <w:pPr>
              <w:spacing w:after="0" w:line="240" w:lineRule="auto"/>
              <w:rPr>
                <w:rFonts w:ascii="Times New Roman" w:eastAsia="Times New Roman" w:hAnsi="Times New Roman" w:cs="Times New Roman"/>
                <w:b/>
                <w:bCs/>
                <w:color w:val="000000"/>
                <w:kern w:val="0"/>
                <w:sz w:val="26"/>
                <w:szCs w:val="26"/>
                <w:lang w:eastAsia="zh-CN"/>
                <w14:ligatures w14:val="none"/>
              </w:rPr>
            </w:pPr>
          </w:p>
        </w:tc>
      </w:tr>
    </w:tbl>
    <w:p w14:paraId="2238029E" w14:textId="77777777" w:rsidR="00545BE9" w:rsidRPr="002B008A" w:rsidRDefault="00545BE9" w:rsidP="00545BE9">
      <w:pPr>
        <w:tabs>
          <w:tab w:val="left" w:pos="6210"/>
        </w:tabs>
        <w:spacing w:after="0" w:line="360" w:lineRule="auto"/>
        <w:ind w:right="260" w:firstLine="567"/>
        <w:jc w:val="right"/>
        <w:rPr>
          <w:rFonts w:ascii="Times New Roman" w:hAnsi="Times New Roman" w:cs="Times New Roman"/>
          <w:i/>
          <w:iCs/>
          <w:color w:val="000000" w:themeColor="text1"/>
          <w:sz w:val="26"/>
          <w:szCs w:val="26"/>
          <w:lang w:val="vi"/>
        </w:rPr>
        <w:sectPr w:rsidR="00545BE9" w:rsidRPr="002B008A" w:rsidSect="00545BE9">
          <w:pgSz w:w="16838" w:h="11906" w:orient="landscape" w:code="9"/>
          <w:pgMar w:top="1134" w:right="1134" w:bottom="1134" w:left="1701" w:header="720" w:footer="720" w:gutter="0"/>
          <w:cols w:space="720"/>
          <w:docGrid w:linePitch="360"/>
        </w:sectPr>
      </w:pPr>
      <w:r w:rsidRPr="002B008A">
        <w:rPr>
          <w:rFonts w:ascii="Times New Roman" w:eastAsia="Times New Roman" w:hAnsi="Times New Roman" w:cs="Times New Roman"/>
          <w:i/>
          <w:iCs/>
          <w:color w:val="000000"/>
          <w:kern w:val="0"/>
          <w:sz w:val="26"/>
          <w:szCs w:val="26"/>
          <w:lang w:val="vi-VN"/>
          <w14:ligatures w14:val="none"/>
        </w:rPr>
        <w:t>(Nguồn: Báo cáo tài chính Ngân hàng TMCP Quân đội - Chi Nhánh Đà Nẵng giai đoạn 2023 - 2025)</w:t>
      </w:r>
    </w:p>
    <w:p w14:paraId="17B3CA96" w14:textId="76545DCE" w:rsidR="00D47274" w:rsidRPr="002B008A" w:rsidRDefault="00D47274" w:rsidP="00545BE9">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lastRenderedPageBreak/>
        <w:t xml:space="preserve">Xét theo tiêu chí tài sản bảo đảm, cho vay có tài sản bảo đảm chiếm tỷ trọng chủ đạo khoảng 82%, tăng từ 254,13 tỷ đồng năm 2023 lên 427,58 tỷ đồng năm 2025. Quy mô của nhóm này thường cao hơn do ngân hàng có thể căn cứ vào giá trị tài sản để xác định hạn mức cấp tín dụng, từ đó tạo điều kiện để khách hàng tiếp cận khoản </w:t>
      </w:r>
      <w:r w:rsidR="00B9784C" w:rsidRPr="002B008A">
        <w:rPr>
          <w:rFonts w:ascii="Times New Roman" w:hAnsi="Times New Roman" w:cs="Times New Roman"/>
          <w:color w:val="000000" w:themeColor="text1"/>
          <w:sz w:val="26"/>
          <w:szCs w:val="26"/>
          <w:lang w:val="vi"/>
        </w:rPr>
        <w:t xml:space="preserve">cho </w:t>
      </w:r>
      <w:r w:rsidRPr="002B008A">
        <w:rPr>
          <w:rFonts w:ascii="Times New Roman" w:hAnsi="Times New Roman" w:cs="Times New Roman"/>
          <w:color w:val="000000" w:themeColor="text1"/>
          <w:sz w:val="26"/>
          <w:szCs w:val="26"/>
          <w:lang w:val="vi"/>
        </w:rPr>
        <w:t xml:space="preserve">vay lớn và thời hạn dài hơn. Thực tế, ngân hàng ưu tiên các tài sản như bất động sản, ô tô và giấy tờ có giá do có tính pháp lý rõ ràng và thuận lợi trong xử lý khi phát sinh rủi ro. Tuy nhiên, tài sản bảo đảm chủ yếu đóng vai trò hỗ trợ thu hồi nợ, còn khả năng trả nợ vẫn phụ thuộc chủ yếu vào dòng tiền từ hoạt động SXKD của khách hàng. Ngược lại, cho vay không có tài sản bảo đảm chiếm khoảng 18%, với quy mô nhỏ hơn do ngân hàng phải giới hạn hạn mức nhằm kiểm soát rủi ro. Các khoản </w:t>
      </w:r>
      <w:r w:rsidR="00B9784C" w:rsidRPr="002B008A">
        <w:rPr>
          <w:rFonts w:ascii="Times New Roman" w:hAnsi="Times New Roman" w:cs="Times New Roman"/>
          <w:color w:val="000000" w:themeColor="text1"/>
          <w:sz w:val="26"/>
          <w:szCs w:val="26"/>
          <w:lang w:val="vi"/>
        </w:rPr>
        <w:t xml:space="preserve">cho </w:t>
      </w:r>
      <w:r w:rsidRPr="002B008A">
        <w:rPr>
          <w:rFonts w:ascii="Times New Roman" w:hAnsi="Times New Roman" w:cs="Times New Roman"/>
          <w:color w:val="000000" w:themeColor="text1"/>
          <w:sz w:val="26"/>
          <w:szCs w:val="26"/>
          <w:lang w:val="vi"/>
        </w:rPr>
        <w:t>vay này chủ yếu được xét duyệt dựa trên lịch sử tín dụng, hồ sơ tài chính và khả năng tạo dòng tiền thực tế của khách hàng.</w:t>
      </w:r>
    </w:p>
    <w:p w14:paraId="0A968EFB" w14:textId="77777777" w:rsidR="000135BD" w:rsidRPr="002B008A" w:rsidRDefault="00A6118D" w:rsidP="00D47274">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 xml:space="preserve">Về thu nợ, doanh số thu nợ tăng từ 214,34 tỷ đồng năm 2023 lên 283,91 tỷ đồng năm 2024 và đạt 346,48 tỷ đồng năm 2025. Điều này cho thấy mặc dù công tác thu nợ vẫn duy trì tăng trưởng qua các năm nhưng hiệu quả thu hồi vốn chưa thực sự ổn định. </w:t>
      </w:r>
      <w:r w:rsidR="000135BD" w:rsidRPr="002B008A">
        <w:rPr>
          <w:rFonts w:ascii="Times New Roman" w:hAnsi="Times New Roman" w:cs="Times New Roman"/>
          <w:color w:val="000000" w:themeColor="text1"/>
          <w:sz w:val="26"/>
          <w:szCs w:val="26"/>
          <w:lang w:val="vi"/>
        </w:rPr>
        <w:t>Doanh số th</w:t>
      </w:r>
      <w:r w:rsidRPr="002B008A">
        <w:rPr>
          <w:rFonts w:ascii="Times New Roman" w:hAnsi="Times New Roman" w:cs="Times New Roman"/>
          <w:color w:val="000000" w:themeColor="text1"/>
          <w:sz w:val="26"/>
          <w:szCs w:val="26"/>
          <w:lang w:val="vi"/>
        </w:rPr>
        <w:t>u nợ từ các khoản cho vay có tài sản đảm bảo chiếm khoảng 80-81%, cho thấy khả năng thu hồi vốn tốt hơn nhờ có tài sản ràng buộc. Thực tế, nhiều khách hàng bán hàng theo hình thức công nợ, phổ biến trong lĩnh vực thương mại và phân phối, khiến thời gian thu tiền kéo dài. Trong khi đó, chi phí đầu vào như nhập hàng, thuê mặt bằng phải thanh toán ngay. Sự lệch pha này làm giảm tốc độ quay vòng vốn và ảnh hưởng đến khả năng trả nợ đúng hạn.</w:t>
      </w:r>
      <w:r w:rsidR="00D47274" w:rsidRPr="002B008A">
        <w:rPr>
          <w:rFonts w:ascii="Times New Roman" w:hAnsi="Times New Roman" w:cs="Times New Roman"/>
          <w:color w:val="000000" w:themeColor="text1"/>
          <w:sz w:val="26"/>
          <w:szCs w:val="26"/>
          <w:lang w:val="vi"/>
        </w:rPr>
        <w:t xml:space="preserve">Dư nợ cho vay SXKD đối với KHCN tăng từ 403,17 tỷ đồng năm 2023 lên 536,54 tỷ đồng năm 2024 và đạt 702,79 tỷ đồng năm 2025, qua đó có thể thấy quy mô tín dụng tiếp tục mở rộng. </w:t>
      </w:r>
    </w:p>
    <w:p w14:paraId="3FD5D90A" w14:textId="1F90A1A9" w:rsidR="00D47274" w:rsidRPr="002B008A" w:rsidRDefault="00D47274" w:rsidP="00D47274">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Xét theo cơ cấu, dư nợ có tài sản bảo đảm chiếm khoảng từ 82–85%, thể hiện xu hướng cấp tín dụng vẫn chủ yếu dựa trên tài sản bảo đảm. Tuy nhiên, điều này không đồng nghĩa với mức độ an toàn cao hơn mà chủ yếu tạo thêm cơ sở xử lý khi rủi ro phát sinh. Khi hàng hóa tiêu thụ chậm, tồn kho tăng và các khoản phải thu kéo dài, khách hàng thường phải tiếp tục vay bổ sung để duy trì hoạt động kinh doanh, từ đó làm gia tăng dư nợ và kéo dài chu kỳ tín dụng. Ngược lại, dư nợ không có tài sản bảo đảm chiếm khoảng từ 15–18%, dù quy mô nhỏ hơn nhưng nhạy cảm hơn với biến động dòng tiền và dễ phát sinh rủi ro.</w:t>
      </w:r>
    </w:p>
    <w:p w14:paraId="09F42C3A" w14:textId="73E715D4" w:rsidR="00D47274" w:rsidRPr="002B008A" w:rsidRDefault="00D47274" w:rsidP="00D47274">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lastRenderedPageBreak/>
        <w:t>Sự khác biệt giữa hai nhóm khoản</w:t>
      </w:r>
      <w:r w:rsidR="00B9784C" w:rsidRPr="002B008A">
        <w:rPr>
          <w:rFonts w:ascii="Times New Roman" w:hAnsi="Times New Roman" w:cs="Times New Roman"/>
          <w:color w:val="000000" w:themeColor="text1"/>
          <w:sz w:val="26"/>
          <w:szCs w:val="26"/>
          <w:lang w:val="vi"/>
        </w:rPr>
        <w:t xml:space="preserve"> cho</w:t>
      </w:r>
      <w:r w:rsidRPr="002B008A">
        <w:rPr>
          <w:rFonts w:ascii="Times New Roman" w:hAnsi="Times New Roman" w:cs="Times New Roman"/>
          <w:color w:val="000000" w:themeColor="text1"/>
          <w:sz w:val="26"/>
          <w:szCs w:val="26"/>
          <w:lang w:val="vi"/>
        </w:rPr>
        <w:t xml:space="preserve"> vay được thể hiện rõ hơn qua chất lượng tín dụng. Nợ xấu tăng từ 2,61 tỷ đồng năm 2023 lên 3,33 tỷ đồng năm 2024 và </w:t>
      </w:r>
      <w:r w:rsidR="000135BD" w:rsidRPr="002B008A">
        <w:rPr>
          <w:rFonts w:ascii="Times New Roman" w:hAnsi="Times New Roman" w:cs="Times New Roman"/>
          <w:color w:val="000000" w:themeColor="text1"/>
          <w:sz w:val="26"/>
          <w:szCs w:val="26"/>
          <w:lang w:val="vi"/>
        </w:rPr>
        <w:t>lên</w:t>
      </w:r>
      <w:r w:rsidRPr="002B008A">
        <w:rPr>
          <w:rFonts w:ascii="Times New Roman" w:hAnsi="Times New Roman" w:cs="Times New Roman"/>
          <w:color w:val="000000" w:themeColor="text1"/>
          <w:sz w:val="26"/>
          <w:szCs w:val="26"/>
          <w:lang w:val="vi"/>
        </w:rPr>
        <w:t xml:space="preserve"> 4,98 tỷ đồng năm 2025, trong khi tỷ lệ nợ xấu tăng từ 0,65% lên 0,71%. Xét theo cơ cấu, nợ xấu ở các khoản </w:t>
      </w:r>
      <w:r w:rsidR="00B9784C" w:rsidRPr="002B008A">
        <w:rPr>
          <w:rFonts w:ascii="Times New Roman" w:hAnsi="Times New Roman" w:cs="Times New Roman"/>
          <w:color w:val="000000" w:themeColor="text1"/>
          <w:sz w:val="26"/>
          <w:szCs w:val="26"/>
          <w:lang w:val="vi"/>
        </w:rPr>
        <w:t xml:space="preserve">cho </w:t>
      </w:r>
      <w:r w:rsidRPr="002B008A">
        <w:rPr>
          <w:rFonts w:ascii="Times New Roman" w:hAnsi="Times New Roman" w:cs="Times New Roman"/>
          <w:color w:val="000000" w:themeColor="text1"/>
          <w:sz w:val="26"/>
          <w:szCs w:val="26"/>
          <w:lang w:val="vi"/>
        </w:rPr>
        <w:t xml:space="preserve">vay có tài sản bảo đảm chiếm khoảng 66–72% do quy mô dư nợ lớn. Tuy nhiên, xét về tỷ lệ nợ xấu, nhóm không có tài sản bảo đảm luôn cao hơn, tăng từ 1,04% lên 1,58%, trong khi nhóm có tài sản bảo đảm chỉ dao động khoảng </w:t>
      </w:r>
      <w:r w:rsidR="002A23FD" w:rsidRPr="002B008A">
        <w:rPr>
          <w:rFonts w:ascii="Times New Roman" w:hAnsi="Times New Roman" w:cs="Times New Roman"/>
          <w:color w:val="000000" w:themeColor="text1"/>
          <w:sz w:val="26"/>
          <w:szCs w:val="26"/>
          <w:lang w:val="vi"/>
        </w:rPr>
        <w:t xml:space="preserve">từ </w:t>
      </w:r>
      <w:r w:rsidRPr="002B008A">
        <w:rPr>
          <w:rFonts w:ascii="Times New Roman" w:hAnsi="Times New Roman" w:cs="Times New Roman"/>
          <w:color w:val="000000" w:themeColor="text1"/>
          <w:sz w:val="26"/>
          <w:szCs w:val="26"/>
          <w:lang w:val="vi"/>
        </w:rPr>
        <w:t xml:space="preserve">0,52–0,56%. Thực trạng này cho thấy rủi ro tín dụng thực chất bắt nguồn từ sự đứt gãy dòng tiền kinh doanh hơn là sự hiện diện của tài sản thế chấp. Đối với nhóm không có tài sản bảo đảm, khi phát sinh tình trạng bán chịu, tồn kho tăng hoặc chi phí đầu vào biến động, </w:t>
      </w:r>
      <w:r w:rsidR="00AD0071" w:rsidRPr="002B008A">
        <w:rPr>
          <w:rFonts w:ascii="Times New Roman" w:hAnsi="Times New Roman" w:cs="Times New Roman"/>
          <w:color w:val="000000" w:themeColor="text1"/>
          <w:sz w:val="26"/>
          <w:szCs w:val="26"/>
          <w:lang w:val="vi"/>
        </w:rPr>
        <w:t xml:space="preserve">khả năng cân đối nguồn trả nợ của khách hàng sẽ suy giảm, từ đó làm tăng nguy cơ phát sinh nợ quá </w:t>
      </w:r>
      <w:r w:rsidR="001D4A1C" w:rsidRPr="002B008A">
        <w:rPr>
          <w:rFonts w:ascii="Times New Roman" w:hAnsi="Times New Roman" w:cs="Times New Roman"/>
          <w:color w:val="000000" w:themeColor="text1"/>
          <w:sz w:val="26"/>
          <w:szCs w:val="26"/>
          <w:lang w:val="vi"/>
        </w:rPr>
        <w:t xml:space="preserve">hạn, </w:t>
      </w:r>
      <w:r w:rsidRPr="002B008A">
        <w:rPr>
          <w:rFonts w:ascii="Times New Roman" w:hAnsi="Times New Roman" w:cs="Times New Roman"/>
          <w:color w:val="000000" w:themeColor="text1"/>
          <w:sz w:val="26"/>
          <w:szCs w:val="26"/>
          <w:lang w:val="vi"/>
        </w:rPr>
        <w:t xml:space="preserve">việc không có tài sản ràng buộc cũng làm giảm áp lực trả nợ và gia tăng rủi ro tín dụng. Trong khi đó, đối với các khoản </w:t>
      </w:r>
      <w:r w:rsidR="00B9784C" w:rsidRPr="002B008A">
        <w:rPr>
          <w:rFonts w:ascii="Times New Roman" w:hAnsi="Times New Roman" w:cs="Times New Roman"/>
          <w:color w:val="000000" w:themeColor="text1"/>
          <w:sz w:val="26"/>
          <w:szCs w:val="26"/>
          <w:lang w:val="vi"/>
        </w:rPr>
        <w:t xml:space="preserve">cho </w:t>
      </w:r>
      <w:r w:rsidRPr="002B008A">
        <w:rPr>
          <w:rFonts w:ascii="Times New Roman" w:hAnsi="Times New Roman" w:cs="Times New Roman"/>
          <w:color w:val="000000" w:themeColor="text1"/>
          <w:sz w:val="26"/>
          <w:szCs w:val="26"/>
          <w:lang w:val="vi"/>
        </w:rPr>
        <w:t>vay có tài sản bảo đảm, khách hàng thường có xu hướng ưu tiên trả nợ để tránh mất tài sản, đồng thời ngân hàng có thêm công cụ xử lý khi rủi ro xảy ra nên mức độ rủi ro được kiểm soát tốt hơn.</w:t>
      </w:r>
    </w:p>
    <w:p w14:paraId="630A45F4" w14:textId="5604299F" w:rsidR="00D47274" w:rsidRPr="002B008A" w:rsidRDefault="00D47274" w:rsidP="00D47274">
      <w:pPr>
        <w:tabs>
          <w:tab w:val="left" w:pos="6210"/>
        </w:tabs>
        <w:spacing w:after="0" w:line="360" w:lineRule="auto"/>
        <w:ind w:firstLine="567"/>
        <w:jc w:val="both"/>
        <w:rPr>
          <w:rFonts w:ascii="Times New Roman" w:hAnsi="Times New Roman" w:cs="Times New Roman"/>
          <w:color w:val="000000" w:themeColor="text1"/>
          <w:sz w:val="26"/>
          <w:szCs w:val="26"/>
          <w:lang w:val="vi"/>
        </w:rPr>
      </w:pPr>
      <w:r w:rsidRPr="002B008A">
        <w:rPr>
          <w:rFonts w:ascii="Times New Roman" w:hAnsi="Times New Roman" w:cs="Times New Roman"/>
          <w:color w:val="000000" w:themeColor="text1"/>
          <w:sz w:val="26"/>
          <w:szCs w:val="26"/>
          <w:lang w:val="vi"/>
        </w:rPr>
        <w:t>Tóm lại, dù quy mô giải ngân tăng khá mạnh, chất lượng danh mục tín dụng vẫn bộc lộ sự chênh lệch giữa mức độ an toàn từ tài sản bảo đảm và rủi ro thực tế xuất phát từ biến động dòng tiền của KHCN. Diễn biến này cho thấy hiệu quả tín dụng không chỉ phụ thuộc vào quy mô mở rộng cho vay mà còn phụ thuộc lớn vào khả năng kiểm soát dòng tiền và chất lượng giám sát sau cho vay của chi nhánh.</w:t>
      </w:r>
    </w:p>
    <w:p w14:paraId="4710BAAD" w14:textId="6B4481F7" w:rsidR="0032459F" w:rsidRPr="002B008A" w:rsidRDefault="0032459F" w:rsidP="004E66A4">
      <w:pPr>
        <w:pStyle w:val="ListParagraph"/>
        <w:numPr>
          <w:ilvl w:val="0"/>
          <w:numId w:val="4"/>
        </w:numPr>
        <w:tabs>
          <w:tab w:val="left" w:pos="851"/>
        </w:tabs>
        <w:spacing w:after="0" w:line="360" w:lineRule="auto"/>
        <w:ind w:left="0"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b/>
          <w:bCs/>
          <w:color w:val="000000" w:themeColor="text1"/>
          <w:sz w:val="26"/>
          <w:szCs w:val="26"/>
          <w:lang w:val="vi-VN"/>
        </w:rPr>
        <w:t xml:space="preserve">Vòng quay vốn dụng trong hoạt động cho vay sản xuất kinh doanh đối với khách hàng cá nhân tại Ngân hàng TMCP Quân đội – Chi nhánh Đà </w:t>
      </w:r>
      <w:r w:rsidR="00A03CAB" w:rsidRPr="002B008A">
        <w:rPr>
          <w:rFonts w:ascii="Times New Roman" w:hAnsi="Times New Roman" w:cs="Times New Roman"/>
          <w:b/>
          <w:bCs/>
          <w:color w:val="000000" w:themeColor="text1"/>
          <w:sz w:val="26"/>
          <w:szCs w:val="26"/>
          <w:lang w:val="vi-VN"/>
        </w:rPr>
        <w:t>Nẵng.</w:t>
      </w:r>
    </w:p>
    <w:p w14:paraId="4ED095C6" w14:textId="37B1FCDA" w:rsidR="0032459F" w:rsidRPr="002B008A" w:rsidRDefault="0032459F" w:rsidP="0001033E">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Trên cơ sở số liệu về doanh số thu nợ và dư nợ bình quân, vòng quay vốn tín dụng là chỉ tiêu giúp phản ánh rõ hơn hiệu quả sử dụng vốn trong hoạt động cho vay </w:t>
      </w:r>
      <w:r w:rsidR="000F71E3" w:rsidRPr="002B008A">
        <w:rPr>
          <w:rFonts w:ascii="Times New Roman" w:hAnsi="Times New Roman" w:cs="Times New Roman"/>
          <w:color w:val="000000" w:themeColor="text1"/>
          <w:sz w:val="26"/>
          <w:szCs w:val="26"/>
          <w:lang w:val="vi-VN"/>
        </w:rPr>
        <w:t>SXKD đối với KHCN</w:t>
      </w:r>
      <w:r w:rsidRPr="002B008A">
        <w:rPr>
          <w:rFonts w:ascii="Times New Roman" w:hAnsi="Times New Roman" w:cs="Times New Roman"/>
          <w:color w:val="000000" w:themeColor="text1"/>
          <w:sz w:val="26"/>
          <w:szCs w:val="26"/>
          <w:lang w:val="vi-VN"/>
        </w:rPr>
        <w:t xml:space="preserve"> Chỉ tiêu này cho thấy tốc độ luân chuyển vốn cũng như khả năng thu hồi vốn của ngân hàng qua từng năm. Dựa vào bảng 2.</w:t>
      </w:r>
      <w:r w:rsidR="00AF3CEE" w:rsidRPr="002B008A">
        <w:rPr>
          <w:rFonts w:ascii="Times New Roman" w:hAnsi="Times New Roman" w:cs="Times New Roman"/>
          <w:color w:val="000000" w:themeColor="text1"/>
          <w:sz w:val="26"/>
          <w:szCs w:val="26"/>
          <w:lang w:val="vi-VN"/>
        </w:rPr>
        <w:t>10,</w:t>
      </w:r>
      <w:r w:rsidRPr="002B008A">
        <w:rPr>
          <w:rFonts w:ascii="Times New Roman" w:hAnsi="Times New Roman" w:cs="Times New Roman"/>
          <w:color w:val="000000" w:themeColor="text1"/>
          <w:sz w:val="26"/>
          <w:szCs w:val="26"/>
          <w:lang w:val="vi-VN"/>
        </w:rPr>
        <w:t xml:space="preserve"> có thể thấy sự biến động của vòng quay vốn tín dụng trong giai đoạn 2023–2025, qua đó phần nào đánh giá được hiệu quả hoạt động cho vay sản xuất kinh doanh tại chi nhánh.</w:t>
      </w:r>
    </w:p>
    <w:p w14:paraId="488E5A1D" w14:textId="77777777" w:rsidR="007E5520" w:rsidRPr="002B008A" w:rsidRDefault="007E5520">
      <w:pPr>
        <w:rPr>
          <w:rFonts w:ascii="Times New Roman" w:hAnsi="Times New Roman" w:cs="Times New Roman"/>
          <w:b/>
          <w:bCs/>
          <w:sz w:val="26"/>
          <w:szCs w:val="26"/>
          <w:lang w:val="vi-VN" w:bidi="th-TH"/>
        </w:rPr>
      </w:pPr>
      <w:r w:rsidRPr="002B008A">
        <w:rPr>
          <w:rFonts w:ascii="Times New Roman" w:hAnsi="Times New Roman" w:cs="Times New Roman"/>
          <w:b/>
          <w:bCs/>
          <w:i/>
          <w:iCs/>
          <w:sz w:val="26"/>
          <w:szCs w:val="26"/>
          <w:lang w:val="vi-VN"/>
        </w:rPr>
        <w:br w:type="page"/>
      </w:r>
    </w:p>
    <w:p w14:paraId="2878A44A" w14:textId="2548FA4F" w:rsidR="00545BE9" w:rsidRPr="00545BE9" w:rsidRDefault="00EB0E27" w:rsidP="00545BE9">
      <w:pPr>
        <w:pStyle w:val="Caption"/>
        <w:spacing w:after="0" w:line="360" w:lineRule="auto"/>
        <w:ind w:firstLine="0"/>
        <w:jc w:val="center"/>
        <w:rPr>
          <w:rFonts w:ascii="Times New Roman" w:hAnsi="Times New Roman" w:cs="Times New Roman"/>
          <w:b/>
          <w:bCs/>
          <w:i w:val="0"/>
          <w:iCs w:val="0"/>
          <w:color w:val="000000" w:themeColor="text1"/>
          <w:sz w:val="26"/>
          <w:szCs w:val="26"/>
          <w:lang w:val="vi-VN"/>
        </w:rPr>
      </w:pPr>
      <w:bookmarkStart w:id="58" w:name="_Toc230367586"/>
      <w:r w:rsidRPr="00545BE9">
        <w:rPr>
          <w:rFonts w:ascii="Times New Roman" w:hAnsi="Times New Roman" w:cs="Times New Roman"/>
          <w:b/>
          <w:bCs/>
          <w:i w:val="0"/>
          <w:iCs w:val="0"/>
          <w:color w:val="000000" w:themeColor="text1"/>
          <w:sz w:val="26"/>
          <w:szCs w:val="26"/>
          <w:lang w:val="vi-VN"/>
        </w:rPr>
        <w:lastRenderedPageBreak/>
        <w:t>Bảng 2.</w:t>
      </w:r>
      <w:r w:rsidRPr="00545BE9">
        <w:rPr>
          <w:rFonts w:ascii="Times New Roman" w:hAnsi="Times New Roman" w:cs="Times New Roman"/>
          <w:b/>
          <w:bCs/>
          <w:i w:val="0"/>
          <w:iCs w:val="0"/>
          <w:color w:val="000000" w:themeColor="text1"/>
          <w:sz w:val="26"/>
          <w:szCs w:val="26"/>
        </w:rPr>
        <w:fldChar w:fldCharType="begin"/>
      </w:r>
      <w:r w:rsidRPr="00545BE9">
        <w:rPr>
          <w:rFonts w:ascii="Times New Roman" w:hAnsi="Times New Roman" w:cs="Times New Roman"/>
          <w:b/>
          <w:bCs/>
          <w:i w:val="0"/>
          <w:iCs w:val="0"/>
          <w:color w:val="000000" w:themeColor="text1"/>
          <w:sz w:val="26"/>
          <w:szCs w:val="26"/>
          <w:lang w:val="vi-VN"/>
        </w:rPr>
        <w:instrText xml:space="preserve"> SEQ Bảng_2. \* ARABIC </w:instrText>
      </w:r>
      <w:r w:rsidRPr="00545BE9">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10</w:t>
      </w:r>
      <w:r w:rsidRPr="00545BE9">
        <w:rPr>
          <w:rFonts w:ascii="Times New Roman" w:hAnsi="Times New Roman" w:cs="Times New Roman"/>
          <w:b/>
          <w:bCs/>
          <w:i w:val="0"/>
          <w:iCs w:val="0"/>
          <w:color w:val="000000" w:themeColor="text1"/>
          <w:sz w:val="26"/>
          <w:szCs w:val="26"/>
        </w:rPr>
        <w:fldChar w:fldCharType="end"/>
      </w:r>
      <w:r w:rsidRPr="00545BE9">
        <w:rPr>
          <w:rFonts w:ascii="Times New Roman" w:hAnsi="Times New Roman" w:cs="Times New Roman"/>
          <w:b/>
          <w:bCs/>
          <w:i w:val="0"/>
          <w:iCs w:val="0"/>
          <w:color w:val="000000" w:themeColor="text1"/>
          <w:sz w:val="26"/>
          <w:szCs w:val="26"/>
          <w:lang w:val="vi-VN"/>
        </w:rPr>
        <w:t xml:space="preserve"> </w:t>
      </w:r>
      <w:r w:rsidR="007634CB" w:rsidRPr="00545BE9">
        <w:rPr>
          <w:rFonts w:ascii="Times New Roman" w:hAnsi="Times New Roman" w:cs="Times New Roman"/>
          <w:b/>
          <w:bCs/>
          <w:i w:val="0"/>
          <w:iCs w:val="0"/>
          <w:color w:val="000000" w:themeColor="text1"/>
          <w:sz w:val="26"/>
          <w:szCs w:val="26"/>
          <w:lang w:val="vi-VN"/>
        </w:rPr>
        <w:t>Vòng quay vốn tín dụng</w:t>
      </w:r>
      <w:r w:rsidR="00545BE9" w:rsidRPr="00545BE9">
        <w:rPr>
          <w:rFonts w:ascii="Times New Roman" w:hAnsi="Times New Roman" w:cs="Times New Roman"/>
          <w:b/>
          <w:bCs/>
          <w:i w:val="0"/>
          <w:iCs w:val="0"/>
          <w:color w:val="000000" w:themeColor="text1"/>
          <w:sz w:val="26"/>
          <w:szCs w:val="26"/>
          <w:lang w:val="vi-VN"/>
        </w:rPr>
        <w:t xml:space="preserve"> trong hoạt động</w:t>
      </w:r>
      <w:r w:rsidR="007634CB" w:rsidRPr="00545BE9">
        <w:rPr>
          <w:rFonts w:ascii="Times New Roman" w:hAnsi="Times New Roman" w:cs="Times New Roman"/>
          <w:b/>
          <w:bCs/>
          <w:i w:val="0"/>
          <w:iCs w:val="0"/>
          <w:color w:val="000000" w:themeColor="text1"/>
          <w:sz w:val="26"/>
          <w:szCs w:val="26"/>
          <w:lang w:val="vi-VN"/>
        </w:rPr>
        <w:t xml:space="preserve"> </w:t>
      </w:r>
      <w:bookmarkEnd w:id="58"/>
      <w:r w:rsidR="00545BE9" w:rsidRPr="00545BE9">
        <w:rPr>
          <w:rFonts w:ascii="Times New Roman" w:hAnsi="Times New Roman" w:cs="Times New Roman"/>
          <w:b/>
          <w:bCs/>
          <w:i w:val="0"/>
          <w:iCs w:val="0"/>
          <w:color w:val="000000" w:themeColor="text1"/>
          <w:sz w:val="26"/>
          <w:szCs w:val="26"/>
          <w:lang w:val="vi-VN"/>
        </w:rPr>
        <w:t>cho vay sản xuất kinh doanh đối với khách hàng cá tại Ngân hàng TMCP Quân đội – Chi nhánh Đà Nẵng.</w:t>
      </w:r>
    </w:p>
    <w:p w14:paraId="283DBEBD" w14:textId="472318BB" w:rsidR="007634CB" w:rsidRPr="002B008A" w:rsidRDefault="007634CB" w:rsidP="00545BE9">
      <w:pPr>
        <w:pStyle w:val="Caption"/>
        <w:spacing w:after="0" w:line="360" w:lineRule="auto"/>
        <w:jc w:val="right"/>
        <w:rPr>
          <w:rFonts w:ascii="Times New Roman" w:hAnsi="Times New Roman" w:cs="Times New Roman"/>
          <w:i w:val="0"/>
          <w:iCs w:val="0"/>
          <w:color w:val="000000" w:themeColor="text1"/>
          <w:sz w:val="26"/>
          <w:szCs w:val="26"/>
          <w:lang w:val="vi-VN"/>
        </w:rPr>
      </w:pPr>
      <w:r w:rsidRPr="002B008A">
        <w:rPr>
          <w:rFonts w:ascii="Times New Roman" w:hAnsi="Times New Roman" w:cs="Times New Roman"/>
          <w:color w:val="000000" w:themeColor="text1"/>
          <w:sz w:val="26"/>
          <w:szCs w:val="26"/>
          <w:lang w:val="vi-VN"/>
        </w:rPr>
        <w:t>Đ</w:t>
      </w:r>
      <w:r w:rsidR="00EF0259" w:rsidRPr="00545BE9">
        <w:rPr>
          <w:rFonts w:ascii="Times New Roman" w:hAnsi="Times New Roman" w:cs="Times New Roman"/>
          <w:color w:val="000000" w:themeColor="text1"/>
          <w:sz w:val="26"/>
          <w:szCs w:val="26"/>
          <w:lang w:val="vi-VN"/>
        </w:rPr>
        <w:t>ơn vị tính</w:t>
      </w:r>
      <w:r w:rsidRPr="002B008A">
        <w:rPr>
          <w:rFonts w:ascii="Times New Roman" w:hAnsi="Times New Roman" w:cs="Times New Roman"/>
          <w:color w:val="000000" w:themeColor="text1"/>
          <w:sz w:val="26"/>
          <w:szCs w:val="26"/>
          <w:lang w:val="vi-VN"/>
        </w:rPr>
        <w:t>: Tỷ đồng</w:t>
      </w:r>
    </w:p>
    <w:tbl>
      <w:tblPr>
        <w:tblW w:w="0" w:type="auto"/>
        <w:tblLook w:val="04A0" w:firstRow="1" w:lastRow="0" w:firstColumn="1" w:lastColumn="0" w:noHBand="0" w:noVBand="1"/>
      </w:tblPr>
      <w:tblGrid>
        <w:gridCol w:w="2196"/>
        <w:gridCol w:w="1043"/>
        <w:gridCol w:w="1023"/>
        <w:gridCol w:w="1027"/>
        <w:gridCol w:w="893"/>
        <w:gridCol w:w="911"/>
        <w:gridCol w:w="973"/>
        <w:gridCol w:w="965"/>
      </w:tblGrid>
      <w:tr w:rsidR="00E36D7F" w:rsidRPr="002B008A" w14:paraId="7325F061" w14:textId="77777777" w:rsidTr="00545BE9">
        <w:trPr>
          <w:trHeight w:val="20"/>
        </w:trPr>
        <w:tc>
          <w:tcPr>
            <w:tcW w:w="2196"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2638E6E9"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Chỉ tiêu</w:t>
            </w:r>
          </w:p>
        </w:tc>
        <w:tc>
          <w:tcPr>
            <w:tcW w:w="1043" w:type="dxa"/>
            <w:tcBorders>
              <w:top w:val="single" w:sz="4" w:space="0" w:color="auto"/>
              <w:left w:val="nil"/>
              <w:bottom w:val="single" w:sz="4" w:space="0" w:color="auto"/>
              <w:right w:val="single" w:sz="4" w:space="0" w:color="auto"/>
            </w:tcBorders>
            <w:shd w:val="clear" w:color="000000" w:fill="DDEBF7"/>
            <w:noWrap/>
            <w:vAlign w:val="center"/>
            <w:hideMark/>
          </w:tcPr>
          <w:p w14:paraId="6FFF2E24"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2023</w:t>
            </w:r>
          </w:p>
        </w:tc>
        <w:tc>
          <w:tcPr>
            <w:tcW w:w="1023" w:type="dxa"/>
            <w:tcBorders>
              <w:top w:val="single" w:sz="4" w:space="0" w:color="auto"/>
              <w:left w:val="nil"/>
              <w:bottom w:val="single" w:sz="4" w:space="0" w:color="auto"/>
              <w:right w:val="single" w:sz="4" w:space="0" w:color="auto"/>
            </w:tcBorders>
            <w:shd w:val="clear" w:color="000000" w:fill="DDEBF7"/>
            <w:noWrap/>
            <w:vAlign w:val="center"/>
            <w:hideMark/>
          </w:tcPr>
          <w:p w14:paraId="2B9A0F71"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2024</w:t>
            </w:r>
          </w:p>
        </w:tc>
        <w:tc>
          <w:tcPr>
            <w:tcW w:w="1027" w:type="dxa"/>
            <w:tcBorders>
              <w:top w:val="single" w:sz="4" w:space="0" w:color="auto"/>
              <w:left w:val="nil"/>
              <w:bottom w:val="single" w:sz="4" w:space="0" w:color="auto"/>
              <w:right w:val="single" w:sz="4" w:space="0" w:color="auto"/>
            </w:tcBorders>
            <w:shd w:val="clear" w:color="000000" w:fill="DDEBF7"/>
            <w:noWrap/>
            <w:vAlign w:val="center"/>
            <w:hideMark/>
          </w:tcPr>
          <w:p w14:paraId="504F3F56"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2025</w:t>
            </w:r>
          </w:p>
        </w:tc>
        <w:tc>
          <w:tcPr>
            <w:tcW w:w="1804"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0B3DA58E" w14:textId="0B344DDD"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lang w:eastAsia="zh-CN"/>
                <w14:ligatures w14:val="none"/>
              </w:rPr>
              <w:t>Chênh lệch 2024/2023</w:t>
            </w:r>
          </w:p>
        </w:tc>
        <w:tc>
          <w:tcPr>
            <w:tcW w:w="1938"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5704EDDC" w14:textId="23990E32"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lang w:eastAsia="zh-CN"/>
                <w14:ligatures w14:val="none"/>
              </w:rPr>
              <w:t>Chênh lệch 2025/2024</w:t>
            </w:r>
          </w:p>
        </w:tc>
      </w:tr>
      <w:tr w:rsidR="00E36D7F" w:rsidRPr="002B008A" w14:paraId="3DFD98C0" w14:textId="77777777" w:rsidTr="00545BE9">
        <w:trPr>
          <w:trHeight w:val="20"/>
        </w:trPr>
        <w:tc>
          <w:tcPr>
            <w:tcW w:w="2196" w:type="dxa"/>
            <w:vMerge/>
            <w:tcBorders>
              <w:top w:val="single" w:sz="4" w:space="0" w:color="auto"/>
              <w:left w:val="single" w:sz="4" w:space="0" w:color="auto"/>
              <w:bottom w:val="single" w:sz="4" w:space="0" w:color="auto"/>
              <w:right w:val="single" w:sz="4" w:space="0" w:color="auto"/>
            </w:tcBorders>
            <w:vAlign w:val="center"/>
            <w:hideMark/>
          </w:tcPr>
          <w:p w14:paraId="1183A2D1" w14:textId="77777777" w:rsidR="00E36D7F" w:rsidRPr="002B008A" w:rsidRDefault="00E36D7F" w:rsidP="00545BE9">
            <w:pPr>
              <w:spacing w:after="60" w:line="240" w:lineRule="auto"/>
              <w:rPr>
                <w:rFonts w:ascii="Times New Roman" w:eastAsia="Times New Roman" w:hAnsi="Times New Roman" w:cs="Times New Roman"/>
                <w:b/>
                <w:bCs/>
                <w:color w:val="000000"/>
                <w:kern w:val="0"/>
                <w:sz w:val="24"/>
                <w:szCs w:val="24"/>
                <w14:ligatures w14:val="none"/>
              </w:rPr>
            </w:pPr>
          </w:p>
        </w:tc>
        <w:tc>
          <w:tcPr>
            <w:tcW w:w="1043" w:type="dxa"/>
            <w:tcBorders>
              <w:top w:val="nil"/>
              <w:left w:val="nil"/>
              <w:bottom w:val="single" w:sz="4" w:space="0" w:color="auto"/>
              <w:right w:val="single" w:sz="4" w:space="0" w:color="auto"/>
            </w:tcBorders>
            <w:shd w:val="clear" w:color="000000" w:fill="DDEBF7"/>
            <w:noWrap/>
            <w:vAlign w:val="center"/>
            <w:hideMark/>
          </w:tcPr>
          <w:p w14:paraId="0209DCDC"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1023" w:type="dxa"/>
            <w:tcBorders>
              <w:top w:val="nil"/>
              <w:left w:val="nil"/>
              <w:bottom w:val="single" w:sz="4" w:space="0" w:color="auto"/>
              <w:right w:val="single" w:sz="4" w:space="0" w:color="auto"/>
            </w:tcBorders>
            <w:shd w:val="clear" w:color="000000" w:fill="DDEBF7"/>
            <w:noWrap/>
            <w:vAlign w:val="center"/>
            <w:hideMark/>
          </w:tcPr>
          <w:p w14:paraId="4F6A887C"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1027" w:type="dxa"/>
            <w:tcBorders>
              <w:top w:val="nil"/>
              <w:left w:val="nil"/>
              <w:bottom w:val="single" w:sz="4" w:space="0" w:color="auto"/>
              <w:right w:val="single" w:sz="4" w:space="0" w:color="auto"/>
            </w:tcBorders>
            <w:shd w:val="clear" w:color="000000" w:fill="DDEBF7"/>
            <w:noWrap/>
            <w:vAlign w:val="center"/>
            <w:hideMark/>
          </w:tcPr>
          <w:p w14:paraId="4502EF77"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893" w:type="dxa"/>
            <w:tcBorders>
              <w:top w:val="nil"/>
              <w:left w:val="nil"/>
              <w:bottom w:val="single" w:sz="4" w:space="0" w:color="auto"/>
              <w:right w:val="single" w:sz="4" w:space="0" w:color="auto"/>
            </w:tcBorders>
            <w:shd w:val="clear" w:color="000000" w:fill="DDEBF7"/>
            <w:noWrap/>
            <w:vAlign w:val="center"/>
            <w:hideMark/>
          </w:tcPr>
          <w:p w14:paraId="1CA980B9"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910" w:type="dxa"/>
            <w:tcBorders>
              <w:top w:val="nil"/>
              <w:left w:val="nil"/>
              <w:bottom w:val="single" w:sz="4" w:space="0" w:color="auto"/>
              <w:right w:val="single" w:sz="4" w:space="0" w:color="auto"/>
            </w:tcBorders>
            <w:shd w:val="clear" w:color="000000" w:fill="DDEBF7"/>
            <w:noWrap/>
            <w:vAlign w:val="center"/>
            <w:hideMark/>
          </w:tcPr>
          <w:p w14:paraId="2DBC008A"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Tỷ lệ (%)</w:t>
            </w:r>
          </w:p>
        </w:tc>
        <w:tc>
          <w:tcPr>
            <w:tcW w:w="973" w:type="dxa"/>
            <w:tcBorders>
              <w:top w:val="nil"/>
              <w:left w:val="nil"/>
              <w:bottom w:val="single" w:sz="4" w:space="0" w:color="auto"/>
              <w:right w:val="single" w:sz="4" w:space="0" w:color="auto"/>
            </w:tcBorders>
            <w:shd w:val="clear" w:color="000000" w:fill="DDEBF7"/>
            <w:noWrap/>
            <w:vAlign w:val="center"/>
            <w:hideMark/>
          </w:tcPr>
          <w:p w14:paraId="206D84FA"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964" w:type="dxa"/>
            <w:tcBorders>
              <w:top w:val="nil"/>
              <w:left w:val="nil"/>
              <w:bottom w:val="single" w:sz="4" w:space="0" w:color="auto"/>
              <w:right w:val="single" w:sz="4" w:space="0" w:color="auto"/>
            </w:tcBorders>
            <w:shd w:val="clear" w:color="000000" w:fill="DDEBF7"/>
            <w:noWrap/>
            <w:vAlign w:val="center"/>
            <w:hideMark/>
          </w:tcPr>
          <w:p w14:paraId="2493324E" w14:textId="77777777" w:rsidR="00E36D7F" w:rsidRPr="002B008A" w:rsidRDefault="00E36D7F" w:rsidP="00545BE9">
            <w:pPr>
              <w:spacing w:after="6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Tỷ lệ (%)</w:t>
            </w:r>
          </w:p>
        </w:tc>
      </w:tr>
      <w:tr w:rsidR="00E36D7F" w:rsidRPr="002B008A" w14:paraId="357DA05A" w14:textId="77777777" w:rsidTr="00545BE9">
        <w:trPr>
          <w:trHeight w:val="20"/>
        </w:trPr>
        <w:tc>
          <w:tcPr>
            <w:tcW w:w="2196" w:type="dxa"/>
            <w:tcBorders>
              <w:top w:val="single" w:sz="4" w:space="0" w:color="auto"/>
              <w:left w:val="single" w:sz="4" w:space="0" w:color="auto"/>
              <w:bottom w:val="single" w:sz="4" w:space="0" w:color="auto"/>
              <w:right w:val="single" w:sz="4" w:space="0" w:color="auto"/>
            </w:tcBorders>
            <w:noWrap/>
            <w:vAlign w:val="center"/>
            <w:hideMark/>
          </w:tcPr>
          <w:p w14:paraId="44D9E35A" w14:textId="5579B1CA" w:rsidR="00E36D7F" w:rsidRPr="002B008A" w:rsidRDefault="00E36D7F" w:rsidP="00545BE9">
            <w:pPr>
              <w:spacing w:after="60" w:line="240" w:lineRule="auto"/>
              <w:rPr>
                <w:rFonts w:ascii="Times New Roman" w:eastAsia="Times New Roman" w:hAnsi="Times New Roman" w:cs="Times New Roman"/>
                <w:color w:val="000000"/>
                <w:kern w:val="0"/>
                <w:sz w:val="24"/>
                <w:szCs w:val="24"/>
                <w14:ligatures w14:val="none"/>
              </w:rPr>
            </w:pPr>
            <w:r w:rsidRPr="002B008A">
              <w:rPr>
                <w:rFonts w:ascii="Times New Roman" w:eastAsia="Times New Roman" w:hAnsi="Times New Roman" w:cs="Times New Roman"/>
                <w:color w:val="000000"/>
                <w:kern w:val="0"/>
                <w:sz w:val="24"/>
                <w:szCs w:val="24"/>
                <w14:ligatures w14:val="none"/>
              </w:rPr>
              <w:t>Doanh số thu nợ cho vay SXKD đối với KHCN</w:t>
            </w:r>
          </w:p>
        </w:tc>
        <w:tc>
          <w:tcPr>
            <w:tcW w:w="1043" w:type="dxa"/>
            <w:tcBorders>
              <w:top w:val="single" w:sz="4" w:space="0" w:color="auto"/>
              <w:left w:val="single" w:sz="4" w:space="0" w:color="auto"/>
              <w:bottom w:val="single" w:sz="4" w:space="0" w:color="auto"/>
              <w:right w:val="single" w:sz="4" w:space="0" w:color="auto"/>
            </w:tcBorders>
            <w:vAlign w:val="center"/>
          </w:tcPr>
          <w:p w14:paraId="75F3D938" w14:textId="18F982E7"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214,34</w:t>
            </w:r>
          </w:p>
        </w:tc>
        <w:tc>
          <w:tcPr>
            <w:tcW w:w="1023" w:type="dxa"/>
            <w:tcBorders>
              <w:top w:val="single" w:sz="4" w:space="0" w:color="auto"/>
              <w:left w:val="nil"/>
              <w:bottom w:val="single" w:sz="4" w:space="0" w:color="auto"/>
              <w:right w:val="single" w:sz="4" w:space="0" w:color="auto"/>
            </w:tcBorders>
            <w:noWrap/>
            <w:vAlign w:val="center"/>
          </w:tcPr>
          <w:p w14:paraId="26E13E45" w14:textId="517564E1"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283,91</w:t>
            </w:r>
          </w:p>
        </w:tc>
        <w:tc>
          <w:tcPr>
            <w:tcW w:w="1027" w:type="dxa"/>
            <w:tcBorders>
              <w:top w:val="single" w:sz="4" w:space="0" w:color="auto"/>
              <w:left w:val="nil"/>
              <w:bottom w:val="single" w:sz="4" w:space="0" w:color="auto"/>
              <w:right w:val="single" w:sz="4" w:space="0" w:color="auto"/>
            </w:tcBorders>
            <w:vAlign w:val="center"/>
          </w:tcPr>
          <w:p w14:paraId="2A1E9989" w14:textId="2053F349"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346,48</w:t>
            </w:r>
          </w:p>
        </w:tc>
        <w:tc>
          <w:tcPr>
            <w:tcW w:w="893" w:type="dxa"/>
            <w:tcBorders>
              <w:top w:val="single" w:sz="4" w:space="0" w:color="auto"/>
              <w:left w:val="nil"/>
              <w:bottom w:val="single" w:sz="4" w:space="0" w:color="auto"/>
              <w:right w:val="single" w:sz="4" w:space="0" w:color="auto"/>
            </w:tcBorders>
            <w:noWrap/>
            <w:vAlign w:val="center"/>
          </w:tcPr>
          <w:p w14:paraId="72F4E6A5" w14:textId="20517308"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69,57</w:t>
            </w:r>
          </w:p>
        </w:tc>
        <w:tc>
          <w:tcPr>
            <w:tcW w:w="910" w:type="dxa"/>
            <w:tcBorders>
              <w:top w:val="single" w:sz="4" w:space="0" w:color="auto"/>
              <w:left w:val="nil"/>
              <w:bottom w:val="single" w:sz="4" w:space="0" w:color="auto"/>
              <w:right w:val="single" w:sz="4" w:space="0" w:color="auto"/>
            </w:tcBorders>
            <w:noWrap/>
            <w:vAlign w:val="center"/>
          </w:tcPr>
          <w:p w14:paraId="38414BE4" w14:textId="0A3230B6"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32,46</w:t>
            </w:r>
          </w:p>
        </w:tc>
        <w:tc>
          <w:tcPr>
            <w:tcW w:w="973" w:type="dxa"/>
            <w:tcBorders>
              <w:top w:val="single" w:sz="4" w:space="0" w:color="auto"/>
              <w:left w:val="nil"/>
              <w:bottom w:val="single" w:sz="4" w:space="0" w:color="auto"/>
              <w:right w:val="single" w:sz="4" w:space="0" w:color="auto"/>
            </w:tcBorders>
            <w:noWrap/>
            <w:vAlign w:val="center"/>
          </w:tcPr>
          <w:p w14:paraId="3C093EB9" w14:textId="0989D23E"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62,57</w:t>
            </w:r>
          </w:p>
        </w:tc>
        <w:tc>
          <w:tcPr>
            <w:tcW w:w="964" w:type="dxa"/>
            <w:tcBorders>
              <w:top w:val="single" w:sz="4" w:space="0" w:color="auto"/>
              <w:left w:val="nil"/>
              <w:bottom w:val="single" w:sz="4" w:space="0" w:color="auto"/>
              <w:right w:val="single" w:sz="4" w:space="0" w:color="auto"/>
            </w:tcBorders>
            <w:noWrap/>
            <w:vAlign w:val="center"/>
          </w:tcPr>
          <w:p w14:paraId="49B81154" w14:textId="4465D5B0"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18,06</w:t>
            </w:r>
          </w:p>
        </w:tc>
      </w:tr>
      <w:tr w:rsidR="00E36D7F" w:rsidRPr="002B008A" w14:paraId="0EC18874" w14:textId="77777777" w:rsidTr="00545BE9">
        <w:trPr>
          <w:trHeight w:val="20"/>
        </w:trPr>
        <w:tc>
          <w:tcPr>
            <w:tcW w:w="2196" w:type="dxa"/>
            <w:tcBorders>
              <w:top w:val="single" w:sz="4" w:space="0" w:color="auto"/>
              <w:left w:val="single" w:sz="4" w:space="0" w:color="auto"/>
              <w:bottom w:val="single" w:sz="4" w:space="0" w:color="auto"/>
              <w:right w:val="single" w:sz="4" w:space="0" w:color="auto"/>
            </w:tcBorders>
            <w:noWrap/>
            <w:vAlign w:val="center"/>
            <w:hideMark/>
          </w:tcPr>
          <w:p w14:paraId="2F7D788F" w14:textId="1B48D96B" w:rsidR="00E36D7F" w:rsidRPr="002B008A" w:rsidRDefault="00E36D7F" w:rsidP="00545BE9">
            <w:pPr>
              <w:spacing w:after="60" w:line="240" w:lineRule="auto"/>
              <w:rPr>
                <w:rFonts w:ascii="Times New Roman" w:eastAsia="Times New Roman" w:hAnsi="Times New Roman" w:cs="Times New Roman"/>
                <w:color w:val="000000"/>
                <w:kern w:val="0"/>
                <w:sz w:val="24"/>
                <w:szCs w:val="24"/>
                <w14:ligatures w14:val="none"/>
              </w:rPr>
            </w:pPr>
            <w:r w:rsidRPr="002B008A">
              <w:rPr>
                <w:rFonts w:ascii="Times New Roman" w:eastAsia="Times New Roman" w:hAnsi="Times New Roman" w:cs="Times New Roman"/>
                <w:color w:val="000000"/>
                <w:kern w:val="0"/>
                <w:sz w:val="24"/>
                <w:szCs w:val="24"/>
                <w14:ligatures w14:val="none"/>
              </w:rPr>
              <w:t>Dư nợ bình quân cho vay SXKD đối với KHCN</w:t>
            </w:r>
          </w:p>
        </w:tc>
        <w:tc>
          <w:tcPr>
            <w:tcW w:w="1043" w:type="dxa"/>
            <w:tcBorders>
              <w:top w:val="nil"/>
              <w:left w:val="single" w:sz="4" w:space="0" w:color="auto"/>
              <w:bottom w:val="single" w:sz="4" w:space="0" w:color="auto"/>
              <w:right w:val="single" w:sz="4" w:space="0" w:color="auto"/>
            </w:tcBorders>
            <w:noWrap/>
            <w:vAlign w:val="center"/>
          </w:tcPr>
          <w:p w14:paraId="7B86D3F2" w14:textId="34E140C3"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392,45</w:t>
            </w:r>
          </w:p>
        </w:tc>
        <w:tc>
          <w:tcPr>
            <w:tcW w:w="1023" w:type="dxa"/>
            <w:tcBorders>
              <w:top w:val="nil"/>
              <w:left w:val="nil"/>
              <w:bottom w:val="single" w:sz="4" w:space="0" w:color="auto"/>
              <w:right w:val="single" w:sz="4" w:space="0" w:color="auto"/>
            </w:tcBorders>
            <w:noWrap/>
            <w:vAlign w:val="center"/>
          </w:tcPr>
          <w:p w14:paraId="7E7DEE7C" w14:textId="48BDF450"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469,86</w:t>
            </w:r>
          </w:p>
        </w:tc>
        <w:tc>
          <w:tcPr>
            <w:tcW w:w="1027" w:type="dxa"/>
            <w:tcBorders>
              <w:top w:val="nil"/>
              <w:left w:val="nil"/>
              <w:bottom w:val="single" w:sz="4" w:space="0" w:color="auto"/>
              <w:right w:val="single" w:sz="4" w:space="0" w:color="auto"/>
            </w:tcBorders>
            <w:noWrap/>
            <w:vAlign w:val="center"/>
          </w:tcPr>
          <w:p w14:paraId="403309C0" w14:textId="0C21A07C"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619,67</w:t>
            </w:r>
          </w:p>
        </w:tc>
        <w:tc>
          <w:tcPr>
            <w:tcW w:w="893" w:type="dxa"/>
            <w:tcBorders>
              <w:top w:val="nil"/>
              <w:left w:val="nil"/>
              <w:bottom w:val="single" w:sz="4" w:space="0" w:color="auto"/>
              <w:right w:val="single" w:sz="4" w:space="0" w:color="auto"/>
            </w:tcBorders>
            <w:noWrap/>
            <w:vAlign w:val="center"/>
          </w:tcPr>
          <w:p w14:paraId="0109EA96" w14:textId="56834E05"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77,41</w:t>
            </w:r>
          </w:p>
        </w:tc>
        <w:tc>
          <w:tcPr>
            <w:tcW w:w="910" w:type="dxa"/>
            <w:tcBorders>
              <w:top w:val="nil"/>
              <w:left w:val="nil"/>
              <w:bottom w:val="single" w:sz="4" w:space="0" w:color="auto"/>
              <w:right w:val="single" w:sz="4" w:space="0" w:color="auto"/>
            </w:tcBorders>
            <w:noWrap/>
            <w:vAlign w:val="center"/>
          </w:tcPr>
          <w:p w14:paraId="74793C2E" w14:textId="16AB6643"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19,72</w:t>
            </w:r>
          </w:p>
        </w:tc>
        <w:tc>
          <w:tcPr>
            <w:tcW w:w="973" w:type="dxa"/>
            <w:tcBorders>
              <w:top w:val="nil"/>
              <w:left w:val="nil"/>
              <w:bottom w:val="single" w:sz="4" w:space="0" w:color="auto"/>
              <w:right w:val="single" w:sz="4" w:space="0" w:color="auto"/>
            </w:tcBorders>
            <w:noWrap/>
            <w:vAlign w:val="center"/>
          </w:tcPr>
          <w:p w14:paraId="6A0699AF" w14:textId="00E3C0F2"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149,81</w:t>
            </w:r>
          </w:p>
        </w:tc>
        <w:tc>
          <w:tcPr>
            <w:tcW w:w="964" w:type="dxa"/>
            <w:tcBorders>
              <w:top w:val="nil"/>
              <w:left w:val="nil"/>
              <w:bottom w:val="single" w:sz="4" w:space="0" w:color="auto"/>
              <w:right w:val="single" w:sz="4" w:space="0" w:color="auto"/>
            </w:tcBorders>
            <w:noWrap/>
            <w:vAlign w:val="center"/>
          </w:tcPr>
          <w:p w14:paraId="1A42C663" w14:textId="46603FF0" w:rsidR="00E36D7F" w:rsidRPr="002B008A" w:rsidRDefault="00E36D7F" w:rsidP="00545BE9">
            <w:pPr>
              <w:spacing w:after="6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24,18</w:t>
            </w:r>
          </w:p>
        </w:tc>
      </w:tr>
      <w:tr w:rsidR="00E36D7F" w:rsidRPr="002B008A" w14:paraId="7A43BD81" w14:textId="77777777" w:rsidTr="00545BE9">
        <w:trPr>
          <w:trHeight w:val="20"/>
        </w:trPr>
        <w:tc>
          <w:tcPr>
            <w:tcW w:w="2196" w:type="dxa"/>
            <w:tcBorders>
              <w:top w:val="single" w:sz="4" w:space="0" w:color="auto"/>
              <w:left w:val="single" w:sz="4" w:space="0" w:color="auto"/>
              <w:bottom w:val="single" w:sz="4" w:space="0" w:color="auto"/>
              <w:right w:val="single" w:sz="4" w:space="0" w:color="auto"/>
            </w:tcBorders>
            <w:noWrap/>
            <w:vAlign w:val="center"/>
            <w:hideMark/>
          </w:tcPr>
          <w:p w14:paraId="319C7E5E" w14:textId="6C24B59F" w:rsidR="00E36D7F" w:rsidRPr="002B008A" w:rsidRDefault="00E36D7F" w:rsidP="00545BE9">
            <w:pPr>
              <w:spacing w:after="60" w:line="240" w:lineRule="auto"/>
              <w:rPr>
                <w:rFonts w:ascii="Times New Roman" w:eastAsia="Times New Roman" w:hAnsi="Times New Roman" w:cs="Times New Roman"/>
                <w:color w:val="000000"/>
                <w:kern w:val="0"/>
                <w:sz w:val="24"/>
                <w:szCs w:val="24"/>
                <w14:ligatures w14:val="none"/>
              </w:rPr>
            </w:pPr>
            <w:r w:rsidRPr="002B008A">
              <w:rPr>
                <w:rFonts w:ascii="Times New Roman" w:eastAsia="Times New Roman" w:hAnsi="Times New Roman" w:cs="Times New Roman"/>
                <w:color w:val="000000"/>
                <w:kern w:val="0"/>
                <w:sz w:val="24"/>
                <w:szCs w:val="24"/>
                <w14:ligatures w14:val="none"/>
              </w:rPr>
              <w:t>Vòng quay vốn tín dụng cho vay SXKD đối với KHCN</w:t>
            </w:r>
          </w:p>
        </w:tc>
        <w:tc>
          <w:tcPr>
            <w:tcW w:w="1043" w:type="dxa"/>
            <w:tcBorders>
              <w:top w:val="nil"/>
              <w:left w:val="single" w:sz="4" w:space="0" w:color="auto"/>
              <w:bottom w:val="single" w:sz="4" w:space="0" w:color="auto"/>
              <w:right w:val="single" w:sz="4" w:space="0" w:color="auto"/>
            </w:tcBorders>
            <w:noWrap/>
            <w:vAlign w:val="center"/>
          </w:tcPr>
          <w:p w14:paraId="5BA8A6C7" w14:textId="522540CD" w:rsidR="00E36D7F" w:rsidRPr="002B008A" w:rsidRDefault="00E36D7F" w:rsidP="00545BE9">
            <w:pPr>
              <w:spacing w:after="6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0,55</w:t>
            </w:r>
          </w:p>
        </w:tc>
        <w:tc>
          <w:tcPr>
            <w:tcW w:w="1023" w:type="dxa"/>
            <w:tcBorders>
              <w:top w:val="nil"/>
              <w:left w:val="nil"/>
              <w:bottom w:val="single" w:sz="4" w:space="0" w:color="auto"/>
              <w:right w:val="single" w:sz="4" w:space="0" w:color="auto"/>
            </w:tcBorders>
            <w:noWrap/>
            <w:vAlign w:val="center"/>
          </w:tcPr>
          <w:p w14:paraId="7012F6D5" w14:textId="349EB021" w:rsidR="00E36D7F" w:rsidRPr="002B008A" w:rsidRDefault="00E36D7F" w:rsidP="00545BE9">
            <w:pPr>
              <w:spacing w:after="6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0,60</w:t>
            </w:r>
          </w:p>
        </w:tc>
        <w:tc>
          <w:tcPr>
            <w:tcW w:w="1027" w:type="dxa"/>
            <w:tcBorders>
              <w:top w:val="nil"/>
              <w:left w:val="nil"/>
              <w:bottom w:val="single" w:sz="4" w:space="0" w:color="auto"/>
              <w:right w:val="single" w:sz="4" w:space="0" w:color="auto"/>
            </w:tcBorders>
            <w:noWrap/>
            <w:vAlign w:val="center"/>
          </w:tcPr>
          <w:p w14:paraId="229441B7" w14:textId="590936D5" w:rsidR="00E36D7F" w:rsidRPr="002B008A" w:rsidRDefault="00E36D7F" w:rsidP="00545BE9">
            <w:pPr>
              <w:spacing w:after="6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0,56</w:t>
            </w:r>
          </w:p>
        </w:tc>
        <w:tc>
          <w:tcPr>
            <w:tcW w:w="893" w:type="dxa"/>
            <w:tcBorders>
              <w:top w:val="nil"/>
              <w:left w:val="nil"/>
              <w:bottom w:val="single" w:sz="4" w:space="0" w:color="auto"/>
              <w:right w:val="single" w:sz="4" w:space="0" w:color="auto"/>
            </w:tcBorders>
            <w:noWrap/>
            <w:vAlign w:val="center"/>
          </w:tcPr>
          <w:p w14:paraId="2CA9D888" w14:textId="1D9679B1" w:rsidR="00E36D7F" w:rsidRPr="002B008A" w:rsidRDefault="00E36D7F" w:rsidP="00545BE9">
            <w:pPr>
              <w:spacing w:after="6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0,06</w:t>
            </w:r>
          </w:p>
        </w:tc>
        <w:tc>
          <w:tcPr>
            <w:tcW w:w="910" w:type="dxa"/>
            <w:tcBorders>
              <w:top w:val="nil"/>
              <w:left w:val="nil"/>
              <w:bottom w:val="single" w:sz="4" w:space="0" w:color="auto"/>
              <w:right w:val="single" w:sz="4" w:space="0" w:color="auto"/>
            </w:tcBorders>
            <w:noWrap/>
            <w:vAlign w:val="center"/>
          </w:tcPr>
          <w:p w14:paraId="0AE4A516" w14:textId="0D097507" w:rsidR="00E36D7F" w:rsidRPr="002B008A" w:rsidRDefault="00E36D7F" w:rsidP="00545BE9">
            <w:pPr>
              <w:spacing w:after="6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10,64</w:t>
            </w:r>
          </w:p>
        </w:tc>
        <w:tc>
          <w:tcPr>
            <w:tcW w:w="973" w:type="dxa"/>
            <w:tcBorders>
              <w:top w:val="nil"/>
              <w:left w:val="nil"/>
              <w:bottom w:val="single" w:sz="4" w:space="0" w:color="auto"/>
              <w:right w:val="single" w:sz="4" w:space="0" w:color="auto"/>
            </w:tcBorders>
            <w:noWrap/>
            <w:vAlign w:val="center"/>
          </w:tcPr>
          <w:p w14:paraId="009E0201" w14:textId="2F545305" w:rsidR="00E36D7F" w:rsidRPr="002B008A" w:rsidRDefault="00E36D7F" w:rsidP="00545BE9">
            <w:pPr>
              <w:spacing w:after="6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-0,05</w:t>
            </w:r>
          </w:p>
        </w:tc>
        <w:tc>
          <w:tcPr>
            <w:tcW w:w="964" w:type="dxa"/>
            <w:tcBorders>
              <w:top w:val="nil"/>
              <w:left w:val="nil"/>
              <w:bottom w:val="single" w:sz="4" w:space="0" w:color="auto"/>
              <w:right w:val="single" w:sz="4" w:space="0" w:color="auto"/>
            </w:tcBorders>
            <w:noWrap/>
            <w:vAlign w:val="center"/>
          </w:tcPr>
          <w:p w14:paraId="48BF9F01" w14:textId="3EDB4238" w:rsidR="00E36D7F" w:rsidRPr="002B008A" w:rsidRDefault="00E36D7F" w:rsidP="00545BE9">
            <w:pPr>
              <w:spacing w:after="6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(8,07)</w:t>
            </w:r>
          </w:p>
        </w:tc>
      </w:tr>
    </w:tbl>
    <w:p w14:paraId="7EA56419" w14:textId="2878B592" w:rsidR="00155F03" w:rsidRPr="002B008A" w:rsidRDefault="00435073" w:rsidP="00545BE9">
      <w:pPr>
        <w:tabs>
          <w:tab w:val="left" w:pos="6210"/>
        </w:tabs>
        <w:spacing w:after="60" w:line="360" w:lineRule="auto"/>
        <w:ind w:right="91" w:firstLine="567"/>
        <w:jc w:val="right"/>
        <w:rPr>
          <w:rFonts w:ascii="Times New Roman" w:hAnsi="Times New Roman" w:cs="Times New Roman"/>
          <w:i/>
          <w:iCs/>
          <w:color w:val="000000" w:themeColor="text1"/>
          <w:sz w:val="26"/>
          <w:szCs w:val="26"/>
          <w:lang w:val="vi-VN"/>
        </w:rPr>
      </w:pPr>
      <w:r w:rsidRPr="002B008A">
        <w:rPr>
          <w:rFonts w:ascii="Times New Roman" w:hAnsi="Times New Roman" w:cs="Times New Roman"/>
          <w:i/>
          <w:iCs/>
          <w:color w:val="000000" w:themeColor="text1"/>
          <w:sz w:val="26"/>
          <w:szCs w:val="26"/>
          <w:lang w:val="vi-VN"/>
        </w:rPr>
        <w:t>(Nguồn: Báo cáo tài chính Ngân hàng TMCP Quân đội - Chi Nhánh Đà Nẵng giai đoạn 2023 - 2025)</w:t>
      </w:r>
    </w:p>
    <w:p w14:paraId="27C85F19" w14:textId="067B8727" w:rsidR="005251BB" w:rsidRPr="002B008A" w:rsidRDefault="005251BB" w:rsidP="005251B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Để đánh giá hiệu quả sử dụng vốn tín dụng trong hoạt động cho </w:t>
      </w:r>
      <w:r w:rsidR="000F71E3" w:rsidRPr="002B008A">
        <w:rPr>
          <w:rFonts w:ascii="Times New Roman" w:hAnsi="Times New Roman" w:cs="Times New Roman"/>
          <w:color w:val="000000" w:themeColor="text1"/>
          <w:sz w:val="26"/>
          <w:szCs w:val="26"/>
          <w:lang w:val="vi-VN"/>
        </w:rPr>
        <w:t>SXKD đối với KHCN</w:t>
      </w:r>
      <w:r w:rsidRPr="002B008A">
        <w:rPr>
          <w:rFonts w:ascii="Times New Roman" w:hAnsi="Times New Roman" w:cs="Times New Roman"/>
          <w:color w:val="000000" w:themeColor="text1"/>
          <w:sz w:val="26"/>
          <w:szCs w:val="26"/>
          <w:lang w:val="vi-VN"/>
        </w:rPr>
        <w:t>, chỉ tiêu vòng quay vốn tín dụng có ý nghĩa quan trọng, phản ánh tốc độ luân chuyển vốn và khả năng thu hồi vốn của ngân hàng. Dựa trên số liệu giai đoạn 2023–2025, chỉ tiêu này có sự biến động nhất định, qua đó cho thấy sự thay đổi trong hiệu quả sử dụng vốn của chi nhánh.</w:t>
      </w:r>
    </w:p>
    <w:p w14:paraId="4CF51ADF" w14:textId="6064B93A" w:rsidR="005251BB" w:rsidRPr="002B008A" w:rsidRDefault="005251BB" w:rsidP="005251B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Trước hết, doanh số thu nợ có xu hướng tăng trưởng tích cực, từ 214,34 tỷ đồng năm 2023 lên 283,91 tỷ đồng năm 2024 và đạt 346,48 tỷ đồng vào năm 2025. Điều này phản ánh năng lực thu hồi nợ của ngân hàng được cải thiện, đồng thời cho thấy phần lớn các khoản </w:t>
      </w:r>
      <w:r w:rsidR="00B9784C" w:rsidRPr="002B008A">
        <w:rPr>
          <w:rFonts w:ascii="Times New Roman" w:hAnsi="Times New Roman" w:cs="Times New Roman"/>
          <w:color w:val="000000" w:themeColor="text1"/>
          <w:sz w:val="26"/>
          <w:szCs w:val="26"/>
          <w:lang w:val="vi-VN"/>
        </w:rPr>
        <w:t xml:space="preserve">cho </w:t>
      </w:r>
      <w:r w:rsidRPr="002B008A">
        <w:rPr>
          <w:rFonts w:ascii="Times New Roman" w:hAnsi="Times New Roman" w:cs="Times New Roman"/>
          <w:color w:val="000000" w:themeColor="text1"/>
          <w:sz w:val="26"/>
          <w:szCs w:val="26"/>
          <w:lang w:val="vi-VN"/>
        </w:rPr>
        <w:t xml:space="preserve">vay vẫn được quản lý tương đối hiệu quả. Tuy nhiên, dư nợ bình quân cũng tăng mạnh từ 392,45 tỷ đồng lên 619,67 tỷ đồng, đặc biệt tăng nhanh trong năm 2025, cho thấy ngân hàng đang đẩy mạnh mở rộng quy mô tín dụng đối với </w:t>
      </w:r>
      <w:r w:rsidR="00C13756" w:rsidRPr="002B008A">
        <w:rPr>
          <w:rFonts w:ascii="Times New Roman" w:hAnsi="Times New Roman" w:cs="Times New Roman"/>
          <w:color w:val="000000" w:themeColor="text1"/>
          <w:sz w:val="26"/>
          <w:szCs w:val="26"/>
          <w:lang w:val="vi-VN"/>
        </w:rPr>
        <w:t>cho vay SXKD đối với KHCN.</w:t>
      </w:r>
    </w:p>
    <w:p w14:paraId="7214C037" w14:textId="0C39B794" w:rsidR="005251BB" w:rsidRPr="002B008A" w:rsidRDefault="005251BB" w:rsidP="005251B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Chính sự gia tăng không đồng đều giữa hai chỉ tiêu này đã tác động trực tiếp đến vòng quay vốn tín dụng. Cụ thể, năm 2024 ghi nhận sự cải thiện khi vòng quay vốn tăng từ 0,55 lần lên 0,60 lần, cho thấy tốc độ thu hồi vốn nhanh hơn so với mức tăng của dư nợ, phản ánh hiệu quả sử dụng vốn được nâng cao. Đây có thể là kết quả</w:t>
      </w:r>
      <w:r w:rsidR="001117D9" w:rsidRPr="002B008A">
        <w:rPr>
          <w:rFonts w:ascii="Times New Roman" w:hAnsi="Times New Roman" w:cs="Times New Roman"/>
          <w:color w:val="000000" w:themeColor="text1"/>
          <w:sz w:val="26"/>
          <w:szCs w:val="26"/>
          <w:lang w:val="vi-VN"/>
        </w:rPr>
        <w:t xml:space="preserve"> </w:t>
      </w:r>
      <w:r w:rsidRPr="002B008A">
        <w:rPr>
          <w:rFonts w:ascii="Times New Roman" w:hAnsi="Times New Roman" w:cs="Times New Roman"/>
          <w:color w:val="000000" w:themeColor="text1"/>
          <w:sz w:val="26"/>
          <w:szCs w:val="26"/>
          <w:lang w:val="vi-VN"/>
        </w:rPr>
        <w:t>của việc ngân hàng kiểm soát tốt chất lượng tín dụng, lựa chọn khách hàng phù hợp và tăng cường công tác thu hồi nợ.</w:t>
      </w:r>
    </w:p>
    <w:p w14:paraId="211EEAB4" w14:textId="77777777" w:rsidR="005251BB" w:rsidRPr="002B008A" w:rsidRDefault="005251BB" w:rsidP="005251B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lastRenderedPageBreak/>
        <w:t>Tuy nhiên, đến năm 2025, vòng quay vốn giảm xuống còn 0,56 lần dù doanh số thu nợ vẫn tăng. Nguyên nhân chủ yếu là do dư nợ bình quân tăng với tốc độ cao hơn (24,18%) so với tốc độ tăng của doanh số thu nợ (18,06%), làm cho tốc độ luân chuyển vốn bị chậm lại. Điều này cho thấy trong bối cảnh mở rộng tín dụng nhanh, ngân hàng bắt đầu chịu áp lực trong việc cân đối giữa tăng trưởng và hiệu quả, khi một phần vốn tín dụng chưa được quay vòng kịp thời.</w:t>
      </w:r>
    </w:p>
    <w:p w14:paraId="3A1EC472" w14:textId="77777777" w:rsidR="005251BB" w:rsidRPr="002B008A" w:rsidRDefault="005251BB" w:rsidP="005251B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Xét trên góc độ quản trị, sự sụt giảm nhẹ của vòng quay vốn trong năm 2025 không phải là dấu hiệu tiêu cực nghiêm trọng, nhưng phản ánh xu hướng cần được theo dõi chặt chẽ. Nếu tốc độ tăng dư nợ tiếp tục vượt quá khả năng thu hồi, ngân hàng có thể đối mặt với rủi ro giảm hiệu quả sử dụng vốn và gia tăng áp lực thanh khoản trong dài hạn.</w:t>
      </w:r>
    </w:p>
    <w:p w14:paraId="49632713" w14:textId="77777777" w:rsidR="005251BB" w:rsidRPr="002B008A" w:rsidRDefault="005251BB" w:rsidP="005251B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Nhìn chung, hiệu quả sử dụng vốn tín dụng của chi nhánh trong giai đoạn này ở mức tương đối tốt, trong đó năm 2024 là thời điểm đạt hiệu quả cao nhất. Tuy nhiên, xu hướng giảm nhẹ trong năm 2025 cho thấy ngân hàng cần chú trọng hơn đến việc kiểm soát tốc độ tăng trưởng tín dụng, nâng cao chất lượng thẩm định và tăng cường công tác quản lý sau cho vay nhằm cải thiện tốc độ luân chuyển vốn, qua đó nâng cao hiệu quả hoạt động tín dụng trong thời gian tới.</w:t>
      </w:r>
    </w:p>
    <w:p w14:paraId="46A80083" w14:textId="6C0593A8" w:rsidR="007634CB" w:rsidRPr="002B008A" w:rsidRDefault="007634CB" w:rsidP="004E66A4">
      <w:pPr>
        <w:pStyle w:val="ListParagraph"/>
        <w:numPr>
          <w:ilvl w:val="0"/>
          <w:numId w:val="4"/>
        </w:numPr>
        <w:tabs>
          <w:tab w:val="left" w:pos="851"/>
        </w:tabs>
        <w:spacing w:after="120"/>
        <w:ind w:left="0" w:firstLine="567"/>
        <w:jc w:val="both"/>
        <w:rPr>
          <w:rFonts w:ascii="Times New Roman" w:hAnsi="Times New Roman" w:cs="Times New Roman"/>
          <w:b/>
          <w:bCs/>
          <w:color w:val="000000" w:themeColor="text1"/>
          <w:sz w:val="26"/>
          <w:szCs w:val="26"/>
          <w:lang w:val="vi-VN"/>
        </w:rPr>
      </w:pPr>
      <w:r w:rsidRPr="002B008A">
        <w:rPr>
          <w:rFonts w:ascii="Times New Roman" w:hAnsi="Times New Roman" w:cs="Times New Roman"/>
          <w:b/>
          <w:bCs/>
          <w:color w:val="000000" w:themeColor="text1"/>
          <w:sz w:val="26"/>
          <w:szCs w:val="26"/>
          <w:lang w:val="vi-VN"/>
        </w:rPr>
        <w:t xml:space="preserve">Hiệu quả sinh lời từ hoạt động cho vay sản xuất kinh doanh đối với khách hàng cá nhân tại Ngân hàng TMCP Quân đội – Chi nhánh Đà </w:t>
      </w:r>
      <w:r w:rsidR="00A03CAB" w:rsidRPr="002B008A">
        <w:rPr>
          <w:rFonts w:ascii="Times New Roman" w:hAnsi="Times New Roman" w:cs="Times New Roman"/>
          <w:b/>
          <w:bCs/>
          <w:color w:val="000000" w:themeColor="text1"/>
          <w:sz w:val="26"/>
          <w:szCs w:val="26"/>
          <w:lang w:val="vi-VN"/>
        </w:rPr>
        <w:t>Nẵng.</w:t>
      </w:r>
    </w:p>
    <w:p w14:paraId="2BC82997" w14:textId="285EE967" w:rsidR="00D47274" w:rsidRPr="002B008A" w:rsidRDefault="0032704C" w:rsidP="005251BB">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Để đánh giá hiệu quả sinh lời từ hoạt động cho vay SXKD đối với KHCN tại MB Đà Nẵng, có thể xem xét chỉ tiêu thu nhập lãi thuần và tỷ lệ NIM qua các năm. Các chỉ tiêu này phản ánh kết quả tài chính từ hoạt động cho vay cũng như hiệu quả sử dụng vốn tín dụng của chi nhánh. Cụ thể, tình hình thu nhập lãi thuần và tỷ lệ NIM được thể hiện qua Bảng 2.</w:t>
      </w:r>
      <w:r w:rsidR="00AF3CEE" w:rsidRPr="002B008A">
        <w:rPr>
          <w:rFonts w:ascii="Times New Roman" w:hAnsi="Times New Roman" w:cs="Times New Roman"/>
          <w:color w:val="000000" w:themeColor="text1"/>
          <w:sz w:val="26"/>
          <w:szCs w:val="26"/>
          <w:lang w:val="vi-VN"/>
        </w:rPr>
        <w:t>11</w:t>
      </w:r>
      <w:r w:rsidRPr="002B008A">
        <w:rPr>
          <w:rFonts w:ascii="Times New Roman" w:hAnsi="Times New Roman" w:cs="Times New Roman"/>
          <w:color w:val="000000" w:themeColor="text1"/>
          <w:sz w:val="26"/>
          <w:szCs w:val="26"/>
          <w:lang w:val="vi-VN"/>
        </w:rPr>
        <w:t xml:space="preserve"> dưới đây.</w:t>
      </w:r>
    </w:p>
    <w:p w14:paraId="69A59FA4" w14:textId="4E5F3AD2" w:rsidR="00D3635B" w:rsidRPr="002B008A" w:rsidRDefault="00D3635B" w:rsidP="00D3635B">
      <w:pPr>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br w:type="page"/>
      </w:r>
    </w:p>
    <w:p w14:paraId="3503613F" w14:textId="4495EE66" w:rsidR="00B934DA" w:rsidRDefault="00466E65" w:rsidP="00B934DA">
      <w:pPr>
        <w:pStyle w:val="Caption"/>
        <w:spacing w:after="0" w:line="360" w:lineRule="auto"/>
        <w:ind w:firstLine="0"/>
        <w:jc w:val="center"/>
        <w:rPr>
          <w:rFonts w:ascii="Times New Roman" w:eastAsia="Times New Roman" w:hAnsi="Times New Roman" w:cs="Times New Roman"/>
          <w:b/>
          <w:bCs/>
          <w:i w:val="0"/>
          <w:iCs w:val="0"/>
          <w:color w:val="000000"/>
          <w:kern w:val="0"/>
          <w:sz w:val="26"/>
          <w:szCs w:val="26"/>
          <w:lang w:val="vi-VN"/>
          <w14:ligatures w14:val="none"/>
        </w:rPr>
      </w:pPr>
      <w:bookmarkStart w:id="59" w:name="_Toc230367587"/>
      <w:r w:rsidRPr="002B008A">
        <w:rPr>
          <w:rFonts w:ascii="Times New Roman" w:hAnsi="Times New Roman" w:cs="Times New Roman"/>
          <w:b/>
          <w:bCs/>
          <w:i w:val="0"/>
          <w:iCs w:val="0"/>
          <w:color w:val="000000" w:themeColor="text1"/>
          <w:sz w:val="26"/>
          <w:szCs w:val="26"/>
          <w:lang w:val="vi-VN"/>
        </w:rPr>
        <w:lastRenderedPageBreak/>
        <w:t>Bảng 2.</w:t>
      </w:r>
      <w:r w:rsidRPr="002B008A">
        <w:rPr>
          <w:rFonts w:ascii="Times New Roman" w:hAnsi="Times New Roman" w:cs="Times New Roman"/>
          <w:b/>
          <w:bCs/>
          <w:i w:val="0"/>
          <w:iCs w:val="0"/>
          <w:color w:val="000000" w:themeColor="text1"/>
          <w:sz w:val="26"/>
          <w:szCs w:val="26"/>
        </w:rPr>
        <w:fldChar w:fldCharType="begin"/>
      </w:r>
      <w:r w:rsidRPr="002B008A">
        <w:rPr>
          <w:rFonts w:ascii="Times New Roman" w:hAnsi="Times New Roman" w:cs="Times New Roman"/>
          <w:b/>
          <w:bCs/>
          <w:i w:val="0"/>
          <w:iCs w:val="0"/>
          <w:color w:val="000000" w:themeColor="text1"/>
          <w:sz w:val="26"/>
          <w:szCs w:val="26"/>
          <w:lang w:val="vi-VN"/>
        </w:rPr>
        <w:instrText xml:space="preserve"> SEQ Bảng_2. \* ARABIC </w:instrText>
      </w:r>
      <w:r w:rsidRPr="002B008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11</w:t>
      </w:r>
      <w:r w:rsidRPr="002B008A">
        <w:rPr>
          <w:rFonts w:ascii="Times New Roman" w:hAnsi="Times New Roman" w:cs="Times New Roman"/>
          <w:b/>
          <w:bCs/>
          <w:i w:val="0"/>
          <w:iCs w:val="0"/>
          <w:color w:val="000000" w:themeColor="text1"/>
          <w:sz w:val="26"/>
          <w:szCs w:val="26"/>
        </w:rPr>
        <w:fldChar w:fldCharType="end"/>
      </w:r>
      <w:r w:rsidRPr="002B008A">
        <w:rPr>
          <w:rFonts w:ascii="Times New Roman" w:hAnsi="Times New Roman" w:cs="Times New Roman"/>
          <w:b/>
          <w:bCs/>
          <w:i w:val="0"/>
          <w:iCs w:val="0"/>
          <w:color w:val="000000" w:themeColor="text1"/>
          <w:sz w:val="26"/>
          <w:szCs w:val="26"/>
          <w:lang w:val="vi-VN"/>
        </w:rPr>
        <w:t xml:space="preserve"> </w:t>
      </w:r>
      <w:r w:rsidR="007634CB" w:rsidRPr="002B008A">
        <w:rPr>
          <w:rFonts w:ascii="Times New Roman" w:eastAsia="Times New Roman" w:hAnsi="Times New Roman" w:cs="Times New Roman"/>
          <w:b/>
          <w:bCs/>
          <w:i w:val="0"/>
          <w:iCs w:val="0"/>
          <w:color w:val="000000" w:themeColor="text1"/>
          <w:kern w:val="0"/>
          <w:sz w:val="26"/>
          <w:szCs w:val="26"/>
          <w:lang w:val="vi-VN"/>
          <w14:ligatures w14:val="none"/>
        </w:rPr>
        <w:t xml:space="preserve">Thu </w:t>
      </w:r>
      <w:r w:rsidR="007634CB" w:rsidRPr="002B008A">
        <w:rPr>
          <w:rFonts w:ascii="Times New Roman" w:eastAsia="Times New Roman" w:hAnsi="Times New Roman" w:cs="Times New Roman"/>
          <w:b/>
          <w:bCs/>
          <w:i w:val="0"/>
          <w:iCs w:val="0"/>
          <w:color w:val="000000"/>
          <w:kern w:val="0"/>
          <w:sz w:val="26"/>
          <w:szCs w:val="26"/>
          <w:lang w:val="vi-VN"/>
          <w14:ligatures w14:val="none"/>
        </w:rPr>
        <w:t xml:space="preserve">nhập lãi thuần từ </w:t>
      </w:r>
      <w:bookmarkEnd w:id="59"/>
      <w:r w:rsidR="00B934DA" w:rsidRPr="00B934DA">
        <w:rPr>
          <w:rFonts w:ascii="Times New Roman" w:eastAsia="Times New Roman" w:hAnsi="Times New Roman" w:cs="Times New Roman"/>
          <w:b/>
          <w:bCs/>
          <w:i w:val="0"/>
          <w:iCs w:val="0"/>
          <w:color w:val="000000"/>
          <w:kern w:val="0"/>
          <w:sz w:val="26"/>
          <w:szCs w:val="26"/>
          <w:lang w:val="vi-VN"/>
          <w14:ligatures w14:val="none"/>
        </w:rPr>
        <w:t>từ hoạt động cho vay sản xuất kinh doanh đối với khách hàng cá nhân tại Ngân hàng TMCP Quân đội – Chi nhánh Đà Nẵng.</w:t>
      </w:r>
    </w:p>
    <w:p w14:paraId="316A1272" w14:textId="608A4EF1" w:rsidR="007634CB" w:rsidRPr="002B008A" w:rsidRDefault="007634CB" w:rsidP="00B934DA">
      <w:pPr>
        <w:pStyle w:val="Caption"/>
        <w:spacing w:after="0" w:line="360" w:lineRule="auto"/>
        <w:ind w:firstLine="0"/>
        <w:jc w:val="right"/>
        <w:rPr>
          <w:rFonts w:ascii="Times New Roman" w:hAnsi="Times New Roman" w:cs="Times New Roman"/>
          <w:i w:val="0"/>
          <w:iCs w:val="0"/>
          <w:color w:val="000000" w:themeColor="text1"/>
          <w:sz w:val="26"/>
          <w:szCs w:val="26"/>
          <w:lang w:val="vi-VN"/>
        </w:rPr>
      </w:pPr>
      <w:r w:rsidRPr="002B008A">
        <w:rPr>
          <w:rFonts w:ascii="Times New Roman" w:hAnsi="Times New Roman" w:cs="Times New Roman"/>
          <w:color w:val="000000" w:themeColor="text1"/>
          <w:sz w:val="26"/>
          <w:szCs w:val="26"/>
          <w:lang w:val="vi-VN"/>
        </w:rPr>
        <w:t>Đ</w:t>
      </w:r>
      <w:r w:rsidR="00EF0259" w:rsidRPr="002B008A">
        <w:rPr>
          <w:rFonts w:ascii="Times New Roman" w:hAnsi="Times New Roman" w:cs="Times New Roman"/>
          <w:color w:val="000000" w:themeColor="text1"/>
          <w:sz w:val="26"/>
          <w:szCs w:val="26"/>
          <w:lang w:val="vi-VN"/>
        </w:rPr>
        <w:t>ơn vị tính</w:t>
      </w:r>
      <w:r w:rsidRPr="002B008A">
        <w:rPr>
          <w:rFonts w:ascii="Times New Roman" w:hAnsi="Times New Roman" w:cs="Times New Roman"/>
          <w:color w:val="000000" w:themeColor="text1"/>
          <w:sz w:val="26"/>
          <w:szCs w:val="26"/>
          <w:lang w:val="vi-VN"/>
        </w:rPr>
        <w:t>: Tỷ đồng</w:t>
      </w:r>
    </w:p>
    <w:tbl>
      <w:tblPr>
        <w:tblW w:w="9098" w:type="dxa"/>
        <w:tblLayout w:type="fixed"/>
        <w:tblLook w:val="04A0" w:firstRow="1" w:lastRow="0" w:firstColumn="1" w:lastColumn="0" w:noHBand="0" w:noVBand="1"/>
      </w:tblPr>
      <w:tblGrid>
        <w:gridCol w:w="2359"/>
        <w:gridCol w:w="1035"/>
        <w:gridCol w:w="1034"/>
        <w:gridCol w:w="1034"/>
        <w:gridCol w:w="887"/>
        <w:gridCol w:w="886"/>
        <w:gridCol w:w="1034"/>
        <w:gridCol w:w="829"/>
      </w:tblGrid>
      <w:tr w:rsidR="00337AE9" w:rsidRPr="002B008A" w14:paraId="5C615401" w14:textId="77777777" w:rsidTr="00545BE9">
        <w:trPr>
          <w:trHeight w:val="346"/>
        </w:trPr>
        <w:tc>
          <w:tcPr>
            <w:tcW w:w="2359"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36286AF2"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Chỉ tiêu</w:t>
            </w:r>
          </w:p>
        </w:tc>
        <w:tc>
          <w:tcPr>
            <w:tcW w:w="1035" w:type="dxa"/>
            <w:tcBorders>
              <w:top w:val="single" w:sz="4" w:space="0" w:color="auto"/>
              <w:left w:val="nil"/>
              <w:bottom w:val="single" w:sz="4" w:space="0" w:color="auto"/>
              <w:right w:val="single" w:sz="4" w:space="0" w:color="auto"/>
            </w:tcBorders>
            <w:shd w:val="clear" w:color="000000" w:fill="DDEBF7"/>
            <w:noWrap/>
            <w:vAlign w:val="center"/>
            <w:hideMark/>
          </w:tcPr>
          <w:p w14:paraId="479B9916"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2023</w:t>
            </w:r>
          </w:p>
        </w:tc>
        <w:tc>
          <w:tcPr>
            <w:tcW w:w="1034" w:type="dxa"/>
            <w:tcBorders>
              <w:top w:val="single" w:sz="4" w:space="0" w:color="auto"/>
              <w:left w:val="nil"/>
              <w:bottom w:val="single" w:sz="4" w:space="0" w:color="auto"/>
              <w:right w:val="single" w:sz="4" w:space="0" w:color="auto"/>
            </w:tcBorders>
            <w:shd w:val="clear" w:color="000000" w:fill="DDEBF7"/>
            <w:noWrap/>
            <w:vAlign w:val="center"/>
            <w:hideMark/>
          </w:tcPr>
          <w:p w14:paraId="374CAC4C"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2024</w:t>
            </w:r>
          </w:p>
        </w:tc>
        <w:tc>
          <w:tcPr>
            <w:tcW w:w="1034" w:type="dxa"/>
            <w:tcBorders>
              <w:top w:val="single" w:sz="4" w:space="0" w:color="auto"/>
              <w:left w:val="nil"/>
              <w:bottom w:val="single" w:sz="4" w:space="0" w:color="auto"/>
              <w:right w:val="single" w:sz="4" w:space="0" w:color="auto"/>
            </w:tcBorders>
            <w:shd w:val="clear" w:color="000000" w:fill="DDEBF7"/>
            <w:noWrap/>
            <w:vAlign w:val="center"/>
            <w:hideMark/>
          </w:tcPr>
          <w:p w14:paraId="137AA825"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2025</w:t>
            </w:r>
          </w:p>
        </w:tc>
        <w:tc>
          <w:tcPr>
            <w:tcW w:w="1773"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63914052" w14:textId="3D365939"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lang w:eastAsia="zh-CN"/>
                <w14:ligatures w14:val="none"/>
              </w:rPr>
              <w:t>Chênh lệch 2024/2023</w:t>
            </w:r>
          </w:p>
        </w:tc>
        <w:tc>
          <w:tcPr>
            <w:tcW w:w="1863" w:type="dxa"/>
            <w:gridSpan w:val="2"/>
            <w:tcBorders>
              <w:top w:val="single" w:sz="4" w:space="0" w:color="auto"/>
              <w:left w:val="nil"/>
              <w:bottom w:val="single" w:sz="4" w:space="0" w:color="auto"/>
              <w:right w:val="single" w:sz="4" w:space="0" w:color="000000"/>
            </w:tcBorders>
            <w:shd w:val="clear" w:color="000000" w:fill="DDEBF7"/>
            <w:noWrap/>
            <w:vAlign w:val="center"/>
            <w:hideMark/>
          </w:tcPr>
          <w:p w14:paraId="565D826C" w14:textId="357BFD65"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lang w:eastAsia="zh-CN"/>
                <w14:ligatures w14:val="none"/>
              </w:rPr>
              <w:t>Chênh lệch 2025/2024</w:t>
            </w:r>
          </w:p>
        </w:tc>
      </w:tr>
      <w:tr w:rsidR="00337AE9" w:rsidRPr="002B008A" w14:paraId="2D576636" w14:textId="77777777" w:rsidTr="00545BE9">
        <w:trPr>
          <w:trHeight w:val="346"/>
        </w:trPr>
        <w:tc>
          <w:tcPr>
            <w:tcW w:w="2359" w:type="dxa"/>
            <w:vMerge/>
            <w:tcBorders>
              <w:top w:val="single" w:sz="4" w:space="0" w:color="auto"/>
              <w:left w:val="single" w:sz="4" w:space="0" w:color="auto"/>
              <w:bottom w:val="single" w:sz="4" w:space="0" w:color="000000"/>
              <w:right w:val="single" w:sz="4" w:space="0" w:color="auto"/>
            </w:tcBorders>
            <w:vAlign w:val="center"/>
            <w:hideMark/>
          </w:tcPr>
          <w:p w14:paraId="1CE0A459" w14:textId="77777777" w:rsidR="00337AE9" w:rsidRPr="002B008A" w:rsidRDefault="00337AE9" w:rsidP="00B934DA">
            <w:pPr>
              <w:spacing w:after="0"/>
              <w:rPr>
                <w:rFonts w:ascii="Times New Roman" w:eastAsia="Times New Roman" w:hAnsi="Times New Roman" w:cs="Times New Roman"/>
                <w:b/>
                <w:bCs/>
                <w:color w:val="000000"/>
                <w:kern w:val="0"/>
                <w:sz w:val="24"/>
                <w:szCs w:val="24"/>
                <w14:ligatures w14:val="none"/>
              </w:rPr>
            </w:pPr>
          </w:p>
        </w:tc>
        <w:tc>
          <w:tcPr>
            <w:tcW w:w="1035" w:type="dxa"/>
            <w:tcBorders>
              <w:top w:val="nil"/>
              <w:left w:val="nil"/>
              <w:bottom w:val="single" w:sz="4" w:space="0" w:color="auto"/>
              <w:right w:val="single" w:sz="4" w:space="0" w:color="auto"/>
            </w:tcBorders>
            <w:shd w:val="clear" w:color="000000" w:fill="DDEBF7"/>
            <w:noWrap/>
            <w:vAlign w:val="center"/>
            <w:hideMark/>
          </w:tcPr>
          <w:p w14:paraId="710DB914"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1034" w:type="dxa"/>
            <w:tcBorders>
              <w:top w:val="nil"/>
              <w:left w:val="nil"/>
              <w:bottom w:val="single" w:sz="4" w:space="0" w:color="auto"/>
              <w:right w:val="single" w:sz="4" w:space="0" w:color="auto"/>
            </w:tcBorders>
            <w:shd w:val="clear" w:color="000000" w:fill="DDEBF7"/>
            <w:noWrap/>
            <w:vAlign w:val="center"/>
            <w:hideMark/>
          </w:tcPr>
          <w:p w14:paraId="368230CC"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1034" w:type="dxa"/>
            <w:tcBorders>
              <w:top w:val="nil"/>
              <w:left w:val="nil"/>
              <w:bottom w:val="single" w:sz="4" w:space="0" w:color="auto"/>
              <w:right w:val="single" w:sz="4" w:space="0" w:color="auto"/>
            </w:tcBorders>
            <w:shd w:val="clear" w:color="000000" w:fill="DDEBF7"/>
            <w:noWrap/>
            <w:vAlign w:val="center"/>
            <w:hideMark/>
          </w:tcPr>
          <w:p w14:paraId="3B96D7C1"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887" w:type="dxa"/>
            <w:tcBorders>
              <w:top w:val="nil"/>
              <w:left w:val="nil"/>
              <w:bottom w:val="single" w:sz="4" w:space="0" w:color="auto"/>
              <w:right w:val="single" w:sz="4" w:space="0" w:color="auto"/>
            </w:tcBorders>
            <w:shd w:val="clear" w:color="000000" w:fill="DDEBF7"/>
            <w:noWrap/>
            <w:vAlign w:val="center"/>
            <w:hideMark/>
          </w:tcPr>
          <w:p w14:paraId="24DFD232"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886" w:type="dxa"/>
            <w:tcBorders>
              <w:top w:val="nil"/>
              <w:left w:val="nil"/>
              <w:bottom w:val="single" w:sz="4" w:space="0" w:color="auto"/>
              <w:right w:val="single" w:sz="4" w:space="0" w:color="auto"/>
            </w:tcBorders>
            <w:shd w:val="clear" w:color="000000" w:fill="DDEBF7"/>
            <w:noWrap/>
            <w:vAlign w:val="center"/>
            <w:hideMark/>
          </w:tcPr>
          <w:p w14:paraId="398F7BCA"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Tỷ lệ (%)</w:t>
            </w:r>
          </w:p>
        </w:tc>
        <w:tc>
          <w:tcPr>
            <w:tcW w:w="1034" w:type="dxa"/>
            <w:tcBorders>
              <w:top w:val="nil"/>
              <w:left w:val="nil"/>
              <w:bottom w:val="single" w:sz="4" w:space="0" w:color="auto"/>
              <w:right w:val="single" w:sz="4" w:space="0" w:color="auto"/>
            </w:tcBorders>
            <w:shd w:val="clear" w:color="000000" w:fill="DDEBF7"/>
            <w:noWrap/>
            <w:vAlign w:val="center"/>
            <w:hideMark/>
          </w:tcPr>
          <w:p w14:paraId="508CD3FE"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828" w:type="dxa"/>
            <w:tcBorders>
              <w:top w:val="nil"/>
              <w:left w:val="nil"/>
              <w:bottom w:val="single" w:sz="4" w:space="0" w:color="auto"/>
              <w:right w:val="single" w:sz="4" w:space="0" w:color="auto"/>
            </w:tcBorders>
            <w:shd w:val="clear" w:color="000000" w:fill="DDEBF7"/>
            <w:noWrap/>
            <w:vAlign w:val="center"/>
            <w:hideMark/>
          </w:tcPr>
          <w:p w14:paraId="45AD886C" w14:textId="77777777" w:rsidR="00337AE9" w:rsidRPr="002B008A" w:rsidRDefault="00337AE9" w:rsidP="00B934DA">
            <w:pPr>
              <w:spacing w:after="0"/>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Tỷ lệ (%)</w:t>
            </w:r>
          </w:p>
        </w:tc>
      </w:tr>
      <w:tr w:rsidR="00155F03" w:rsidRPr="002B008A" w14:paraId="52860205" w14:textId="77777777" w:rsidTr="00545BE9">
        <w:trPr>
          <w:trHeight w:val="346"/>
        </w:trPr>
        <w:tc>
          <w:tcPr>
            <w:tcW w:w="2359" w:type="dxa"/>
            <w:tcBorders>
              <w:top w:val="nil"/>
              <w:left w:val="single" w:sz="4" w:space="0" w:color="auto"/>
              <w:bottom w:val="single" w:sz="4" w:space="0" w:color="auto"/>
              <w:right w:val="single" w:sz="4" w:space="0" w:color="auto"/>
            </w:tcBorders>
            <w:noWrap/>
            <w:vAlign w:val="center"/>
            <w:hideMark/>
          </w:tcPr>
          <w:p w14:paraId="0CF8EA54" w14:textId="773EF0EB" w:rsidR="00155F03" w:rsidRPr="002B008A" w:rsidRDefault="00155F03" w:rsidP="00B934DA">
            <w:pPr>
              <w:spacing w:after="0"/>
              <w:rPr>
                <w:rFonts w:ascii="Times New Roman" w:eastAsia="Times New Roman" w:hAnsi="Times New Roman" w:cs="Times New Roman"/>
                <w:color w:val="000000"/>
                <w:kern w:val="0"/>
                <w:sz w:val="24"/>
                <w:szCs w:val="24"/>
                <w14:ligatures w14:val="none"/>
              </w:rPr>
            </w:pPr>
            <w:r w:rsidRPr="002B008A">
              <w:rPr>
                <w:rFonts w:ascii="Times New Roman" w:eastAsia="Times New Roman" w:hAnsi="Times New Roman" w:cs="Times New Roman"/>
                <w:color w:val="000000"/>
                <w:kern w:val="0"/>
                <w:sz w:val="24"/>
                <w:szCs w:val="24"/>
                <w14:ligatures w14:val="none"/>
              </w:rPr>
              <w:t>Thu nhập lãi thuần từ hoạt động cho vay SXKD đối với KHCN</w:t>
            </w:r>
          </w:p>
        </w:tc>
        <w:tc>
          <w:tcPr>
            <w:tcW w:w="1035" w:type="dxa"/>
            <w:tcBorders>
              <w:top w:val="single" w:sz="4" w:space="0" w:color="auto"/>
              <w:left w:val="single" w:sz="4" w:space="0" w:color="auto"/>
              <w:bottom w:val="single" w:sz="4" w:space="0" w:color="auto"/>
              <w:right w:val="single" w:sz="4" w:space="0" w:color="auto"/>
            </w:tcBorders>
            <w:noWrap/>
            <w:vAlign w:val="center"/>
            <w:hideMark/>
          </w:tcPr>
          <w:p w14:paraId="444261A5" w14:textId="0B812B0D"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56,2</w:t>
            </w:r>
          </w:p>
        </w:tc>
        <w:tc>
          <w:tcPr>
            <w:tcW w:w="1034" w:type="dxa"/>
            <w:tcBorders>
              <w:top w:val="single" w:sz="4" w:space="0" w:color="auto"/>
              <w:left w:val="nil"/>
              <w:bottom w:val="single" w:sz="4" w:space="0" w:color="auto"/>
              <w:right w:val="single" w:sz="4" w:space="0" w:color="auto"/>
            </w:tcBorders>
            <w:noWrap/>
            <w:vAlign w:val="center"/>
            <w:hideMark/>
          </w:tcPr>
          <w:p w14:paraId="41A8DB92" w14:textId="13FE4C2E"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70,45</w:t>
            </w:r>
          </w:p>
        </w:tc>
        <w:tc>
          <w:tcPr>
            <w:tcW w:w="1034" w:type="dxa"/>
            <w:tcBorders>
              <w:top w:val="single" w:sz="4" w:space="0" w:color="auto"/>
              <w:left w:val="nil"/>
              <w:bottom w:val="single" w:sz="4" w:space="0" w:color="auto"/>
              <w:right w:val="single" w:sz="4" w:space="0" w:color="auto"/>
            </w:tcBorders>
            <w:noWrap/>
            <w:vAlign w:val="center"/>
            <w:hideMark/>
          </w:tcPr>
          <w:p w14:paraId="05FC47B6" w14:textId="019B83AE"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86,3</w:t>
            </w:r>
          </w:p>
        </w:tc>
        <w:tc>
          <w:tcPr>
            <w:tcW w:w="887" w:type="dxa"/>
            <w:tcBorders>
              <w:top w:val="single" w:sz="4" w:space="0" w:color="auto"/>
              <w:left w:val="nil"/>
              <w:bottom w:val="single" w:sz="4" w:space="0" w:color="auto"/>
              <w:right w:val="single" w:sz="4" w:space="0" w:color="auto"/>
            </w:tcBorders>
            <w:noWrap/>
            <w:vAlign w:val="center"/>
            <w:hideMark/>
          </w:tcPr>
          <w:p w14:paraId="3A57B229" w14:textId="06E2981A"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14,25</w:t>
            </w:r>
          </w:p>
        </w:tc>
        <w:tc>
          <w:tcPr>
            <w:tcW w:w="886" w:type="dxa"/>
            <w:tcBorders>
              <w:top w:val="single" w:sz="4" w:space="0" w:color="auto"/>
              <w:left w:val="nil"/>
              <w:bottom w:val="single" w:sz="4" w:space="0" w:color="auto"/>
              <w:right w:val="single" w:sz="4" w:space="0" w:color="auto"/>
            </w:tcBorders>
            <w:noWrap/>
            <w:vAlign w:val="center"/>
            <w:hideMark/>
          </w:tcPr>
          <w:p w14:paraId="515AACB4" w14:textId="168D226C"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25,36</w:t>
            </w:r>
          </w:p>
        </w:tc>
        <w:tc>
          <w:tcPr>
            <w:tcW w:w="1034" w:type="dxa"/>
            <w:tcBorders>
              <w:top w:val="single" w:sz="4" w:space="0" w:color="auto"/>
              <w:left w:val="nil"/>
              <w:bottom w:val="single" w:sz="4" w:space="0" w:color="auto"/>
              <w:right w:val="single" w:sz="4" w:space="0" w:color="auto"/>
            </w:tcBorders>
            <w:noWrap/>
            <w:vAlign w:val="center"/>
            <w:hideMark/>
          </w:tcPr>
          <w:p w14:paraId="1EA05F1E" w14:textId="44F3494C"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15,85</w:t>
            </w:r>
          </w:p>
        </w:tc>
        <w:tc>
          <w:tcPr>
            <w:tcW w:w="828" w:type="dxa"/>
            <w:tcBorders>
              <w:top w:val="single" w:sz="4" w:space="0" w:color="auto"/>
              <w:left w:val="nil"/>
              <w:bottom w:val="single" w:sz="4" w:space="0" w:color="auto"/>
              <w:right w:val="single" w:sz="4" w:space="0" w:color="auto"/>
            </w:tcBorders>
            <w:noWrap/>
            <w:vAlign w:val="center"/>
            <w:hideMark/>
          </w:tcPr>
          <w:p w14:paraId="096DC0B1" w14:textId="05F602F2"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22,50</w:t>
            </w:r>
          </w:p>
        </w:tc>
      </w:tr>
      <w:tr w:rsidR="00155F03" w:rsidRPr="002B008A" w14:paraId="492B0F4B" w14:textId="77777777" w:rsidTr="00545BE9">
        <w:trPr>
          <w:trHeight w:val="615"/>
        </w:trPr>
        <w:tc>
          <w:tcPr>
            <w:tcW w:w="2359" w:type="dxa"/>
            <w:tcBorders>
              <w:top w:val="nil"/>
              <w:left w:val="single" w:sz="4" w:space="0" w:color="auto"/>
              <w:bottom w:val="single" w:sz="4" w:space="0" w:color="auto"/>
              <w:right w:val="single" w:sz="4" w:space="0" w:color="auto"/>
            </w:tcBorders>
            <w:noWrap/>
            <w:vAlign w:val="center"/>
            <w:hideMark/>
          </w:tcPr>
          <w:p w14:paraId="7A084ABC" w14:textId="5B87CD29" w:rsidR="00155F03" w:rsidRPr="002B008A" w:rsidRDefault="00155F03" w:rsidP="00B934DA">
            <w:pPr>
              <w:spacing w:after="0"/>
              <w:rPr>
                <w:rFonts w:ascii="Times New Roman" w:eastAsia="Times New Roman" w:hAnsi="Times New Roman" w:cs="Times New Roman"/>
                <w:color w:val="000000"/>
                <w:kern w:val="0"/>
                <w:sz w:val="24"/>
                <w:szCs w:val="24"/>
                <w14:ligatures w14:val="none"/>
              </w:rPr>
            </w:pPr>
            <w:r w:rsidRPr="002B008A">
              <w:rPr>
                <w:rFonts w:ascii="Times New Roman" w:eastAsia="Times New Roman" w:hAnsi="Times New Roman" w:cs="Times New Roman"/>
                <w:color w:val="000000"/>
                <w:kern w:val="0"/>
                <w:sz w:val="24"/>
                <w:szCs w:val="24"/>
                <w14:ligatures w14:val="none"/>
              </w:rPr>
              <w:t>Tài sản sinh lãi</w:t>
            </w:r>
          </w:p>
        </w:tc>
        <w:tc>
          <w:tcPr>
            <w:tcW w:w="1035" w:type="dxa"/>
            <w:tcBorders>
              <w:top w:val="nil"/>
              <w:left w:val="single" w:sz="4" w:space="0" w:color="auto"/>
              <w:bottom w:val="single" w:sz="4" w:space="0" w:color="auto"/>
              <w:right w:val="single" w:sz="4" w:space="0" w:color="auto"/>
            </w:tcBorders>
            <w:noWrap/>
            <w:vAlign w:val="center"/>
            <w:hideMark/>
          </w:tcPr>
          <w:p w14:paraId="2B281518" w14:textId="2E53D075"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392,45</w:t>
            </w:r>
          </w:p>
        </w:tc>
        <w:tc>
          <w:tcPr>
            <w:tcW w:w="1034" w:type="dxa"/>
            <w:tcBorders>
              <w:top w:val="nil"/>
              <w:left w:val="nil"/>
              <w:bottom w:val="single" w:sz="4" w:space="0" w:color="auto"/>
              <w:right w:val="single" w:sz="4" w:space="0" w:color="auto"/>
            </w:tcBorders>
            <w:noWrap/>
            <w:vAlign w:val="center"/>
            <w:hideMark/>
          </w:tcPr>
          <w:p w14:paraId="3BBE0ADE" w14:textId="645F160F"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469,86</w:t>
            </w:r>
          </w:p>
        </w:tc>
        <w:tc>
          <w:tcPr>
            <w:tcW w:w="1034" w:type="dxa"/>
            <w:tcBorders>
              <w:top w:val="nil"/>
              <w:left w:val="nil"/>
              <w:bottom w:val="single" w:sz="4" w:space="0" w:color="auto"/>
              <w:right w:val="single" w:sz="4" w:space="0" w:color="auto"/>
            </w:tcBorders>
            <w:noWrap/>
            <w:vAlign w:val="center"/>
            <w:hideMark/>
          </w:tcPr>
          <w:p w14:paraId="04B3B5A0" w14:textId="1A77F4D0"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619,67</w:t>
            </w:r>
          </w:p>
        </w:tc>
        <w:tc>
          <w:tcPr>
            <w:tcW w:w="887" w:type="dxa"/>
            <w:tcBorders>
              <w:top w:val="nil"/>
              <w:left w:val="nil"/>
              <w:bottom w:val="single" w:sz="4" w:space="0" w:color="auto"/>
              <w:right w:val="single" w:sz="4" w:space="0" w:color="auto"/>
            </w:tcBorders>
            <w:noWrap/>
            <w:vAlign w:val="center"/>
            <w:hideMark/>
          </w:tcPr>
          <w:p w14:paraId="7D4B7FD5" w14:textId="64AF3729"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77,41</w:t>
            </w:r>
          </w:p>
        </w:tc>
        <w:tc>
          <w:tcPr>
            <w:tcW w:w="886" w:type="dxa"/>
            <w:tcBorders>
              <w:top w:val="nil"/>
              <w:left w:val="nil"/>
              <w:bottom w:val="single" w:sz="4" w:space="0" w:color="auto"/>
              <w:right w:val="single" w:sz="4" w:space="0" w:color="auto"/>
            </w:tcBorders>
            <w:noWrap/>
            <w:vAlign w:val="center"/>
            <w:hideMark/>
          </w:tcPr>
          <w:p w14:paraId="5473FDDF" w14:textId="0A7C2EA9"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19,72</w:t>
            </w:r>
          </w:p>
        </w:tc>
        <w:tc>
          <w:tcPr>
            <w:tcW w:w="1034" w:type="dxa"/>
            <w:tcBorders>
              <w:top w:val="nil"/>
              <w:left w:val="nil"/>
              <w:bottom w:val="single" w:sz="4" w:space="0" w:color="auto"/>
              <w:right w:val="single" w:sz="4" w:space="0" w:color="auto"/>
            </w:tcBorders>
            <w:noWrap/>
            <w:vAlign w:val="center"/>
            <w:hideMark/>
          </w:tcPr>
          <w:p w14:paraId="00DF38A5" w14:textId="2752EDB6"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149,81</w:t>
            </w:r>
          </w:p>
        </w:tc>
        <w:tc>
          <w:tcPr>
            <w:tcW w:w="828" w:type="dxa"/>
            <w:tcBorders>
              <w:top w:val="nil"/>
              <w:left w:val="nil"/>
              <w:bottom w:val="single" w:sz="4" w:space="0" w:color="auto"/>
              <w:right w:val="single" w:sz="4" w:space="0" w:color="auto"/>
            </w:tcBorders>
            <w:noWrap/>
            <w:vAlign w:val="center"/>
            <w:hideMark/>
          </w:tcPr>
          <w:p w14:paraId="0E8CC33F" w14:textId="5A2A33BB"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31,88</w:t>
            </w:r>
          </w:p>
        </w:tc>
      </w:tr>
      <w:tr w:rsidR="00155F03" w:rsidRPr="002B008A" w14:paraId="4A22FCEE" w14:textId="77777777" w:rsidTr="00545BE9">
        <w:trPr>
          <w:trHeight w:val="347"/>
        </w:trPr>
        <w:tc>
          <w:tcPr>
            <w:tcW w:w="2359" w:type="dxa"/>
            <w:tcBorders>
              <w:top w:val="nil"/>
              <w:left w:val="single" w:sz="4" w:space="0" w:color="auto"/>
              <w:bottom w:val="single" w:sz="4" w:space="0" w:color="auto"/>
              <w:right w:val="single" w:sz="4" w:space="0" w:color="auto"/>
            </w:tcBorders>
            <w:noWrap/>
            <w:vAlign w:val="center"/>
            <w:hideMark/>
          </w:tcPr>
          <w:p w14:paraId="13F69990" w14:textId="6FEEE973" w:rsidR="00155F03" w:rsidRPr="002B008A" w:rsidRDefault="00155F03" w:rsidP="00B934DA">
            <w:pPr>
              <w:spacing w:after="0"/>
              <w:rPr>
                <w:rFonts w:ascii="Times New Roman" w:eastAsia="Times New Roman" w:hAnsi="Times New Roman" w:cs="Times New Roman"/>
                <w:color w:val="000000"/>
                <w:kern w:val="0"/>
                <w:sz w:val="24"/>
                <w:szCs w:val="24"/>
                <w14:ligatures w14:val="none"/>
              </w:rPr>
            </w:pPr>
            <w:r w:rsidRPr="002B008A">
              <w:rPr>
                <w:rFonts w:ascii="Times New Roman" w:eastAsia="Times New Roman" w:hAnsi="Times New Roman" w:cs="Times New Roman"/>
                <w:color w:val="000000"/>
                <w:kern w:val="0"/>
                <w:sz w:val="24"/>
                <w:szCs w:val="24"/>
                <w14:ligatures w14:val="none"/>
              </w:rPr>
              <w:t xml:space="preserve">Tỷ lệ thu nhập lãi thuần (NIM) </w:t>
            </w:r>
          </w:p>
        </w:tc>
        <w:tc>
          <w:tcPr>
            <w:tcW w:w="1035" w:type="dxa"/>
            <w:tcBorders>
              <w:top w:val="nil"/>
              <w:left w:val="single" w:sz="4" w:space="0" w:color="auto"/>
              <w:bottom w:val="single" w:sz="4" w:space="0" w:color="auto"/>
              <w:right w:val="single" w:sz="4" w:space="0" w:color="auto"/>
            </w:tcBorders>
            <w:noWrap/>
            <w:vAlign w:val="center"/>
            <w:hideMark/>
          </w:tcPr>
          <w:p w14:paraId="766DD4EB" w14:textId="67F8C536"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14,32</w:t>
            </w:r>
          </w:p>
        </w:tc>
        <w:tc>
          <w:tcPr>
            <w:tcW w:w="1034" w:type="dxa"/>
            <w:tcBorders>
              <w:top w:val="nil"/>
              <w:left w:val="nil"/>
              <w:bottom w:val="single" w:sz="4" w:space="0" w:color="auto"/>
              <w:right w:val="single" w:sz="4" w:space="0" w:color="auto"/>
            </w:tcBorders>
            <w:noWrap/>
            <w:vAlign w:val="center"/>
            <w:hideMark/>
          </w:tcPr>
          <w:p w14:paraId="6E8E30A2" w14:textId="59A1965B"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14,99</w:t>
            </w:r>
          </w:p>
        </w:tc>
        <w:tc>
          <w:tcPr>
            <w:tcW w:w="1034" w:type="dxa"/>
            <w:tcBorders>
              <w:top w:val="nil"/>
              <w:left w:val="nil"/>
              <w:bottom w:val="single" w:sz="4" w:space="0" w:color="auto"/>
              <w:right w:val="single" w:sz="4" w:space="0" w:color="auto"/>
            </w:tcBorders>
            <w:noWrap/>
            <w:vAlign w:val="center"/>
            <w:hideMark/>
          </w:tcPr>
          <w:p w14:paraId="5FEC9B07" w14:textId="7B81F0CE"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13,93</w:t>
            </w:r>
          </w:p>
        </w:tc>
        <w:tc>
          <w:tcPr>
            <w:tcW w:w="1773" w:type="dxa"/>
            <w:gridSpan w:val="2"/>
            <w:tcBorders>
              <w:top w:val="single" w:sz="4" w:space="0" w:color="auto"/>
              <w:left w:val="nil"/>
              <w:bottom w:val="single" w:sz="4" w:space="0" w:color="auto"/>
              <w:right w:val="single" w:sz="4" w:space="0" w:color="auto"/>
            </w:tcBorders>
            <w:noWrap/>
            <w:vAlign w:val="center"/>
            <w:hideMark/>
          </w:tcPr>
          <w:p w14:paraId="13045634" w14:textId="72E394AC" w:rsidR="00155F03" w:rsidRPr="002B008A" w:rsidRDefault="00155F03" w:rsidP="00B934DA">
            <w:pPr>
              <w:spacing w:after="0"/>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0,67</w:t>
            </w:r>
          </w:p>
        </w:tc>
        <w:tc>
          <w:tcPr>
            <w:tcW w:w="1863" w:type="dxa"/>
            <w:gridSpan w:val="2"/>
            <w:tcBorders>
              <w:top w:val="single" w:sz="4" w:space="0" w:color="auto"/>
              <w:left w:val="nil"/>
              <w:bottom w:val="single" w:sz="4" w:space="0" w:color="auto"/>
              <w:right w:val="single" w:sz="4" w:space="0" w:color="auto"/>
            </w:tcBorders>
            <w:noWrap/>
            <w:vAlign w:val="center"/>
            <w:hideMark/>
          </w:tcPr>
          <w:p w14:paraId="286BC9A1" w14:textId="5CE24723" w:rsidR="00155F03" w:rsidRPr="002B008A" w:rsidRDefault="00155F03" w:rsidP="00B934DA">
            <w:pPr>
              <w:spacing w:after="0"/>
              <w:jc w:val="center"/>
              <w:rPr>
                <w:rFonts w:ascii="Times New Roman" w:eastAsia="Times New Roman" w:hAnsi="Times New Roman" w:cs="Times New Roman"/>
                <w:color w:val="000000"/>
                <w:kern w:val="0"/>
                <w:sz w:val="24"/>
                <w:szCs w:val="24"/>
                <w:lang w:val="vi-VN"/>
                <w14:ligatures w14:val="none"/>
              </w:rPr>
            </w:pPr>
            <w:r w:rsidRPr="002B008A">
              <w:rPr>
                <w:rFonts w:ascii="Times New Roman" w:hAnsi="Times New Roman" w:cs="Times New Roman"/>
                <w:color w:val="000000"/>
                <w:sz w:val="24"/>
                <w:szCs w:val="24"/>
              </w:rPr>
              <w:t>-1,07</w:t>
            </w:r>
          </w:p>
        </w:tc>
      </w:tr>
    </w:tbl>
    <w:p w14:paraId="78826CA9" w14:textId="77777777" w:rsidR="00435073" w:rsidRDefault="00435073" w:rsidP="00B934DA">
      <w:pPr>
        <w:tabs>
          <w:tab w:val="left" w:pos="6210"/>
        </w:tabs>
        <w:spacing w:after="0" w:line="360" w:lineRule="auto"/>
        <w:ind w:right="91" w:firstLine="567"/>
        <w:jc w:val="right"/>
        <w:rPr>
          <w:rFonts w:ascii="Times New Roman" w:hAnsi="Times New Roman" w:cs="Times New Roman"/>
          <w:i/>
          <w:iCs/>
          <w:color w:val="000000" w:themeColor="text1"/>
          <w:sz w:val="26"/>
          <w:szCs w:val="26"/>
          <w:lang w:val="vi-VN"/>
        </w:rPr>
      </w:pPr>
      <w:r w:rsidRPr="002B008A">
        <w:rPr>
          <w:rFonts w:ascii="Times New Roman" w:hAnsi="Times New Roman" w:cs="Times New Roman"/>
          <w:i/>
          <w:iCs/>
          <w:color w:val="000000" w:themeColor="text1"/>
          <w:sz w:val="26"/>
          <w:szCs w:val="26"/>
          <w:lang w:val="vi-VN"/>
        </w:rPr>
        <w:t xml:space="preserve">(Nguồn: Báo cáo tài chính Ngân hàng TMCP Quân đội - Chi Nhánh Đà Nẵng giai đoạn 2023 - 2025) </w:t>
      </w:r>
    </w:p>
    <w:p w14:paraId="1C5311F3" w14:textId="075C426F" w:rsidR="005251BB" w:rsidRPr="002B008A" w:rsidRDefault="005251BB" w:rsidP="00B934DA">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Thu nhập lãi thuần và tỷ lệ thu nhập lãi thuần (NIM) là những chỉ tiêu quan trọng giúp đánh giá hiệu quả sinh lời của hoạt động cho vay SXKD đối với KHCN. Dựa vào số liệu tại Bảng 2.</w:t>
      </w:r>
      <w:r w:rsidR="006526F5">
        <w:rPr>
          <w:rFonts w:ascii="Times New Roman" w:hAnsi="Times New Roman" w:cs="Times New Roman"/>
          <w:color w:val="000000" w:themeColor="text1"/>
          <w:sz w:val="26"/>
          <w:szCs w:val="26"/>
          <w:lang w:val="vi-VN"/>
        </w:rPr>
        <w:t>11</w:t>
      </w:r>
      <w:r w:rsidR="0086712B" w:rsidRPr="002B008A">
        <w:rPr>
          <w:rFonts w:ascii="Times New Roman" w:hAnsi="Times New Roman" w:cs="Times New Roman"/>
          <w:color w:val="000000" w:themeColor="text1"/>
          <w:sz w:val="26"/>
          <w:szCs w:val="26"/>
          <w:lang w:val="vi-VN"/>
        </w:rPr>
        <w:t xml:space="preserve"> </w:t>
      </w:r>
      <w:r w:rsidRPr="002B008A">
        <w:rPr>
          <w:rFonts w:ascii="Times New Roman" w:hAnsi="Times New Roman" w:cs="Times New Roman"/>
          <w:color w:val="000000" w:themeColor="text1"/>
          <w:sz w:val="26"/>
          <w:szCs w:val="26"/>
          <w:lang w:val="vi-VN"/>
        </w:rPr>
        <w:t>có thể thấy, thu nhập lãi thuần tăng từ 56,2 tỷ đồng năm 2023 lên 70,45 tỷ đồng năm 2024 và đạt 86,3 tỷ đồng năm 2025, tương ứng mức tăng 25,36% và 22,50%. Điều này cho thấy hoạt động cho vay SXKD đối với KHCN ngày càng đóng góp tích cực hơn vào nguồn thu của ngân hàng.</w:t>
      </w:r>
    </w:p>
    <w:p w14:paraId="39E45E89" w14:textId="77777777" w:rsidR="005251BB" w:rsidRPr="002B008A" w:rsidRDefault="005251BB" w:rsidP="00B934DA">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Bên cạnh đó, tài sản sinh lãi tăng từ 392,45 tỷ đồng năm 2023 lên 469,86 tỷ đồng năm 2024 và 619,67 tỷ đồng năm 2025, tương ứng mức tăng 19,72% và 31,88%, phản ánh quy mô tín dụng được mở rộng nhanh qua các năm. Tuy nhiên, tốc độ tăng của tài sản sinh lãi có xu hướng cao hơn thu nhập lãi thuần, đặc biệt trong năm 2025, cho thấy ngân hàng đang mở rộng cho vay nhanh nhưng hiệu quả tạo thu nhập chưa theo kịp tốc độ tăng quy mô.</w:t>
      </w:r>
    </w:p>
    <w:p w14:paraId="090B7DA6" w14:textId="2A4F6FD7" w:rsidR="005251BB" w:rsidRPr="002B008A" w:rsidRDefault="005251BB" w:rsidP="00B934DA">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Chính vì vậy, tỷ lệ NIM biến động theo xu hướng tăng nhẹ từ 14,32% năm 2023 lên 14,99% năm 2024 nhưng giảm xuống 13,93% năm 2025, tương ứng giảm 1,07 điểm phần trăm so với năm 2024. Diễn biến này cho thấy hiệu quả sinh lời trên mỗi đồng tài sản có dấu hiệu suy giảm trong năm cuối, dù mức giảm không lớn nhưng</w:t>
      </w:r>
      <w:r w:rsidR="00DF7F33" w:rsidRPr="002B008A">
        <w:rPr>
          <w:rFonts w:ascii="Times New Roman" w:hAnsi="Times New Roman" w:cs="Times New Roman"/>
          <w:color w:val="000000" w:themeColor="text1"/>
          <w:sz w:val="26"/>
          <w:szCs w:val="26"/>
          <w:lang w:val="vi-VN"/>
        </w:rPr>
        <w:t xml:space="preserve"> </w:t>
      </w:r>
      <w:r w:rsidRPr="002B008A">
        <w:rPr>
          <w:rFonts w:ascii="Times New Roman" w:hAnsi="Times New Roman" w:cs="Times New Roman"/>
          <w:color w:val="000000" w:themeColor="text1"/>
          <w:sz w:val="26"/>
          <w:szCs w:val="26"/>
          <w:lang w:val="vi-VN"/>
        </w:rPr>
        <w:t xml:space="preserve">phản ánh áp lực từ cạnh tranh lãi suất, chi phí vốn gia tăng và xu hướng mở rộng danh mục tín dụng sang các khoản </w:t>
      </w:r>
      <w:r w:rsidR="00B9784C" w:rsidRPr="002B008A">
        <w:rPr>
          <w:rFonts w:ascii="Times New Roman" w:hAnsi="Times New Roman" w:cs="Times New Roman"/>
          <w:color w:val="000000" w:themeColor="text1"/>
          <w:sz w:val="26"/>
          <w:szCs w:val="26"/>
          <w:lang w:val="vi-VN"/>
        </w:rPr>
        <w:t xml:space="preserve">cho </w:t>
      </w:r>
      <w:r w:rsidRPr="002B008A">
        <w:rPr>
          <w:rFonts w:ascii="Times New Roman" w:hAnsi="Times New Roman" w:cs="Times New Roman"/>
          <w:color w:val="000000" w:themeColor="text1"/>
          <w:sz w:val="26"/>
          <w:szCs w:val="26"/>
          <w:lang w:val="vi-VN"/>
        </w:rPr>
        <w:t>vay có biên lợi nhuận thấp hơn.</w:t>
      </w:r>
    </w:p>
    <w:p w14:paraId="704D6DFB" w14:textId="77777777" w:rsidR="0085564F" w:rsidRPr="002B008A" w:rsidRDefault="0085564F" w:rsidP="00B934DA">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So sánh giữa các năm, năm 2024 là giai đoạn đạt hiệu quả sinh lời cao nhất,</w:t>
      </w:r>
    </w:p>
    <w:p w14:paraId="18DFEE8C" w14:textId="6A08D7D8" w:rsidR="005251BB" w:rsidRPr="002B008A" w:rsidRDefault="005251BB" w:rsidP="00B934DA">
      <w:pPr>
        <w:tabs>
          <w:tab w:val="left" w:pos="6210"/>
        </w:tabs>
        <w:spacing w:after="0" w:line="360" w:lineRule="auto"/>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lastRenderedPageBreak/>
        <w:t>trong khi năm 2025 mặc dù quy mô tài sản sinh lãi tăng mạnh nhưng NIM lại suy giảm. Nhìn chung, hoạt động cho vay SXKD đối với KHCN vẫn mang lại nguồn thu ổn định cho ngân hàng, tuy nhiên cần chú trọng hơn đến việc nâng cao hiệu quả sử dụng tài sản sinh lãi nhằm đảm bảo tăng trưởng đi đôi với hiệu quả sinh lời.</w:t>
      </w:r>
    </w:p>
    <w:p w14:paraId="77A46DC1" w14:textId="4B36099A" w:rsidR="007634CB" w:rsidRPr="002B008A" w:rsidRDefault="007634CB" w:rsidP="00B934DA">
      <w:pPr>
        <w:pStyle w:val="ListParagraph"/>
        <w:numPr>
          <w:ilvl w:val="0"/>
          <w:numId w:val="4"/>
        </w:numPr>
        <w:tabs>
          <w:tab w:val="left" w:pos="851"/>
        </w:tabs>
        <w:spacing w:after="0" w:line="360" w:lineRule="auto"/>
        <w:ind w:left="0" w:firstLine="567"/>
        <w:contextualSpacing w:val="0"/>
        <w:jc w:val="both"/>
        <w:rPr>
          <w:rFonts w:ascii="Times New Roman" w:hAnsi="Times New Roman" w:cs="Times New Roman"/>
          <w:b/>
          <w:bCs/>
          <w:color w:val="000000" w:themeColor="text1"/>
          <w:sz w:val="26"/>
          <w:szCs w:val="26"/>
          <w:lang w:val="vi-VN"/>
        </w:rPr>
      </w:pPr>
      <w:r w:rsidRPr="002B008A">
        <w:rPr>
          <w:rFonts w:ascii="Times New Roman" w:hAnsi="Times New Roman" w:cs="Times New Roman"/>
          <w:b/>
          <w:bCs/>
          <w:color w:val="000000" w:themeColor="text1"/>
          <w:sz w:val="26"/>
          <w:szCs w:val="26"/>
          <w:lang w:val="vi-VN"/>
        </w:rPr>
        <w:t xml:space="preserve">Khả năng thu hồi vốn trong hoạt động cho vay sản xuất kinh doanh đối với khách hàng cá nhân tại Ngân hàng TMCP Quân đội – Chi nhánh Đà </w:t>
      </w:r>
      <w:r w:rsidR="00A03CAB" w:rsidRPr="002B008A">
        <w:rPr>
          <w:rFonts w:ascii="Times New Roman" w:hAnsi="Times New Roman" w:cs="Times New Roman"/>
          <w:b/>
          <w:bCs/>
          <w:color w:val="000000" w:themeColor="text1"/>
          <w:sz w:val="26"/>
          <w:szCs w:val="26"/>
          <w:lang w:val="vi-VN"/>
        </w:rPr>
        <w:t>Nẵng.</w:t>
      </w:r>
    </w:p>
    <w:p w14:paraId="05607D7C" w14:textId="10D7FD2C" w:rsidR="005251BB" w:rsidRPr="002B008A" w:rsidRDefault="005251BB" w:rsidP="00B934DA">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2B008A">
        <w:rPr>
          <w:rFonts w:ascii="Times New Roman" w:hAnsi="Times New Roman" w:cs="Times New Roman"/>
          <w:color w:val="000000" w:themeColor="text1"/>
          <w:sz w:val="26"/>
          <w:szCs w:val="26"/>
          <w:lang w:val="vi-VN"/>
        </w:rPr>
        <w:t xml:space="preserve">Hệ số thu nợ là một trong những chỉ tiêu quan trọng phản ánh khả năng thu hồi vốn trong hoạt động cho vay </w:t>
      </w:r>
      <w:r w:rsidR="00E82983" w:rsidRPr="002B008A">
        <w:rPr>
          <w:rFonts w:ascii="Times New Roman" w:hAnsi="Times New Roman" w:cs="Times New Roman"/>
          <w:color w:val="000000" w:themeColor="text1"/>
          <w:sz w:val="26"/>
          <w:szCs w:val="26"/>
          <w:lang w:val="vi-VN"/>
        </w:rPr>
        <w:t xml:space="preserve">SXKD </w:t>
      </w:r>
      <w:r w:rsidRPr="002B008A">
        <w:rPr>
          <w:rFonts w:ascii="Times New Roman" w:hAnsi="Times New Roman" w:cs="Times New Roman"/>
          <w:color w:val="000000" w:themeColor="text1"/>
          <w:sz w:val="26"/>
          <w:szCs w:val="26"/>
          <w:lang w:val="vi-VN"/>
        </w:rPr>
        <w:t xml:space="preserve">đối với </w:t>
      </w:r>
      <w:r w:rsidR="00E82983" w:rsidRPr="002B008A">
        <w:rPr>
          <w:rFonts w:ascii="Times New Roman" w:hAnsi="Times New Roman" w:cs="Times New Roman"/>
          <w:color w:val="000000" w:themeColor="text1"/>
          <w:sz w:val="26"/>
          <w:szCs w:val="26"/>
          <w:lang w:val="vi-VN"/>
        </w:rPr>
        <w:t>KHCN</w:t>
      </w:r>
      <w:r w:rsidRPr="002B008A">
        <w:rPr>
          <w:rFonts w:ascii="Times New Roman" w:hAnsi="Times New Roman" w:cs="Times New Roman"/>
          <w:color w:val="000000" w:themeColor="text1"/>
          <w:sz w:val="26"/>
          <w:szCs w:val="26"/>
          <w:lang w:val="vi-VN"/>
        </w:rPr>
        <w:t>. Qua bảng 2.</w:t>
      </w:r>
      <w:r w:rsidR="00AF3CEE" w:rsidRPr="002B008A">
        <w:rPr>
          <w:rFonts w:ascii="Times New Roman" w:hAnsi="Times New Roman" w:cs="Times New Roman"/>
          <w:color w:val="000000" w:themeColor="text1"/>
          <w:sz w:val="26"/>
          <w:szCs w:val="26"/>
          <w:lang w:val="vi-VN"/>
        </w:rPr>
        <w:t>12</w:t>
      </w:r>
      <w:r w:rsidRPr="002B008A">
        <w:rPr>
          <w:rFonts w:ascii="Times New Roman" w:hAnsi="Times New Roman" w:cs="Times New Roman"/>
          <w:color w:val="000000" w:themeColor="text1"/>
          <w:sz w:val="26"/>
          <w:szCs w:val="26"/>
          <w:lang w:val="vi-VN"/>
        </w:rPr>
        <w:t xml:space="preserve"> có thể thấy, trong giai đoạn 2023–2025, chỉ tiêu này có sự biến động nhất định, gắn liền với sự thay đổi của doanh số cho vay và doanh số thu nợ qua các năm. Từ đó cho thấy phần nào hiệu quả thu hồi vốn cũng như mức độ an toàn trong hoạt động tín dụng của chi nhánh.</w:t>
      </w:r>
    </w:p>
    <w:p w14:paraId="1E43D576" w14:textId="429856C9" w:rsidR="00B934DA" w:rsidRDefault="00700950" w:rsidP="00B934DA">
      <w:pPr>
        <w:pStyle w:val="Caption"/>
        <w:tabs>
          <w:tab w:val="left" w:pos="284"/>
        </w:tabs>
        <w:spacing w:after="0" w:line="360" w:lineRule="auto"/>
        <w:ind w:firstLine="0"/>
        <w:jc w:val="center"/>
        <w:rPr>
          <w:rFonts w:ascii="Times New Roman" w:eastAsia="Times New Roman" w:hAnsi="Times New Roman" w:cs="Times New Roman"/>
          <w:b/>
          <w:bCs/>
          <w:i w:val="0"/>
          <w:iCs w:val="0"/>
          <w:color w:val="000000"/>
          <w:kern w:val="0"/>
          <w:sz w:val="26"/>
          <w:szCs w:val="26"/>
          <w:lang w:val="vi-VN"/>
          <w14:ligatures w14:val="none"/>
        </w:rPr>
      </w:pPr>
      <w:r w:rsidRPr="002B008A">
        <w:rPr>
          <w:rFonts w:ascii="Times New Roman" w:hAnsi="Times New Roman" w:cs="Times New Roman"/>
          <w:b/>
          <w:bCs/>
          <w:i w:val="0"/>
          <w:iCs w:val="0"/>
          <w:color w:val="000000" w:themeColor="text1"/>
          <w:sz w:val="26"/>
          <w:szCs w:val="26"/>
          <w:lang w:val="vi-VN"/>
        </w:rPr>
        <w:tab/>
      </w:r>
      <w:bookmarkStart w:id="60" w:name="_Toc230367588"/>
      <w:r w:rsidR="00EB646A" w:rsidRPr="002B008A">
        <w:rPr>
          <w:rFonts w:ascii="Times New Roman" w:hAnsi="Times New Roman" w:cs="Times New Roman"/>
          <w:b/>
          <w:bCs/>
          <w:i w:val="0"/>
          <w:iCs w:val="0"/>
          <w:color w:val="000000" w:themeColor="text1"/>
          <w:sz w:val="26"/>
          <w:szCs w:val="26"/>
          <w:lang w:val="vi-VN"/>
        </w:rPr>
        <w:t>Bảng 2.</w:t>
      </w:r>
      <w:r w:rsidR="00EB646A" w:rsidRPr="002B008A">
        <w:rPr>
          <w:rFonts w:ascii="Times New Roman" w:hAnsi="Times New Roman" w:cs="Times New Roman"/>
          <w:b/>
          <w:bCs/>
          <w:i w:val="0"/>
          <w:iCs w:val="0"/>
          <w:color w:val="000000" w:themeColor="text1"/>
          <w:sz w:val="26"/>
          <w:szCs w:val="26"/>
        </w:rPr>
        <w:fldChar w:fldCharType="begin"/>
      </w:r>
      <w:r w:rsidR="00EB646A" w:rsidRPr="002B008A">
        <w:rPr>
          <w:rFonts w:ascii="Times New Roman" w:hAnsi="Times New Roman" w:cs="Times New Roman"/>
          <w:b/>
          <w:bCs/>
          <w:i w:val="0"/>
          <w:iCs w:val="0"/>
          <w:color w:val="000000" w:themeColor="text1"/>
          <w:sz w:val="26"/>
          <w:szCs w:val="26"/>
          <w:lang w:val="vi-VN"/>
        </w:rPr>
        <w:instrText xml:space="preserve"> SEQ Bảng_2. \* ARABIC </w:instrText>
      </w:r>
      <w:r w:rsidR="00EB646A" w:rsidRPr="002B008A">
        <w:rPr>
          <w:rFonts w:ascii="Times New Roman" w:hAnsi="Times New Roman" w:cs="Times New Roman"/>
          <w:b/>
          <w:bCs/>
          <w:i w:val="0"/>
          <w:iCs w:val="0"/>
          <w:color w:val="000000" w:themeColor="text1"/>
          <w:sz w:val="26"/>
          <w:szCs w:val="26"/>
        </w:rPr>
        <w:fldChar w:fldCharType="separate"/>
      </w:r>
      <w:r w:rsidR="002F2275">
        <w:rPr>
          <w:rFonts w:ascii="Times New Roman" w:hAnsi="Times New Roman" w:cs="Times New Roman"/>
          <w:b/>
          <w:bCs/>
          <w:i w:val="0"/>
          <w:iCs w:val="0"/>
          <w:noProof/>
          <w:color w:val="000000" w:themeColor="text1"/>
          <w:sz w:val="26"/>
          <w:szCs w:val="26"/>
          <w:lang w:val="vi-VN"/>
        </w:rPr>
        <w:t>12</w:t>
      </w:r>
      <w:r w:rsidR="00EB646A" w:rsidRPr="002B008A">
        <w:rPr>
          <w:rFonts w:ascii="Times New Roman" w:hAnsi="Times New Roman" w:cs="Times New Roman"/>
          <w:b/>
          <w:bCs/>
          <w:i w:val="0"/>
          <w:iCs w:val="0"/>
          <w:color w:val="000000" w:themeColor="text1"/>
          <w:sz w:val="26"/>
          <w:szCs w:val="26"/>
        </w:rPr>
        <w:fldChar w:fldCharType="end"/>
      </w:r>
      <w:r w:rsidR="00EB646A" w:rsidRPr="002B008A">
        <w:rPr>
          <w:rFonts w:ascii="Times New Roman" w:hAnsi="Times New Roman" w:cs="Times New Roman"/>
          <w:b/>
          <w:bCs/>
          <w:i w:val="0"/>
          <w:iCs w:val="0"/>
          <w:color w:val="000000" w:themeColor="text1"/>
          <w:sz w:val="26"/>
          <w:szCs w:val="26"/>
          <w:lang w:val="vi-VN"/>
        </w:rPr>
        <w:t xml:space="preserve"> </w:t>
      </w:r>
      <w:r w:rsidR="007634CB" w:rsidRPr="002B008A">
        <w:rPr>
          <w:rFonts w:ascii="Times New Roman" w:eastAsia="Times New Roman" w:hAnsi="Times New Roman" w:cs="Times New Roman"/>
          <w:b/>
          <w:bCs/>
          <w:i w:val="0"/>
          <w:iCs w:val="0"/>
          <w:color w:val="000000" w:themeColor="text1"/>
          <w:kern w:val="0"/>
          <w:sz w:val="26"/>
          <w:szCs w:val="26"/>
          <w:lang w:val="vi-VN"/>
          <w14:ligatures w14:val="none"/>
        </w:rPr>
        <w:t xml:space="preserve">Hệ </w:t>
      </w:r>
      <w:r w:rsidR="007634CB" w:rsidRPr="002B008A">
        <w:rPr>
          <w:rFonts w:ascii="Times New Roman" w:eastAsia="Times New Roman" w:hAnsi="Times New Roman" w:cs="Times New Roman"/>
          <w:b/>
          <w:bCs/>
          <w:i w:val="0"/>
          <w:iCs w:val="0"/>
          <w:color w:val="000000"/>
          <w:kern w:val="0"/>
          <w:sz w:val="26"/>
          <w:szCs w:val="26"/>
          <w:lang w:val="vi-VN"/>
          <w14:ligatures w14:val="none"/>
        </w:rPr>
        <w:t xml:space="preserve">số thu nợ </w:t>
      </w:r>
      <w:bookmarkEnd w:id="60"/>
      <w:r w:rsidR="00B934DA" w:rsidRPr="00B934DA">
        <w:rPr>
          <w:rFonts w:ascii="Times New Roman" w:eastAsia="Times New Roman" w:hAnsi="Times New Roman" w:cs="Times New Roman"/>
          <w:b/>
          <w:bCs/>
          <w:i w:val="0"/>
          <w:iCs w:val="0"/>
          <w:color w:val="000000"/>
          <w:kern w:val="0"/>
          <w:sz w:val="26"/>
          <w:szCs w:val="26"/>
          <w:lang w:val="vi-VN"/>
          <w14:ligatures w14:val="none"/>
        </w:rPr>
        <w:t xml:space="preserve">trong hoạt động cho vay sản xuất kinh doanh đối với khách hàng cá nhân tại Ngân hàng TMCP Quân đội – Chi nhánh Đà Nẵng </w:t>
      </w:r>
    </w:p>
    <w:p w14:paraId="6A7694F5" w14:textId="61D75E26" w:rsidR="007634CB" w:rsidRPr="002B008A" w:rsidRDefault="007634CB" w:rsidP="00B934DA">
      <w:pPr>
        <w:pStyle w:val="Caption"/>
        <w:tabs>
          <w:tab w:val="left" w:pos="284"/>
        </w:tabs>
        <w:spacing w:after="0" w:line="360" w:lineRule="auto"/>
        <w:ind w:firstLine="0"/>
        <w:jc w:val="right"/>
        <w:rPr>
          <w:rFonts w:ascii="Times New Roman" w:hAnsi="Times New Roman" w:cs="Times New Roman"/>
          <w:i w:val="0"/>
          <w:iCs w:val="0"/>
          <w:color w:val="000000" w:themeColor="text1"/>
          <w:sz w:val="26"/>
          <w:szCs w:val="26"/>
          <w:lang w:val="vi-VN"/>
        </w:rPr>
      </w:pPr>
      <w:r w:rsidRPr="002B008A">
        <w:rPr>
          <w:rFonts w:ascii="Times New Roman" w:hAnsi="Times New Roman" w:cs="Times New Roman"/>
          <w:color w:val="000000" w:themeColor="text1"/>
          <w:sz w:val="26"/>
          <w:szCs w:val="26"/>
          <w:lang w:val="vi-VN"/>
        </w:rPr>
        <w:t>Đ</w:t>
      </w:r>
      <w:r w:rsidR="00EF0259" w:rsidRPr="002B008A">
        <w:rPr>
          <w:rFonts w:ascii="Times New Roman" w:hAnsi="Times New Roman" w:cs="Times New Roman"/>
          <w:color w:val="000000" w:themeColor="text1"/>
          <w:sz w:val="26"/>
          <w:szCs w:val="26"/>
          <w:lang w:val="vi-VN"/>
        </w:rPr>
        <w:t>ơn vị tính</w:t>
      </w:r>
      <w:r w:rsidRPr="002B008A">
        <w:rPr>
          <w:rFonts w:ascii="Times New Roman" w:hAnsi="Times New Roman" w:cs="Times New Roman"/>
          <w:color w:val="000000" w:themeColor="text1"/>
          <w:sz w:val="26"/>
          <w:szCs w:val="26"/>
          <w:lang w:val="vi-VN"/>
        </w:rPr>
        <w:t>: Tỷ đồng</w:t>
      </w:r>
    </w:p>
    <w:tbl>
      <w:tblPr>
        <w:tblW w:w="5032" w:type="pct"/>
        <w:tblLayout w:type="fixed"/>
        <w:tblLook w:val="04A0" w:firstRow="1" w:lastRow="0" w:firstColumn="1" w:lastColumn="0" w:noHBand="0" w:noVBand="1"/>
      </w:tblPr>
      <w:tblGrid>
        <w:gridCol w:w="2056"/>
        <w:gridCol w:w="1031"/>
        <w:gridCol w:w="1027"/>
        <w:gridCol w:w="1032"/>
        <w:gridCol w:w="1030"/>
        <w:gridCol w:w="883"/>
        <w:gridCol w:w="1030"/>
        <w:gridCol w:w="1030"/>
      </w:tblGrid>
      <w:tr w:rsidR="00F100F9" w:rsidRPr="002B008A" w14:paraId="4309C9B6" w14:textId="77777777" w:rsidTr="00D3635B">
        <w:trPr>
          <w:trHeight w:val="340"/>
        </w:trPr>
        <w:tc>
          <w:tcPr>
            <w:tcW w:w="1127" w:type="pct"/>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27FF28F1"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lang w:val="vi-VN"/>
                <w14:ligatures w14:val="none"/>
              </w:rPr>
            </w:pPr>
            <w:r w:rsidRPr="002B008A">
              <w:rPr>
                <w:rFonts w:ascii="Times New Roman" w:eastAsia="Times New Roman" w:hAnsi="Times New Roman" w:cs="Times New Roman"/>
                <w:b/>
                <w:bCs/>
                <w:color w:val="000000"/>
                <w:kern w:val="0"/>
                <w:sz w:val="24"/>
                <w:szCs w:val="24"/>
                <w14:ligatures w14:val="none"/>
              </w:rPr>
              <w:t>Chỉ tiêu</w:t>
            </w:r>
          </w:p>
          <w:p w14:paraId="11E02FF4"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lang w:val="vi-VN"/>
                <w14:ligatures w14:val="none"/>
              </w:rPr>
            </w:pPr>
          </w:p>
          <w:p w14:paraId="7A137EB8"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lang w:val="vi-VN"/>
                <w14:ligatures w14:val="none"/>
              </w:rPr>
            </w:pPr>
          </w:p>
        </w:tc>
        <w:tc>
          <w:tcPr>
            <w:tcW w:w="565" w:type="pct"/>
            <w:tcBorders>
              <w:top w:val="single" w:sz="4" w:space="0" w:color="auto"/>
              <w:left w:val="nil"/>
              <w:bottom w:val="single" w:sz="4" w:space="0" w:color="auto"/>
              <w:right w:val="single" w:sz="4" w:space="0" w:color="auto"/>
            </w:tcBorders>
            <w:shd w:val="clear" w:color="000000" w:fill="DDEBF7"/>
            <w:noWrap/>
            <w:vAlign w:val="center"/>
            <w:hideMark/>
          </w:tcPr>
          <w:p w14:paraId="58F1518D"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2023</w:t>
            </w:r>
          </w:p>
        </w:tc>
        <w:tc>
          <w:tcPr>
            <w:tcW w:w="563" w:type="pct"/>
            <w:tcBorders>
              <w:top w:val="single" w:sz="4" w:space="0" w:color="auto"/>
              <w:left w:val="nil"/>
              <w:bottom w:val="single" w:sz="4" w:space="0" w:color="auto"/>
              <w:right w:val="single" w:sz="4" w:space="0" w:color="auto"/>
            </w:tcBorders>
            <w:shd w:val="clear" w:color="000000" w:fill="DDEBF7"/>
            <w:noWrap/>
            <w:vAlign w:val="center"/>
            <w:hideMark/>
          </w:tcPr>
          <w:p w14:paraId="3CD2800A"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2024</w:t>
            </w:r>
          </w:p>
        </w:tc>
        <w:tc>
          <w:tcPr>
            <w:tcW w:w="566" w:type="pct"/>
            <w:tcBorders>
              <w:top w:val="single" w:sz="4" w:space="0" w:color="auto"/>
              <w:left w:val="nil"/>
              <w:bottom w:val="single" w:sz="4" w:space="0" w:color="auto"/>
              <w:right w:val="single" w:sz="4" w:space="0" w:color="auto"/>
            </w:tcBorders>
            <w:shd w:val="clear" w:color="000000" w:fill="DDEBF7"/>
            <w:noWrap/>
            <w:vAlign w:val="center"/>
            <w:hideMark/>
          </w:tcPr>
          <w:p w14:paraId="7286D619"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2025</w:t>
            </w:r>
          </w:p>
        </w:tc>
        <w:tc>
          <w:tcPr>
            <w:tcW w:w="1049" w:type="pct"/>
            <w:gridSpan w:val="2"/>
            <w:tcBorders>
              <w:top w:val="single" w:sz="4" w:space="0" w:color="auto"/>
              <w:left w:val="nil"/>
              <w:bottom w:val="single" w:sz="4" w:space="0" w:color="auto"/>
              <w:right w:val="single" w:sz="4" w:space="0" w:color="000000"/>
            </w:tcBorders>
            <w:shd w:val="clear" w:color="000000" w:fill="DDEBF7"/>
            <w:noWrap/>
            <w:vAlign w:val="center"/>
            <w:hideMark/>
          </w:tcPr>
          <w:p w14:paraId="39D06E73" w14:textId="4965F4B1"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lang w:eastAsia="zh-CN"/>
                <w14:ligatures w14:val="none"/>
              </w:rPr>
              <w:t>Chênh lệch 2024/2023</w:t>
            </w:r>
          </w:p>
        </w:tc>
        <w:tc>
          <w:tcPr>
            <w:tcW w:w="1130" w:type="pct"/>
            <w:gridSpan w:val="2"/>
            <w:tcBorders>
              <w:top w:val="single" w:sz="4" w:space="0" w:color="auto"/>
              <w:left w:val="nil"/>
              <w:bottom w:val="single" w:sz="4" w:space="0" w:color="auto"/>
              <w:right w:val="single" w:sz="4" w:space="0" w:color="000000"/>
            </w:tcBorders>
            <w:shd w:val="clear" w:color="000000" w:fill="DDEBF7"/>
            <w:noWrap/>
            <w:vAlign w:val="center"/>
            <w:hideMark/>
          </w:tcPr>
          <w:p w14:paraId="0C2A04E0" w14:textId="41E2157C"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lang w:eastAsia="zh-CN"/>
                <w14:ligatures w14:val="none"/>
              </w:rPr>
              <w:t>Chênh lệch 2025/2024</w:t>
            </w:r>
          </w:p>
        </w:tc>
      </w:tr>
      <w:tr w:rsidR="00F100F9" w:rsidRPr="002B008A" w14:paraId="52ABBE16" w14:textId="77777777" w:rsidTr="00D3635B">
        <w:trPr>
          <w:trHeight w:val="340"/>
        </w:trPr>
        <w:tc>
          <w:tcPr>
            <w:tcW w:w="1127" w:type="pct"/>
            <w:vMerge/>
            <w:tcBorders>
              <w:top w:val="single" w:sz="4" w:space="0" w:color="auto"/>
              <w:left w:val="single" w:sz="4" w:space="0" w:color="auto"/>
              <w:bottom w:val="single" w:sz="4" w:space="0" w:color="000000"/>
              <w:right w:val="single" w:sz="4" w:space="0" w:color="auto"/>
            </w:tcBorders>
            <w:vAlign w:val="center"/>
            <w:hideMark/>
          </w:tcPr>
          <w:p w14:paraId="698C17C4"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p>
        </w:tc>
        <w:tc>
          <w:tcPr>
            <w:tcW w:w="565" w:type="pct"/>
            <w:tcBorders>
              <w:top w:val="nil"/>
              <w:left w:val="nil"/>
              <w:bottom w:val="single" w:sz="4" w:space="0" w:color="auto"/>
              <w:right w:val="single" w:sz="4" w:space="0" w:color="auto"/>
            </w:tcBorders>
            <w:shd w:val="clear" w:color="000000" w:fill="DDEBF7"/>
            <w:noWrap/>
            <w:vAlign w:val="center"/>
            <w:hideMark/>
          </w:tcPr>
          <w:p w14:paraId="3E78B370"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563" w:type="pct"/>
            <w:tcBorders>
              <w:top w:val="nil"/>
              <w:left w:val="nil"/>
              <w:bottom w:val="single" w:sz="4" w:space="0" w:color="auto"/>
              <w:right w:val="single" w:sz="4" w:space="0" w:color="auto"/>
            </w:tcBorders>
            <w:shd w:val="clear" w:color="000000" w:fill="DDEBF7"/>
            <w:noWrap/>
            <w:vAlign w:val="center"/>
            <w:hideMark/>
          </w:tcPr>
          <w:p w14:paraId="3788A57B"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566" w:type="pct"/>
            <w:tcBorders>
              <w:top w:val="nil"/>
              <w:left w:val="nil"/>
              <w:bottom w:val="single" w:sz="4" w:space="0" w:color="auto"/>
              <w:right w:val="single" w:sz="4" w:space="0" w:color="auto"/>
            </w:tcBorders>
            <w:shd w:val="clear" w:color="000000" w:fill="DDEBF7"/>
            <w:noWrap/>
            <w:vAlign w:val="center"/>
            <w:hideMark/>
          </w:tcPr>
          <w:p w14:paraId="104138B4"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565" w:type="pct"/>
            <w:tcBorders>
              <w:top w:val="nil"/>
              <w:left w:val="nil"/>
              <w:bottom w:val="single" w:sz="4" w:space="0" w:color="auto"/>
              <w:right w:val="single" w:sz="4" w:space="0" w:color="auto"/>
            </w:tcBorders>
            <w:shd w:val="clear" w:color="000000" w:fill="DDEBF7"/>
            <w:noWrap/>
            <w:vAlign w:val="center"/>
            <w:hideMark/>
          </w:tcPr>
          <w:p w14:paraId="3128FCC6"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484" w:type="pct"/>
            <w:tcBorders>
              <w:top w:val="nil"/>
              <w:left w:val="nil"/>
              <w:bottom w:val="single" w:sz="4" w:space="0" w:color="auto"/>
              <w:right w:val="single" w:sz="4" w:space="0" w:color="auto"/>
            </w:tcBorders>
            <w:shd w:val="clear" w:color="000000" w:fill="DDEBF7"/>
            <w:noWrap/>
            <w:vAlign w:val="center"/>
            <w:hideMark/>
          </w:tcPr>
          <w:p w14:paraId="0C76184A"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Tỷ lệ (%)</w:t>
            </w:r>
          </w:p>
        </w:tc>
        <w:tc>
          <w:tcPr>
            <w:tcW w:w="565" w:type="pct"/>
            <w:tcBorders>
              <w:top w:val="nil"/>
              <w:left w:val="nil"/>
              <w:bottom w:val="single" w:sz="4" w:space="0" w:color="auto"/>
              <w:right w:val="single" w:sz="4" w:space="0" w:color="auto"/>
            </w:tcBorders>
            <w:shd w:val="clear" w:color="000000" w:fill="DDEBF7"/>
            <w:noWrap/>
            <w:vAlign w:val="center"/>
            <w:hideMark/>
          </w:tcPr>
          <w:p w14:paraId="298E98FD"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Số tiền</w:t>
            </w:r>
          </w:p>
        </w:tc>
        <w:tc>
          <w:tcPr>
            <w:tcW w:w="565" w:type="pct"/>
            <w:tcBorders>
              <w:top w:val="nil"/>
              <w:left w:val="nil"/>
              <w:bottom w:val="single" w:sz="4" w:space="0" w:color="auto"/>
              <w:right w:val="single" w:sz="4" w:space="0" w:color="auto"/>
            </w:tcBorders>
            <w:shd w:val="clear" w:color="000000" w:fill="DDEBF7"/>
            <w:noWrap/>
            <w:vAlign w:val="center"/>
            <w:hideMark/>
          </w:tcPr>
          <w:p w14:paraId="5E8FEE09" w14:textId="77777777" w:rsidR="00F100F9" w:rsidRPr="002B008A" w:rsidRDefault="00F100F9" w:rsidP="00F100F9">
            <w:pPr>
              <w:spacing w:after="0" w:line="240" w:lineRule="auto"/>
              <w:jc w:val="center"/>
              <w:rPr>
                <w:rFonts w:ascii="Times New Roman" w:eastAsia="Times New Roman" w:hAnsi="Times New Roman" w:cs="Times New Roman"/>
                <w:b/>
                <w:bCs/>
                <w:color w:val="000000"/>
                <w:kern w:val="0"/>
                <w:sz w:val="24"/>
                <w:szCs w:val="24"/>
                <w14:ligatures w14:val="none"/>
              </w:rPr>
            </w:pPr>
            <w:r w:rsidRPr="002B008A">
              <w:rPr>
                <w:rFonts w:ascii="Times New Roman" w:eastAsia="Times New Roman" w:hAnsi="Times New Roman" w:cs="Times New Roman"/>
                <w:b/>
                <w:bCs/>
                <w:color w:val="000000"/>
                <w:kern w:val="0"/>
                <w:sz w:val="24"/>
                <w:szCs w:val="24"/>
                <w14:ligatures w14:val="none"/>
              </w:rPr>
              <w:t>Tỷ lệ (%)</w:t>
            </w:r>
          </w:p>
        </w:tc>
      </w:tr>
      <w:tr w:rsidR="00F100F9" w:rsidRPr="002B008A" w14:paraId="05F44378" w14:textId="77777777" w:rsidTr="00D3635B">
        <w:trPr>
          <w:trHeight w:val="340"/>
        </w:trPr>
        <w:tc>
          <w:tcPr>
            <w:tcW w:w="1127" w:type="pct"/>
            <w:tcBorders>
              <w:top w:val="nil"/>
              <w:left w:val="single" w:sz="4" w:space="0" w:color="auto"/>
              <w:bottom w:val="single" w:sz="4" w:space="0" w:color="auto"/>
              <w:right w:val="single" w:sz="4" w:space="0" w:color="auto"/>
            </w:tcBorders>
            <w:noWrap/>
            <w:vAlign w:val="center"/>
            <w:hideMark/>
          </w:tcPr>
          <w:p w14:paraId="21A844A2" w14:textId="7173E979" w:rsidR="00F100F9" w:rsidRPr="002B008A" w:rsidRDefault="00F100F9" w:rsidP="00F100F9">
            <w:pPr>
              <w:spacing w:after="0" w:line="240" w:lineRule="auto"/>
              <w:rPr>
                <w:rFonts w:ascii="Times New Roman" w:eastAsia="Times New Roman" w:hAnsi="Times New Roman" w:cs="Times New Roman"/>
                <w:color w:val="000000"/>
                <w:kern w:val="0"/>
                <w:sz w:val="24"/>
                <w:szCs w:val="24"/>
                <w14:ligatures w14:val="none"/>
              </w:rPr>
            </w:pPr>
            <w:r w:rsidRPr="002B008A">
              <w:rPr>
                <w:rFonts w:ascii="Times New Roman" w:eastAsia="Times New Roman" w:hAnsi="Times New Roman" w:cs="Times New Roman"/>
                <w:color w:val="000000"/>
                <w:kern w:val="0"/>
                <w:sz w:val="24"/>
                <w:szCs w:val="24"/>
                <w14:ligatures w14:val="none"/>
              </w:rPr>
              <w:t>Doanh số thu nợ cho vay SXKD đối với KHCN</w:t>
            </w:r>
          </w:p>
        </w:tc>
        <w:tc>
          <w:tcPr>
            <w:tcW w:w="565" w:type="pct"/>
            <w:tcBorders>
              <w:top w:val="single" w:sz="4" w:space="0" w:color="auto"/>
              <w:left w:val="single" w:sz="4" w:space="0" w:color="auto"/>
              <w:bottom w:val="single" w:sz="4" w:space="0" w:color="auto"/>
              <w:right w:val="single" w:sz="4" w:space="0" w:color="auto"/>
            </w:tcBorders>
            <w:vAlign w:val="center"/>
            <w:hideMark/>
          </w:tcPr>
          <w:p w14:paraId="4F5DD13E" w14:textId="2B44DB73"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214,34</w:t>
            </w:r>
          </w:p>
        </w:tc>
        <w:tc>
          <w:tcPr>
            <w:tcW w:w="563" w:type="pct"/>
            <w:tcBorders>
              <w:top w:val="single" w:sz="4" w:space="0" w:color="auto"/>
              <w:left w:val="nil"/>
              <w:bottom w:val="single" w:sz="4" w:space="0" w:color="auto"/>
              <w:right w:val="single" w:sz="4" w:space="0" w:color="auto"/>
            </w:tcBorders>
            <w:noWrap/>
            <w:vAlign w:val="center"/>
            <w:hideMark/>
          </w:tcPr>
          <w:p w14:paraId="5D3121EC" w14:textId="1D515135"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283,91</w:t>
            </w:r>
          </w:p>
        </w:tc>
        <w:tc>
          <w:tcPr>
            <w:tcW w:w="566" w:type="pct"/>
            <w:tcBorders>
              <w:top w:val="single" w:sz="4" w:space="0" w:color="auto"/>
              <w:left w:val="nil"/>
              <w:bottom w:val="single" w:sz="4" w:space="0" w:color="auto"/>
              <w:right w:val="single" w:sz="4" w:space="0" w:color="auto"/>
            </w:tcBorders>
            <w:vAlign w:val="center"/>
            <w:hideMark/>
          </w:tcPr>
          <w:p w14:paraId="40EF31E0" w14:textId="7EBFE370"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346,48</w:t>
            </w:r>
          </w:p>
        </w:tc>
        <w:tc>
          <w:tcPr>
            <w:tcW w:w="565" w:type="pct"/>
            <w:tcBorders>
              <w:top w:val="single" w:sz="4" w:space="0" w:color="auto"/>
              <w:left w:val="nil"/>
              <w:bottom w:val="single" w:sz="4" w:space="0" w:color="auto"/>
              <w:right w:val="single" w:sz="4" w:space="0" w:color="auto"/>
            </w:tcBorders>
            <w:noWrap/>
            <w:vAlign w:val="center"/>
            <w:hideMark/>
          </w:tcPr>
          <w:p w14:paraId="335941BB" w14:textId="6D107E3A"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69,57</w:t>
            </w:r>
          </w:p>
        </w:tc>
        <w:tc>
          <w:tcPr>
            <w:tcW w:w="484" w:type="pct"/>
            <w:tcBorders>
              <w:top w:val="single" w:sz="4" w:space="0" w:color="auto"/>
              <w:left w:val="nil"/>
              <w:bottom w:val="single" w:sz="4" w:space="0" w:color="auto"/>
              <w:right w:val="single" w:sz="4" w:space="0" w:color="auto"/>
            </w:tcBorders>
            <w:noWrap/>
            <w:vAlign w:val="center"/>
            <w:hideMark/>
          </w:tcPr>
          <w:p w14:paraId="023B773B" w14:textId="6C72E147"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32,46</w:t>
            </w:r>
          </w:p>
        </w:tc>
        <w:tc>
          <w:tcPr>
            <w:tcW w:w="565" w:type="pct"/>
            <w:tcBorders>
              <w:top w:val="single" w:sz="4" w:space="0" w:color="auto"/>
              <w:left w:val="nil"/>
              <w:bottom w:val="single" w:sz="4" w:space="0" w:color="auto"/>
              <w:right w:val="single" w:sz="4" w:space="0" w:color="auto"/>
            </w:tcBorders>
            <w:noWrap/>
            <w:vAlign w:val="center"/>
            <w:hideMark/>
          </w:tcPr>
          <w:p w14:paraId="3E59D32C" w14:textId="04CEEDBA"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62,57</w:t>
            </w:r>
          </w:p>
        </w:tc>
        <w:tc>
          <w:tcPr>
            <w:tcW w:w="565" w:type="pct"/>
            <w:tcBorders>
              <w:top w:val="single" w:sz="4" w:space="0" w:color="auto"/>
              <w:left w:val="nil"/>
              <w:bottom w:val="single" w:sz="4" w:space="0" w:color="auto"/>
              <w:right w:val="single" w:sz="4" w:space="0" w:color="auto"/>
            </w:tcBorders>
            <w:noWrap/>
            <w:vAlign w:val="center"/>
            <w:hideMark/>
          </w:tcPr>
          <w:p w14:paraId="1707166E" w14:textId="497ED17E"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22,04</w:t>
            </w:r>
          </w:p>
        </w:tc>
      </w:tr>
      <w:tr w:rsidR="00F100F9" w:rsidRPr="002B008A" w14:paraId="378FD823" w14:textId="77777777" w:rsidTr="00D3635B">
        <w:trPr>
          <w:trHeight w:val="340"/>
        </w:trPr>
        <w:tc>
          <w:tcPr>
            <w:tcW w:w="1127" w:type="pct"/>
            <w:tcBorders>
              <w:top w:val="nil"/>
              <w:left w:val="single" w:sz="4" w:space="0" w:color="auto"/>
              <w:bottom w:val="single" w:sz="4" w:space="0" w:color="auto"/>
              <w:right w:val="single" w:sz="4" w:space="0" w:color="auto"/>
            </w:tcBorders>
            <w:noWrap/>
            <w:vAlign w:val="center"/>
            <w:hideMark/>
          </w:tcPr>
          <w:p w14:paraId="06CD0D57" w14:textId="080B17E9" w:rsidR="00F100F9" w:rsidRPr="002B008A" w:rsidRDefault="00F100F9" w:rsidP="00F100F9">
            <w:pPr>
              <w:spacing w:after="0" w:line="240" w:lineRule="auto"/>
              <w:rPr>
                <w:rFonts w:ascii="Times New Roman" w:eastAsia="Times New Roman" w:hAnsi="Times New Roman" w:cs="Times New Roman"/>
                <w:color w:val="000000"/>
                <w:kern w:val="0"/>
                <w:sz w:val="24"/>
                <w:szCs w:val="24"/>
                <w14:ligatures w14:val="none"/>
              </w:rPr>
            </w:pPr>
            <w:r w:rsidRPr="002B008A">
              <w:rPr>
                <w:rFonts w:ascii="Times New Roman" w:eastAsia="Times New Roman" w:hAnsi="Times New Roman" w:cs="Times New Roman"/>
                <w:color w:val="000000"/>
                <w:kern w:val="0"/>
                <w:sz w:val="24"/>
                <w:szCs w:val="24"/>
                <w14:ligatures w14:val="none"/>
              </w:rPr>
              <w:t>Doanh số cho vay SXKD đối với KHCN</w:t>
            </w:r>
          </w:p>
        </w:tc>
        <w:tc>
          <w:tcPr>
            <w:tcW w:w="565" w:type="pct"/>
            <w:tcBorders>
              <w:top w:val="nil"/>
              <w:left w:val="single" w:sz="4" w:space="0" w:color="auto"/>
              <w:bottom w:val="single" w:sz="4" w:space="0" w:color="auto"/>
              <w:right w:val="single" w:sz="4" w:space="0" w:color="auto"/>
            </w:tcBorders>
            <w:vAlign w:val="center"/>
            <w:hideMark/>
          </w:tcPr>
          <w:p w14:paraId="038585AC" w14:textId="5380AAE0"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308,64</w:t>
            </w:r>
          </w:p>
        </w:tc>
        <w:tc>
          <w:tcPr>
            <w:tcW w:w="563" w:type="pct"/>
            <w:tcBorders>
              <w:top w:val="nil"/>
              <w:left w:val="nil"/>
              <w:bottom w:val="single" w:sz="4" w:space="0" w:color="auto"/>
              <w:right w:val="single" w:sz="4" w:space="0" w:color="auto"/>
            </w:tcBorders>
            <w:noWrap/>
            <w:vAlign w:val="center"/>
            <w:hideMark/>
          </w:tcPr>
          <w:p w14:paraId="3465BA67" w14:textId="43D3F7B6"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417,28</w:t>
            </w:r>
          </w:p>
        </w:tc>
        <w:tc>
          <w:tcPr>
            <w:tcW w:w="566" w:type="pct"/>
            <w:tcBorders>
              <w:top w:val="nil"/>
              <w:left w:val="nil"/>
              <w:bottom w:val="single" w:sz="4" w:space="0" w:color="auto"/>
              <w:right w:val="single" w:sz="4" w:space="0" w:color="auto"/>
            </w:tcBorders>
            <w:vAlign w:val="center"/>
            <w:hideMark/>
          </w:tcPr>
          <w:p w14:paraId="3DACCD9F" w14:textId="74AB203C"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512,73</w:t>
            </w:r>
          </w:p>
        </w:tc>
        <w:tc>
          <w:tcPr>
            <w:tcW w:w="565" w:type="pct"/>
            <w:tcBorders>
              <w:top w:val="nil"/>
              <w:left w:val="nil"/>
              <w:bottom w:val="single" w:sz="4" w:space="0" w:color="auto"/>
              <w:right w:val="single" w:sz="4" w:space="0" w:color="auto"/>
            </w:tcBorders>
            <w:noWrap/>
            <w:vAlign w:val="center"/>
            <w:hideMark/>
          </w:tcPr>
          <w:p w14:paraId="29591C30" w14:textId="047871D2"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108,64</w:t>
            </w:r>
          </w:p>
        </w:tc>
        <w:tc>
          <w:tcPr>
            <w:tcW w:w="484" w:type="pct"/>
            <w:tcBorders>
              <w:top w:val="nil"/>
              <w:left w:val="nil"/>
              <w:bottom w:val="single" w:sz="4" w:space="0" w:color="auto"/>
              <w:right w:val="single" w:sz="4" w:space="0" w:color="auto"/>
            </w:tcBorders>
            <w:noWrap/>
            <w:vAlign w:val="center"/>
            <w:hideMark/>
          </w:tcPr>
          <w:p w14:paraId="5A9B2598" w14:textId="6D161A2F"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35,20</w:t>
            </w:r>
          </w:p>
        </w:tc>
        <w:tc>
          <w:tcPr>
            <w:tcW w:w="565" w:type="pct"/>
            <w:tcBorders>
              <w:top w:val="nil"/>
              <w:left w:val="nil"/>
              <w:bottom w:val="single" w:sz="4" w:space="0" w:color="auto"/>
              <w:right w:val="single" w:sz="4" w:space="0" w:color="auto"/>
            </w:tcBorders>
            <w:noWrap/>
            <w:vAlign w:val="center"/>
            <w:hideMark/>
          </w:tcPr>
          <w:p w14:paraId="0CFE0EFD" w14:textId="7EED618B"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95,45</w:t>
            </w:r>
          </w:p>
        </w:tc>
        <w:tc>
          <w:tcPr>
            <w:tcW w:w="565" w:type="pct"/>
            <w:tcBorders>
              <w:top w:val="nil"/>
              <w:left w:val="nil"/>
              <w:bottom w:val="single" w:sz="4" w:space="0" w:color="auto"/>
              <w:right w:val="single" w:sz="4" w:space="0" w:color="auto"/>
            </w:tcBorders>
            <w:noWrap/>
            <w:vAlign w:val="center"/>
            <w:hideMark/>
          </w:tcPr>
          <w:p w14:paraId="0991C06D" w14:textId="43AB76B9" w:rsidR="00F100F9" w:rsidRPr="002B008A" w:rsidRDefault="00F100F9" w:rsidP="00F100F9">
            <w:pPr>
              <w:spacing w:after="0" w:line="240" w:lineRule="auto"/>
              <w:jc w:val="right"/>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22,87</w:t>
            </w:r>
          </w:p>
        </w:tc>
      </w:tr>
      <w:tr w:rsidR="00F100F9" w:rsidRPr="002B008A" w14:paraId="06A7A6B8" w14:textId="77777777" w:rsidTr="00D3635B">
        <w:trPr>
          <w:trHeight w:val="340"/>
        </w:trPr>
        <w:tc>
          <w:tcPr>
            <w:tcW w:w="1127" w:type="pct"/>
            <w:tcBorders>
              <w:top w:val="single" w:sz="4" w:space="0" w:color="auto"/>
              <w:left w:val="single" w:sz="4" w:space="0" w:color="auto"/>
              <w:bottom w:val="single" w:sz="4" w:space="0" w:color="auto"/>
              <w:right w:val="single" w:sz="4" w:space="0" w:color="auto"/>
            </w:tcBorders>
            <w:noWrap/>
            <w:vAlign w:val="center"/>
            <w:hideMark/>
          </w:tcPr>
          <w:p w14:paraId="24637595" w14:textId="4EC54F07" w:rsidR="00F100F9" w:rsidRPr="002B008A" w:rsidRDefault="00F100F9" w:rsidP="00F100F9">
            <w:pPr>
              <w:spacing w:after="0" w:line="240" w:lineRule="auto"/>
              <w:rPr>
                <w:rFonts w:ascii="Times New Roman" w:eastAsia="Times New Roman" w:hAnsi="Times New Roman" w:cs="Times New Roman"/>
                <w:color w:val="000000"/>
                <w:kern w:val="0"/>
                <w:sz w:val="24"/>
                <w:szCs w:val="24"/>
                <w14:ligatures w14:val="none"/>
              </w:rPr>
            </w:pPr>
            <w:r w:rsidRPr="002B008A">
              <w:rPr>
                <w:rFonts w:ascii="Times New Roman" w:eastAsia="Times New Roman" w:hAnsi="Times New Roman" w:cs="Times New Roman"/>
                <w:color w:val="000000"/>
                <w:kern w:val="0"/>
                <w:sz w:val="24"/>
                <w:szCs w:val="24"/>
                <w14:ligatures w14:val="none"/>
              </w:rPr>
              <w:t>Hệ số thu nợ cho vay SXKD đối với KHCN</w:t>
            </w:r>
          </w:p>
        </w:tc>
        <w:tc>
          <w:tcPr>
            <w:tcW w:w="565" w:type="pct"/>
            <w:tcBorders>
              <w:top w:val="nil"/>
              <w:left w:val="single" w:sz="4" w:space="0" w:color="auto"/>
              <w:bottom w:val="single" w:sz="4" w:space="0" w:color="auto"/>
              <w:right w:val="single" w:sz="4" w:space="0" w:color="auto"/>
            </w:tcBorders>
            <w:noWrap/>
            <w:vAlign w:val="center"/>
            <w:hideMark/>
          </w:tcPr>
          <w:p w14:paraId="16A297D1" w14:textId="0FF16E5F" w:rsidR="00F100F9" w:rsidRPr="002B008A" w:rsidRDefault="00F100F9" w:rsidP="005D7B44">
            <w:pPr>
              <w:spacing w:after="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0,69</w:t>
            </w:r>
          </w:p>
        </w:tc>
        <w:tc>
          <w:tcPr>
            <w:tcW w:w="563" w:type="pct"/>
            <w:tcBorders>
              <w:top w:val="nil"/>
              <w:left w:val="nil"/>
              <w:bottom w:val="single" w:sz="4" w:space="0" w:color="auto"/>
              <w:right w:val="single" w:sz="4" w:space="0" w:color="auto"/>
            </w:tcBorders>
            <w:noWrap/>
            <w:vAlign w:val="center"/>
            <w:hideMark/>
          </w:tcPr>
          <w:p w14:paraId="76A6F9B9" w14:textId="46694188" w:rsidR="00F100F9" w:rsidRPr="002B008A" w:rsidRDefault="00F100F9" w:rsidP="005D7B44">
            <w:pPr>
              <w:spacing w:after="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0,68</w:t>
            </w:r>
          </w:p>
        </w:tc>
        <w:tc>
          <w:tcPr>
            <w:tcW w:w="566" w:type="pct"/>
            <w:tcBorders>
              <w:top w:val="nil"/>
              <w:left w:val="nil"/>
              <w:bottom w:val="single" w:sz="4" w:space="0" w:color="auto"/>
              <w:right w:val="single" w:sz="4" w:space="0" w:color="auto"/>
            </w:tcBorders>
            <w:noWrap/>
            <w:vAlign w:val="center"/>
            <w:hideMark/>
          </w:tcPr>
          <w:p w14:paraId="7EC73560" w14:textId="63CAA0B1" w:rsidR="00F100F9" w:rsidRPr="002B008A" w:rsidRDefault="00F100F9" w:rsidP="005D7B44">
            <w:pPr>
              <w:spacing w:after="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0,68</w:t>
            </w:r>
          </w:p>
        </w:tc>
        <w:tc>
          <w:tcPr>
            <w:tcW w:w="565" w:type="pct"/>
            <w:tcBorders>
              <w:top w:val="nil"/>
              <w:left w:val="nil"/>
              <w:bottom w:val="single" w:sz="4" w:space="0" w:color="auto"/>
              <w:right w:val="single" w:sz="4" w:space="0" w:color="auto"/>
            </w:tcBorders>
            <w:noWrap/>
            <w:vAlign w:val="center"/>
            <w:hideMark/>
          </w:tcPr>
          <w:p w14:paraId="3B5797CA" w14:textId="25BD5563" w:rsidR="00F100F9" w:rsidRPr="002B008A" w:rsidRDefault="00F100F9" w:rsidP="005D7B44">
            <w:pPr>
              <w:spacing w:after="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-0,01</w:t>
            </w:r>
          </w:p>
        </w:tc>
        <w:tc>
          <w:tcPr>
            <w:tcW w:w="484" w:type="pct"/>
            <w:tcBorders>
              <w:top w:val="nil"/>
              <w:left w:val="nil"/>
              <w:bottom w:val="single" w:sz="4" w:space="0" w:color="auto"/>
              <w:right w:val="single" w:sz="4" w:space="0" w:color="auto"/>
            </w:tcBorders>
            <w:noWrap/>
            <w:vAlign w:val="center"/>
            <w:hideMark/>
          </w:tcPr>
          <w:p w14:paraId="2A66FA39" w14:textId="23F6662F" w:rsidR="00F100F9" w:rsidRPr="002B008A" w:rsidRDefault="00F100F9" w:rsidP="005D7B44">
            <w:pPr>
              <w:spacing w:after="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(2,03)</w:t>
            </w:r>
          </w:p>
        </w:tc>
        <w:tc>
          <w:tcPr>
            <w:tcW w:w="565" w:type="pct"/>
            <w:tcBorders>
              <w:top w:val="nil"/>
              <w:left w:val="nil"/>
              <w:bottom w:val="single" w:sz="4" w:space="0" w:color="auto"/>
              <w:right w:val="single" w:sz="4" w:space="0" w:color="auto"/>
            </w:tcBorders>
            <w:noWrap/>
            <w:vAlign w:val="center"/>
            <w:hideMark/>
          </w:tcPr>
          <w:p w14:paraId="4B9A2E61" w14:textId="5FC133EF" w:rsidR="00F100F9" w:rsidRPr="002B008A" w:rsidRDefault="00F100F9" w:rsidP="005D7B44">
            <w:pPr>
              <w:spacing w:after="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0,00</w:t>
            </w:r>
          </w:p>
        </w:tc>
        <w:tc>
          <w:tcPr>
            <w:tcW w:w="565" w:type="pct"/>
            <w:tcBorders>
              <w:top w:val="nil"/>
              <w:left w:val="nil"/>
              <w:bottom w:val="single" w:sz="4" w:space="0" w:color="auto"/>
              <w:right w:val="single" w:sz="4" w:space="0" w:color="auto"/>
            </w:tcBorders>
            <w:noWrap/>
            <w:vAlign w:val="center"/>
            <w:hideMark/>
          </w:tcPr>
          <w:p w14:paraId="74F218A0" w14:textId="3EBADDC9" w:rsidR="00F100F9" w:rsidRPr="002B008A" w:rsidRDefault="00F100F9" w:rsidP="005D7B44">
            <w:pPr>
              <w:spacing w:after="0" w:line="240" w:lineRule="auto"/>
              <w:jc w:val="center"/>
              <w:rPr>
                <w:rFonts w:ascii="Times New Roman" w:eastAsia="Times New Roman" w:hAnsi="Times New Roman" w:cs="Times New Roman"/>
                <w:color w:val="000000"/>
                <w:kern w:val="0"/>
                <w:sz w:val="24"/>
                <w:szCs w:val="24"/>
                <w14:ligatures w14:val="none"/>
              </w:rPr>
            </w:pPr>
            <w:r w:rsidRPr="002B008A">
              <w:rPr>
                <w:rFonts w:ascii="Times New Roman" w:hAnsi="Times New Roman" w:cs="Times New Roman"/>
                <w:color w:val="000000"/>
                <w:sz w:val="24"/>
                <w:szCs w:val="24"/>
              </w:rPr>
              <w:t>(0,68)</w:t>
            </w:r>
          </w:p>
        </w:tc>
      </w:tr>
    </w:tbl>
    <w:p w14:paraId="68B3863B" w14:textId="150E3B87" w:rsidR="007634CB" w:rsidRPr="002B008A" w:rsidRDefault="007634CB" w:rsidP="0032704C">
      <w:pPr>
        <w:tabs>
          <w:tab w:val="left" w:pos="970"/>
        </w:tabs>
        <w:ind w:right="-51" w:firstLine="567"/>
        <w:jc w:val="right"/>
        <w:rPr>
          <w:rFonts w:ascii="Times New Roman" w:hAnsi="Times New Roman" w:cs="Times New Roman"/>
          <w:i/>
          <w:iCs/>
          <w:sz w:val="26"/>
          <w:szCs w:val="26"/>
          <w:lang w:val="vi-VN"/>
        </w:rPr>
      </w:pPr>
      <w:r w:rsidRPr="002B008A">
        <w:rPr>
          <w:rFonts w:ascii="Times New Roman" w:hAnsi="Times New Roman" w:cs="Times New Roman"/>
          <w:sz w:val="26"/>
          <w:szCs w:val="26"/>
          <w:lang w:val="vi-VN"/>
        </w:rPr>
        <w:tab/>
      </w:r>
      <w:r w:rsidR="00435073" w:rsidRPr="002B008A">
        <w:rPr>
          <w:rFonts w:ascii="Times New Roman" w:hAnsi="Times New Roman" w:cs="Times New Roman"/>
          <w:i/>
          <w:iCs/>
          <w:sz w:val="26"/>
          <w:szCs w:val="26"/>
          <w:lang w:val="vi-VN"/>
        </w:rPr>
        <w:t>(Nguồn: Báo cáo tài chính Ngân hàng TMCP Quân đội - Chi Nhánh Đà Nẵng giai đoạn 2023 - 2025)</w:t>
      </w:r>
    </w:p>
    <w:p w14:paraId="45782D6E" w14:textId="341BB14A" w:rsidR="0032704C" w:rsidRPr="002B008A" w:rsidRDefault="0032704C" w:rsidP="004851CA">
      <w:pPr>
        <w:spacing w:after="0" w:line="360" w:lineRule="auto"/>
        <w:ind w:firstLine="567"/>
        <w:jc w:val="both"/>
        <w:rPr>
          <w:rFonts w:ascii="Times New Roman" w:hAnsi="Times New Roman" w:cs="Times New Roman"/>
          <w:b/>
          <w:bCs/>
          <w:i/>
          <w:iCs/>
          <w:color w:val="000000" w:themeColor="text1"/>
          <w:sz w:val="26"/>
          <w:szCs w:val="26"/>
          <w:lang w:val="vi-VN"/>
        </w:rPr>
      </w:pPr>
      <w:r w:rsidRPr="002B008A">
        <w:rPr>
          <w:rFonts w:ascii="Times New Roman" w:hAnsi="Times New Roman" w:cs="Times New Roman"/>
          <w:color w:val="000000" w:themeColor="text1"/>
          <w:sz w:val="26"/>
          <w:szCs w:val="26"/>
          <w:lang w:val="vi-VN"/>
        </w:rPr>
        <w:t xml:space="preserve">Để đánh giá khả năng thu hồi vốn trong hoạt động cho </w:t>
      </w:r>
      <w:r w:rsidR="00C13756" w:rsidRPr="002B008A">
        <w:rPr>
          <w:rFonts w:ascii="Times New Roman" w:hAnsi="Times New Roman" w:cs="Times New Roman"/>
          <w:color w:val="000000" w:themeColor="text1"/>
          <w:sz w:val="26"/>
          <w:szCs w:val="26"/>
          <w:lang w:val="vi-VN"/>
        </w:rPr>
        <w:t>vay SXKD đối với KHCN</w:t>
      </w:r>
      <w:r w:rsidRPr="002B008A">
        <w:rPr>
          <w:rFonts w:ascii="Times New Roman" w:hAnsi="Times New Roman" w:cs="Times New Roman"/>
          <w:color w:val="000000" w:themeColor="text1"/>
          <w:sz w:val="26"/>
          <w:szCs w:val="26"/>
          <w:lang w:val="vi-VN"/>
        </w:rPr>
        <w:t>, chỉ tiêu hệ số thu nợ có ý nghĩa quan trọng, phản ánh mức độ thu hồi vốn so với số vốn đã cho vay trong kỳ. Dựa vào bảng số liệu, có thể thấy rõ xu hướng biến động của chỉ tiêu này trong giai đoạn 2023–2025.</w:t>
      </w:r>
    </w:p>
    <w:p w14:paraId="24EF1833" w14:textId="02490CFC" w:rsidR="0032704C" w:rsidRPr="002B008A" w:rsidRDefault="0032704C" w:rsidP="00F90844">
      <w:pPr>
        <w:spacing w:after="0" w:line="360" w:lineRule="auto"/>
        <w:ind w:firstLine="567"/>
        <w:jc w:val="both"/>
        <w:rPr>
          <w:rFonts w:ascii="Times New Roman" w:hAnsi="Times New Roman" w:cs="Times New Roman"/>
          <w:b/>
          <w:bCs/>
          <w:i/>
          <w:iCs/>
          <w:color w:val="000000" w:themeColor="text1"/>
          <w:sz w:val="26"/>
          <w:szCs w:val="26"/>
          <w:lang w:val="vi-VN"/>
        </w:rPr>
      </w:pPr>
      <w:r w:rsidRPr="002B008A">
        <w:rPr>
          <w:rFonts w:ascii="Times New Roman" w:hAnsi="Times New Roman" w:cs="Times New Roman"/>
          <w:color w:val="000000" w:themeColor="text1"/>
          <w:sz w:val="26"/>
          <w:szCs w:val="26"/>
          <w:lang w:val="vi-VN"/>
        </w:rPr>
        <w:t xml:space="preserve">Trước hết, doanh số cho vay và doanh số thu nợ đều tăng trưởng qua các năm, cho thấy quy mô hoạt động tín dụng được mở rộng đồng thời khả năng thu hồi vốn cũng được cải thiện. Tuy nhiên, tốc độ tăng của doanh số cho vay lại cao hơn tốc độ tăng của doanh số thu nợ, đặc biệt trong giai đoạn 2023–2024, dẫn đến sự suy giảm nhẹ của hệ </w:t>
      </w:r>
      <w:r w:rsidRPr="002B008A">
        <w:rPr>
          <w:rFonts w:ascii="Times New Roman" w:hAnsi="Times New Roman" w:cs="Times New Roman"/>
          <w:color w:val="000000" w:themeColor="text1"/>
          <w:sz w:val="26"/>
          <w:szCs w:val="26"/>
          <w:lang w:val="vi-VN"/>
        </w:rPr>
        <w:lastRenderedPageBreak/>
        <w:t>số thu nợ.</w:t>
      </w:r>
      <w:r w:rsidR="00D3635B" w:rsidRPr="002B008A">
        <w:rPr>
          <w:rFonts w:ascii="Times New Roman" w:hAnsi="Times New Roman" w:cs="Times New Roman"/>
          <w:b/>
          <w:bCs/>
          <w:i/>
          <w:iCs/>
          <w:color w:val="000000" w:themeColor="text1"/>
          <w:sz w:val="26"/>
          <w:szCs w:val="26"/>
          <w:lang w:val="vi-VN"/>
        </w:rPr>
        <w:t xml:space="preserve"> </w:t>
      </w:r>
      <w:r w:rsidR="00F90844" w:rsidRPr="002B008A">
        <w:rPr>
          <w:rFonts w:ascii="Times New Roman" w:hAnsi="Times New Roman" w:cs="Times New Roman"/>
          <w:b/>
          <w:bCs/>
          <w:i/>
          <w:iCs/>
          <w:color w:val="000000" w:themeColor="text1"/>
          <w:sz w:val="26"/>
          <w:szCs w:val="26"/>
          <w:lang w:val="vi-VN"/>
        </w:rPr>
        <w:t xml:space="preserve"> </w:t>
      </w:r>
      <w:r w:rsidRPr="002B008A">
        <w:rPr>
          <w:rFonts w:ascii="Times New Roman" w:hAnsi="Times New Roman" w:cs="Times New Roman"/>
          <w:color w:val="000000" w:themeColor="text1"/>
          <w:sz w:val="26"/>
          <w:szCs w:val="26"/>
          <w:lang w:val="vi-VN"/>
        </w:rPr>
        <w:t>Cụ thể, hệ số thu nợ giảm từ 0,69 năm 2023 xuống 0,68 năm 2024 và giữ nguyên ở mức 0,68 trong năm 2025. Mặc dù mức giảm không lớn, nhưng cho thấy cứ 1 đồng cho vay ra thì ngân hàng chỉ thu hồi được khoảng 0,68–0,69 đồng trong kỳ, phản ánh tốc độ thu hồi vốn chưa thực sự theo kịp tốc độ mở rộng tín dụng.</w:t>
      </w:r>
    </w:p>
    <w:p w14:paraId="05F539AD" w14:textId="5382C3E2" w:rsidR="0032704C" w:rsidRPr="002B008A" w:rsidRDefault="0032704C" w:rsidP="00F90844">
      <w:pPr>
        <w:spacing w:after="0" w:line="360" w:lineRule="auto"/>
        <w:ind w:firstLine="567"/>
        <w:jc w:val="both"/>
        <w:rPr>
          <w:rFonts w:ascii="Times New Roman" w:hAnsi="Times New Roman" w:cs="Times New Roman"/>
          <w:b/>
          <w:bCs/>
          <w:i/>
          <w:iCs/>
          <w:color w:val="000000" w:themeColor="text1"/>
          <w:sz w:val="26"/>
          <w:szCs w:val="26"/>
          <w:lang w:val="vi-VN"/>
        </w:rPr>
      </w:pPr>
      <w:r w:rsidRPr="002B008A">
        <w:rPr>
          <w:rFonts w:ascii="Times New Roman" w:hAnsi="Times New Roman" w:cs="Times New Roman"/>
          <w:color w:val="000000" w:themeColor="text1"/>
          <w:sz w:val="26"/>
          <w:szCs w:val="26"/>
          <w:lang w:val="vi-VN"/>
        </w:rPr>
        <w:t>So sánh giữa các năm, có thể thấy năm 2023 là năm có hiệu quả thu nợ cao nhất, trong khi giai đoạn sau có dấu hiệu chững lại. Điều này có thể xuất phát từ việc ngân hàng mở rộng cho vay nhanh hơn, đặc biệt là các khoản</w:t>
      </w:r>
      <w:r w:rsidR="00B9784C" w:rsidRPr="002B008A">
        <w:rPr>
          <w:rFonts w:ascii="Times New Roman" w:hAnsi="Times New Roman" w:cs="Times New Roman"/>
          <w:color w:val="000000" w:themeColor="text1"/>
          <w:sz w:val="26"/>
          <w:szCs w:val="26"/>
          <w:lang w:val="vi-VN"/>
        </w:rPr>
        <w:t xml:space="preserve"> cho</w:t>
      </w:r>
      <w:r w:rsidRPr="002B008A">
        <w:rPr>
          <w:rFonts w:ascii="Times New Roman" w:hAnsi="Times New Roman" w:cs="Times New Roman"/>
          <w:color w:val="000000" w:themeColor="text1"/>
          <w:sz w:val="26"/>
          <w:szCs w:val="26"/>
          <w:lang w:val="vi-VN"/>
        </w:rPr>
        <w:t xml:space="preserve"> vay trung và dài hạn hoặc các khoản</w:t>
      </w:r>
      <w:r w:rsidR="00850D03" w:rsidRPr="002B008A">
        <w:rPr>
          <w:rFonts w:ascii="Times New Roman" w:hAnsi="Times New Roman" w:cs="Times New Roman"/>
          <w:color w:val="000000" w:themeColor="text1"/>
          <w:sz w:val="26"/>
          <w:szCs w:val="26"/>
          <w:lang w:val="vi-VN"/>
        </w:rPr>
        <w:t xml:space="preserve"> cho</w:t>
      </w:r>
      <w:r w:rsidRPr="002B008A">
        <w:rPr>
          <w:rFonts w:ascii="Times New Roman" w:hAnsi="Times New Roman" w:cs="Times New Roman"/>
          <w:color w:val="000000" w:themeColor="text1"/>
          <w:sz w:val="26"/>
          <w:szCs w:val="26"/>
          <w:lang w:val="vi-VN"/>
        </w:rPr>
        <w:t xml:space="preserve"> vay có độ rủi ro cao hơn, dẫn đến thời gian thu hồi vốn kéo dài.</w:t>
      </w:r>
      <w:r w:rsidR="00F90844" w:rsidRPr="002B008A">
        <w:rPr>
          <w:rFonts w:ascii="Times New Roman" w:hAnsi="Times New Roman" w:cs="Times New Roman"/>
          <w:b/>
          <w:bCs/>
          <w:i/>
          <w:iCs/>
          <w:color w:val="000000" w:themeColor="text1"/>
          <w:sz w:val="26"/>
          <w:szCs w:val="26"/>
          <w:lang w:val="vi-VN"/>
        </w:rPr>
        <w:t xml:space="preserve"> </w:t>
      </w:r>
      <w:r w:rsidRPr="002B008A">
        <w:rPr>
          <w:rFonts w:ascii="Times New Roman" w:hAnsi="Times New Roman" w:cs="Times New Roman"/>
          <w:color w:val="000000" w:themeColor="text1"/>
          <w:sz w:val="26"/>
          <w:szCs w:val="26"/>
          <w:lang w:val="vi-VN"/>
        </w:rPr>
        <w:t>Tuy nhiên, việc hệ số thu nợ duy trì ổn định ở mức tương đối cao và không giảm sâu cho thấy công tác thu hồi nợ của ngân hàng vẫn được kiểm soát tốt. Đây là một điểm tích cực, phản ánh chất lượng tín dụng vẫn nằm trong mức an toàn</w:t>
      </w:r>
    </w:p>
    <w:p w14:paraId="513C0737" w14:textId="10B96D01" w:rsidR="007634CB" w:rsidRPr="00A90E6A" w:rsidRDefault="007634CB" w:rsidP="00CD403C">
      <w:pPr>
        <w:pStyle w:val="Heading3"/>
        <w:numPr>
          <w:ilvl w:val="0"/>
          <w:numId w:val="5"/>
        </w:numPr>
        <w:tabs>
          <w:tab w:val="clear" w:pos="6210"/>
          <w:tab w:val="left" w:pos="1276"/>
        </w:tabs>
        <w:ind w:left="0" w:firstLine="567"/>
        <w:rPr>
          <w:i w:val="0"/>
          <w:iCs w:val="0"/>
          <w:color w:val="000000" w:themeColor="text1"/>
          <w:lang w:val="vi-VN"/>
        </w:rPr>
      </w:pPr>
      <w:bookmarkStart w:id="61" w:name="_Toc230962396"/>
      <w:r w:rsidRPr="00A90E6A">
        <w:rPr>
          <w:i w:val="0"/>
          <w:iCs w:val="0"/>
          <w:color w:val="000000" w:themeColor="text1"/>
          <w:lang w:val="vi-VN"/>
        </w:rPr>
        <w:t xml:space="preserve">Đánh giá thực trạng hiệu quả cho vay sản xuất kinh doanh đối với khách hàng cá nhân tại ngân hàng TMCP Quân đội – Chi nhánh Đà </w:t>
      </w:r>
      <w:r w:rsidR="00A03CAB" w:rsidRPr="00A90E6A">
        <w:rPr>
          <w:i w:val="0"/>
          <w:iCs w:val="0"/>
          <w:color w:val="000000" w:themeColor="text1"/>
          <w:lang w:val="vi-VN"/>
        </w:rPr>
        <w:t>Nẵng.</w:t>
      </w:r>
      <w:bookmarkEnd w:id="61"/>
    </w:p>
    <w:p w14:paraId="3A6FEBF4" w14:textId="5E6B1AE3" w:rsidR="00863FAD" w:rsidRPr="00A90E6A" w:rsidRDefault="007634CB" w:rsidP="004E66A4">
      <w:pPr>
        <w:pStyle w:val="ListParagraph"/>
        <w:numPr>
          <w:ilvl w:val="0"/>
          <w:numId w:val="9"/>
        </w:numPr>
        <w:tabs>
          <w:tab w:val="left" w:pos="851"/>
          <w:tab w:val="left" w:pos="1418"/>
        </w:tabs>
        <w:spacing w:after="0" w:line="360" w:lineRule="auto"/>
        <w:ind w:left="0" w:firstLine="567"/>
        <w:contextualSpacing w:val="0"/>
        <w:rPr>
          <w:rFonts w:ascii="Times New Roman" w:hAnsi="Times New Roman" w:cs="Times New Roman"/>
          <w:b/>
          <w:bCs/>
          <w:sz w:val="26"/>
          <w:szCs w:val="26"/>
          <w:lang w:val="vi-VN"/>
        </w:rPr>
      </w:pPr>
      <w:r w:rsidRPr="00A90E6A">
        <w:rPr>
          <w:rFonts w:ascii="Times New Roman" w:hAnsi="Times New Roman" w:cs="Times New Roman"/>
          <w:b/>
          <w:bCs/>
          <w:sz w:val="26"/>
          <w:szCs w:val="26"/>
          <w:lang w:val="vi-VN"/>
        </w:rPr>
        <w:t xml:space="preserve">Kết quả đạt </w:t>
      </w:r>
      <w:r w:rsidR="00A03CAB" w:rsidRPr="00A90E6A">
        <w:rPr>
          <w:rFonts w:ascii="Times New Roman" w:hAnsi="Times New Roman" w:cs="Times New Roman"/>
          <w:b/>
          <w:bCs/>
          <w:sz w:val="26"/>
          <w:szCs w:val="26"/>
          <w:lang w:val="vi-VN"/>
        </w:rPr>
        <w:t>được.</w:t>
      </w:r>
    </w:p>
    <w:p w14:paraId="49A459EE" w14:textId="77777777" w:rsidR="00386C89" w:rsidRPr="00A90E6A" w:rsidRDefault="00386C89" w:rsidP="004E66A4">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Giai đoạn 2023–2025, hoạt động cho vay SXKD đối với KHCN tại MB Đà Nẵng đạt nhiều kết quả tích cực về quy mô, cơ cấu tín dụng và hiệu quả hoạt động. Điều này cho thấy định hướng phát triển tín dụng bán lẻ của chi nhánh đang đi đúng hướng và ngày càng đóng vai trò quan trọng trong hoạt động kinh doanh của ngân hàng.</w:t>
      </w:r>
    </w:p>
    <w:p w14:paraId="777A4756" w14:textId="2BF3F901" w:rsidR="007634CB" w:rsidRPr="00A90E6A" w:rsidRDefault="007634CB" w:rsidP="00D27110">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Trước hết, quy mô cho vay </w:t>
      </w:r>
      <w:r w:rsidR="00E82983" w:rsidRPr="00A90E6A">
        <w:rPr>
          <w:rFonts w:ascii="Times New Roman" w:hAnsi="Times New Roman" w:cs="Times New Roman"/>
          <w:color w:val="000000" w:themeColor="text1"/>
          <w:sz w:val="26"/>
          <w:szCs w:val="26"/>
          <w:lang w:val="vi-VN"/>
        </w:rPr>
        <w:t xml:space="preserve">SXKD đối với KHCN </w:t>
      </w:r>
      <w:r w:rsidRPr="00A90E6A">
        <w:rPr>
          <w:rFonts w:ascii="Times New Roman" w:hAnsi="Times New Roman" w:cs="Times New Roman"/>
          <w:color w:val="000000" w:themeColor="text1"/>
          <w:sz w:val="26"/>
          <w:szCs w:val="26"/>
          <w:lang w:val="vi-VN"/>
        </w:rPr>
        <w:t>không ngừng được mở rộng qua các năm. Doanh số cho vay tăng từ 308,64 tỷ đồng năm 2023 lên 417,28 tỷ đồng năm 2024 và đạt 512,73 tỷ đồng vào năm 2025, với tốc độ tăng trưởng lần lượt là 35,20% và 22,87%. Điều này cho thấy nhu cầu vay vốn phục</w:t>
      </w:r>
      <w:r w:rsidR="00E82983" w:rsidRPr="00A90E6A">
        <w:rPr>
          <w:rFonts w:ascii="Times New Roman" w:hAnsi="Times New Roman" w:cs="Times New Roman"/>
          <w:color w:val="000000" w:themeColor="text1"/>
          <w:sz w:val="26"/>
          <w:szCs w:val="26"/>
          <w:lang w:val="vi-VN"/>
        </w:rPr>
        <w:t xml:space="preserve"> vụ cho vay</w:t>
      </w:r>
      <w:r w:rsidRPr="00A90E6A">
        <w:rPr>
          <w:rFonts w:ascii="Times New Roman" w:hAnsi="Times New Roman" w:cs="Times New Roman"/>
          <w:color w:val="000000" w:themeColor="text1"/>
          <w:sz w:val="26"/>
          <w:szCs w:val="26"/>
          <w:lang w:val="vi-VN"/>
        </w:rPr>
        <w:t xml:space="preserve"> </w:t>
      </w:r>
      <w:r w:rsidR="00E82983" w:rsidRPr="00A90E6A">
        <w:rPr>
          <w:rFonts w:ascii="Times New Roman" w:hAnsi="Times New Roman" w:cs="Times New Roman"/>
          <w:color w:val="000000" w:themeColor="text1"/>
          <w:sz w:val="26"/>
          <w:szCs w:val="26"/>
          <w:lang w:val="vi-VN"/>
        </w:rPr>
        <w:t>SXKD đối với KHCN</w:t>
      </w:r>
      <w:r w:rsidRPr="00A90E6A">
        <w:rPr>
          <w:rFonts w:ascii="Times New Roman" w:hAnsi="Times New Roman" w:cs="Times New Roman"/>
          <w:color w:val="000000" w:themeColor="text1"/>
          <w:sz w:val="26"/>
          <w:szCs w:val="26"/>
          <w:lang w:val="vi-VN"/>
        </w:rPr>
        <w:t xml:space="preserve"> ngày càng gia tăng, đồng thời phản ánh khả năng khai thác thị trường và mở rộng tín dụng của ngân hàng. Song song với đó, doanh số thu nợ cũng tăng trưởng tương ứng từ 214,34 tỷ đồng lên 346,48 tỷ đồng, cho thấy khả năng thu hồi vốn được cải thiện và hoạt động tín dụng có sự phát triển đồng bộ.</w:t>
      </w:r>
    </w:p>
    <w:p w14:paraId="290F9951" w14:textId="34EC66A7" w:rsidR="007634CB" w:rsidRPr="00A90E6A" w:rsidRDefault="007634CB" w:rsidP="00D27110">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Dư nợ cho vay </w:t>
      </w:r>
      <w:r w:rsidR="00E82983" w:rsidRPr="00A90E6A">
        <w:rPr>
          <w:rFonts w:ascii="Times New Roman" w:hAnsi="Times New Roman" w:cs="Times New Roman"/>
          <w:color w:val="000000" w:themeColor="text1"/>
          <w:sz w:val="26"/>
          <w:szCs w:val="26"/>
          <w:lang w:val="vi-VN"/>
        </w:rPr>
        <w:t xml:space="preserve">SXKD đối với KHCN </w:t>
      </w:r>
      <w:r w:rsidRPr="00A90E6A">
        <w:rPr>
          <w:rFonts w:ascii="Times New Roman" w:hAnsi="Times New Roman" w:cs="Times New Roman"/>
          <w:color w:val="000000" w:themeColor="text1"/>
          <w:sz w:val="26"/>
          <w:szCs w:val="26"/>
          <w:lang w:val="vi-VN"/>
        </w:rPr>
        <w:t xml:space="preserve">cũng ghi nhận sự gia tăng đáng kể, từ 403,17 tỷ đồng năm 2023 lên 536,54 tỷ đồng năm 2024 và đạt 702,79 tỷ đồng vào năm 2025, với mức tăng trưởng trên 30% mỗi năm. Điều này khẳng định vai trò ngày càng lớn của phân khúc </w:t>
      </w:r>
      <w:r w:rsidR="00E82983" w:rsidRPr="00A90E6A">
        <w:rPr>
          <w:rFonts w:ascii="Times New Roman" w:hAnsi="Times New Roman" w:cs="Times New Roman"/>
          <w:color w:val="000000" w:themeColor="text1"/>
          <w:sz w:val="26"/>
          <w:szCs w:val="26"/>
          <w:lang w:val="vi-VN"/>
        </w:rPr>
        <w:t xml:space="preserve">KHCN </w:t>
      </w:r>
      <w:r w:rsidRPr="00A90E6A">
        <w:rPr>
          <w:rFonts w:ascii="Times New Roman" w:hAnsi="Times New Roman" w:cs="Times New Roman"/>
          <w:color w:val="000000" w:themeColor="text1"/>
          <w:sz w:val="26"/>
          <w:szCs w:val="26"/>
          <w:lang w:val="vi-VN"/>
        </w:rPr>
        <w:t>trong danh mục tín dụng của chi nhánh, đồng thời cho thấy ngân hàng đã thành công trong việc mở rộng quy mô hoạt động cho vay một cách liên tục và ổn định.</w:t>
      </w:r>
    </w:p>
    <w:p w14:paraId="567981A1" w14:textId="6F0FC3D3" w:rsidR="007634CB" w:rsidRPr="00A90E6A" w:rsidRDefault="007634CB" w:rsidP="00D27110">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 xml:space="preserve">Bên cạnh sự tăng trưởng về quy mô, cơ cấu cho vay cũng có sự chuyển dịch theo hướng an toàn hơn. Cho vay ngắn hạn chiếm tỷ trọng chủ yếu, khoảng 74% trong tổng doanh số cho vay </w:t>
      </w:r>
      <w:r w:rsidR="00E82983" w:rsidRPr="00A90E6A">
        <w:rPr>
          <w:rFonts w:ascii="Times New Roman" w:hAnsi="Times New Roman" w:cs="Times New Roman"/>
          <w:color w:val="000000" w:themeColor="text1"/>
          <w:sz w:val="26"/>
          <w:szCs w:val="26"/>
          <w:lang w:val="vi-VN"/>
        </w:rPr>
        <w:t>SXKD đối với KHCN</w:t>
      </w:r>
      <w:r w:rsidRPr="00A90E6A">
        <w:rPr>
          <w:rFonts w:ascii="Times New Roman" w:hAnsi="Times New Roman" w:cs="Times New Roman"/>
          <w:color w:val="000000" w:themeColor="text1"/>
          <w:sz w:val="26"/>
          <w:szCs w:val="26"/>
          <w:lang w:val="vi-VN"/>
        </w:rPr>
        <w:t>, giúp ngân hàng tăng tốc độ quay vòng vốn và hạn chế rủi ro.</w:t>
      </w:r>
      <w:r w:rsidR="00E82983" w:rsidRPr="00A90E6A">
        <w:rPr>
          <w:rFonts w:ascii="Times New Roman" w:hAnsi="Times New Roman" w:cs="Times New Roman"/>
          <w:color w:val="000000" w:themeColor="text1"/>
          <w:sz w:val="26"/>
          <w:szCs w:val="26"/>
          <w:lang w:val="vi-VN"/>
        </w:rPr>
        <w:t xml:space="preserve"> Cùng với đó</w:t>
      </w:r>
      <w:r w:rsidRPr="00A90E6A">
        <w:rPr>
          <w:rFonts w:ascii="Times New Roman" w:hAnsi="Times New Roman" w:cs="Times New Roman"/>
          <w:color w:val="000000" w:themeColor="text1"/>
          <w:sz w:val="26"/>
          <w:szCs w:val="26"/>
          <w:lang w:val="vi-VN"/>
        </w:rPr>
        <w:t xml:space="preserve">, </w:t>
      </w:r>
      <w:r w:rsidR="00E73B11" w:rsidRPr="00A90E6A">
        <w:rPr>
          <w:rFonts w:ascii="Times New Roman" w:hAnsi="Times New Roman" w:cs="Times New Roman"/>
          <w:color w:val="000000" w:themeColor="text1"/>
          <w:sz w:val="26"/>
          <w:szCs w:val="26"/>
          <w:lang w:val="vi-VN"/>
        </w:rPr>
        <w:t>x</w:t>
      </w:r>
      <w:r w:rsidRPr="00A90E6A">
        <w:rPr>
          <w:rFonts w:ascii="Times New Roman" w:hAnsi="Times New Roman" w:cs="Times New Roman"/>
          <w:color w:val="000000" w:themeColor="text1"/>
          <w:sz w:val="26"/>
          <w:szCs w:val="26"/>
          <w:lang w:val="vi-VN"/>
        </w:rPr>
        <w:t>ét theo phương thức cho vay, hình thức cho vay theo hạn mức chiếm tỷ trọng cao nhất, trên 55%, cho thấy ngân hàng đã xây dựng được mối quan hệ tín dụng ổn định với khách hàng. Theo hình thức đảm bảo, các khoản</w:t>
      </w:r>
      <w:r w:rsidR="00850D03" w:rsidRPr="00A90E6A">
        <w:rPr>
          <w:rFonts w:ascii="Times New Roman" w:hAnsi="Times New Roman" w:cs="Times New Roman"/>
          <w:color w:val="000000" w:themeColor="text1"/>
          <w:sz w:val="26"/>
          <w:szCs w:val="26"/>
          <w:lang w:val="vi-VN"/>
        </w:rPr>
        <w:t xml:space="preserve"> cho</w:t>
      </w:r>
      <w:r w:rsidRPr="00A90E6A">
        <w:rPr>
          <w:rFonts w:ascii="Times New Roman" w:hAnsi="Times New Roman" w:cs="Times New Roman"/>
          <w:color w:val="000000" w:themeColor="text1"/>
          <w:sz w:val="26"/>
          <w:szCs w:val="26"/>
          <w:lang w:val="vi-VN"/>
        </w:rPr>
        <w:t xml:space="preserve"> vay có </w:t>
      </w:r>
      <w:r w:rsidR="00E82983" w:rsidRPr="00A90E6A">
        <w:rPr>
          <w:rFonts w:ascii="Times New Roman" w:hAnsi="Times New Roman" w:cs="Times New Roman"/>
          <w:color w:val="000000" w:themeColor="text1"/>
          <w:sz w:val="26"/>
          <w:szCs w:val="26"/>
          <w:lang w:val="vi-VN"/>
        </w:rPr>
        <w:t xml:space="preserve">TSĐB </w:t>
      </w:r>
      <w:r w:rsidRPr="00A90E6A">
        <w:rPr>
          <w:rFonts w:ascii="Times New Roman" w:hAnsi="Times New Roman" w:cs="Times New Roman"/>
          <w:color w:val="000000" w:themeColor="text1"/>
          <w:sz w:val="26"/>
          <w:szCs w:val="26"/>
          <w:lang w:val="vi-VN"/>
        </w:rPr>
        <w:t>chiếm trên 83%, phản ánh chính sách tín dụng thận trọng và chú trọng kiểm soát rủi ro.</w:t>
      </w:r>
    </w:p>
    <w:p w14:paraId="6CCA74AD" w14:textId="77777777" w:rsidR="001117D9" w:rsidRPr="00A90E6A" w:rsidRDefault="007634CB" w:rsidP="00D27110">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Hiệu quả hoạt động cho vay còn được thể hiện qua khả năng thu hồi nợ và chất lượng tín dụng. Hệ số thu nợ duy trì ở mức tương đối ổn định, khoảng 0,68–0,69 lần, cho thấy ngân hàng có khả năng thu hồi phần lớn vốn đã cho vay trong kỳ. Vòng quay vốn tín dụng dao động từ 0,</w:t>
      </w:r>
      <w:r w:rsidR="00F100F9" w:rsidRPr="00A90E6A">
        <w:rPr>
          <w:rFonts w:ascii="Times New Roman" w:hAnsi="Times New Roman" w:cs="Times New Roman"/>
          <w:color w:val="000000" w:themeColor="text1"/>
          <w:sz w:val="26"/>
          <w:szCs w:val="26"/>
          <w:lang w:val="vi-VN"/>
        </w:rPr>
        <w:t>55</w:t>
      </w:r>
      <w:r w:rsidRPr="00A90E6A">
        <w:rPr>
          <w:rFonts w:ascii="Times New Roman" w:hAnsi="Times New Roman" w:cs="Times New Roman"/>
          <w:color w:val="000000" w:themeColor="text1"/>
          <w:sz w:val="26"/>
          <w:szCs w:val="26"/>
          <w:lang w:val="vi-VN"/>
        </w:rPr>
        <w:t xml:space="preserve"> lần năm 2023 lên 0,60 lần năm 2024 và đạt 0,56 lần năm 2025, phản ánh tốc độ luân chuyển vốn tương đối tốt, góp phần nâng cao hiệu quả sử dụng vốn. Tỷ lệ nợ xấu được kiểm soát ở mức thấp, dao động từ 0,65% năm 2023 xuống 0,62% năm 2024 và tăng nhẹ lên 0,71% năm 2025, vẫn nằm trong ngưỡng an toàn theo quy định. Điều này cho thấy công tác quản lý rủi ro tín dụng của chi nhánh được thực hiện khá hiệu quả.</w:t>
      </w:r>
      <w:r w:rsidR="00920989" w:rsidRPr="00A90E6A">
        <w:rPr>
          <w:rFonts w:ascii="Times New Roman" w:hAnsi="Times New Roman" w:cs="Times New Roman"/>
          <w:color w:val="000000" w:themeColor="text1"/>
          <w:sz w:val="26"/>
          <w:szCs w:val="26"/>
          <w:lang w:val="vi-VN"/>
        </w:rPr>
        <w:t xml:space="preserve"> </w:t>
      </w:r>
      <w:r w:rsidR="00386C89" w:rsidRPr="00A90E6A">
        <w:rPr>
          <w:rFonts w:ascii="Times New Roman" w:hAnsi="Times New Roman" w:cs="Times New Roman"/>
          <w:color w:val="000000" w:themeColor="text1"/>
          <w:sz w:val="26"/>
          <w:szCs w:val="26"/>
          <w:lang w:val="vi-VN"/>
        </w:rPr>
        <w:t xml:space="preserve"> C</w:t>
      </w:r>
      <w:r w:rsidRPr="00A90E6A">
        <w:rPr>
          <w:rFonts w:ascii="Times New Roman" w:hAnsi="Times New Roman" w:cs="Times New Roman"/>
          <w:color w:val="000000" w:themeColor="text1"/>
          <w:sz w:val="26"/>
          <w:szCs w:val="26"/>
          <w:lang w:val="vi-VN"/>
        </w:rPr>
        <w:t>ơ cấu dư nợ theo nhóm nợ cho thấy phần lớn dư nợ tập trung ở nhóm 1 với giá trị tăng từ 394,5 tỷ đồng năm 2023 lên 689,02 tỷ đồng năm 2025, chiếm tỷ trọng rất lớn trong tổng dư nợ. Các nhóm nợ có rủi ro cao hơn như nhóm 3, nhóm 4 và nhóm 5 tuy có tăng nhưng giá trị vẫn ở mức thấp, cho thấy chất lượng tín dụng nhìn chung được đảm bảo.</w:t>
      </w:r>
      <w:r w:rsidR="001117D9" w:rsidRPr="00A90E6A">
        <w:rPr>
          <w:rFonts w:ascii="Times New Roman" w:hAnsi="Times New Roman" w:cs="Times New Roman"/>
          <w:color w:val="000000" w:themeColor="text1"/>
          <w:sz w:val="26"/>
          <w:szCs w:val="26"/>
          <w:lang w:val="vi-VN"/>
        </w:rPr>
        <w:t xml:space="preserve"> </w:t>
      </w:r>
    </w:p>
    <w:p w14:paraId="3F9734BC" w14:textId="77777777" w:rsidR="004E66A4" w:rsidRPr="00A90E6A" w:rsidRDefault="00DF7F33" w:rsidP="004E66A4">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ra, hoạt động cho vay SXKD đối với KHCN cũng đóng góp tích cực vào thu nhập của ngân hàng. Thu nhập lãi thuần từ hoạt động này tăng đều qua các năm, cho thấy hoạt động tín dụng vẫn duy trì khả năng tạo thu nhập khá tốt cho chi nhánh. Mặc dù tỷ lệ NIM có xu hướng giảm nhẹ do tốc độ tăng dư nợ cao hơn tốc độ tăng thu nhập nhưng nhìn chung hoạt động này vẫn là nguồn đóng góp thu nhập quan trọng của chi nhánh.</w:t>
      </w:r>
    </w:p>
    <w:p w14:paraId="7C592CF7" w14:textId="7EDADD03" w:rsidR="002B6DD2" w:rsidRPr="00A90E6A" w:rsidRDefault="007634CB" w:rsidP="004E66A4">
      <w:pPr>
        <w:pStyle w:val="ListParagraph"/>
        <w:numPr>
          <w:ilvl w:val="0"/>
          <w:numId w:val="9"/>
        </w:numPr>
        <w:tabs>
          <w:tab w:val="left" w:pos="851"/>
        </w:tabs>
        <w:spacing w:after="0" w:line="360" w:lineRule="auto"/>
        <w:ind w:hanging="928"/>
        <w:jc w:val="both"/>
        <w:rPr>
          <w:rFonts w:ascii="Times New Roman" w:hAnsi="Times New Roman" w:cs="Times New Roman"/>
          <w:color w:val="000000" w:themeColor="text1"/>
          <w:sz w:val="26"/>
          <w:szCs w:val="26"/>
          <w:lang w:val="vi-VN"/>
        </w:rPr>
      </w:pPr>
      <w:r w:rsidRPr="00A90E6A">
        <w:rPr>
          <w:rFonts w:ascii="Times New Roman" w:hAnsi="Times New Roman" w:cs="Times New Roman"/>
          <w:b/>
          <w:bCs/>
          <w:sz w:val="26"/>
          <w:szCs w:val="26"/>
          <w:lang w:val="vi-VN"/>
        </w:rPr>
        <w:t xml:space="preserve">Hạn chế và nguyên </w:t>
      </w:r>
      <w:r w:rsidR="00A03CAB" w:rsidRPr="00A90E6A">
        <w:rPr>
          <w:rFonts w:ascii="Times New Roman" w:hAnsi="Times New Roman" w:cs="Times New Roman"/>
          <w:b/>
          <w:bCs/>
          <w:sz w:val="26"/>
          <w:szCs w:val="26"/>
          <w:lang w:val="vi-VN"/>
        </w:rPr>
        <w:t>nhân.</w:t>
      </w:r>
      <w:r w:rsidRPr="00A90E6A">
        <w:rPr>
          <w:rFonts w:ascii="Times New Roman" w:hAnsi="Times New Roman" w:cs="Times New Roman"/>
          <w:color w:val="000000" w:themeColor="text1"/>
          <w:sz w:val="26"/>
          <w:szCs w:val="26"/>
          <w:lang w:val="vi-VN"/>
        </w:rPr>
        <w:t xml:space="preserve"> </w:t>
      </w:r>
    </w:p>
    <w:p w14:paraId="693840AF" w14:textId="36723303" w:rsidR="0085564F" w:rsidRPr="00A90E6A" w:rsidRDefault="0085564F" w:rsidP="0085564F">
      <w:pPr>
        <w:tabs>
          <w:tab w:val="left" w:pos="6210"/>
        </w:tabs>
        <w:spacing w:after="0" w:line="360" w:lineRule="auto"/>
        <w:ind w:firstLine="567"/>
        <w:jc w:val="both"/>
        <w:rPr>
          <w:rFonts w:ascii="Times New Roman" w:hAnsi="Times New Roman" w:cs="Times New Roman"/>
          <w:i/>
          <w:iCs/>
          <w:color w:val="000000" w:themeColor="text1"/>
          <w:sz w:val="26"/>
          <w:szCs w:val="26"/>
          <w:lang w:val="vi-VN"/>
        </w:rPr>
      </w:pPr>
      <w:r w:rsidRPr="00A90E6A">
        <w:rPr>
          <w:rFonts w:ascii="Times New Roman" w:hAnsi="Times New Roman" w:cs="Times New Roman"/>
          <w:color w:val="000000" w:themeColor="text1"/>
          <w:sz w:val="26"/>
          <w:szCs w:val="26"/>
          <w:lang w:val="vi-VN"/>
        </w:rPr>
        <w:t>Bên cạnh những kết quả đạt được, hoạt động cho vay SXKD đối với KHCN tại MB Đà Nẵng trong giai đoạn 2023–2025 vẫn còn tồn tại một số hạn chế nhất định,</w:t>
      </w:r>
    </w:p>
    <w:p w14:paraId="24884549" w14:textId="561BCD8F" w:rsidR="00ED6414" w:rsidRPr="00A90E6A" w:rsidRDefault="00ED6414" w:rsidP="0085564F">
      <w:pPr>
        <w:tabs>
          <w:tab w:val="left" w:pos="6210"/>
        </w:tabs>
        <w:spacing w:after="0" w:line="360" w:lineRule="auto"/>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ảnh hưởng đến hiệu quả và tính bền vững của hoạt động tín dụng.</w:t>
      </w:r>
    </w:p>
    <w:p w14:paraId="321F7487" w14:textId="5B9B5564" w:rsidR="0090654D" w:rsidRPr="00A90E6A" w:rsidRDefault="0090654D" w:rsidP="00680F38">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 xml:space="preserve">Thứ nhất, chất lượng tín dụng vẫn còn tiềm ẩn rủi ro. Mặc dù tỷ lệ nợ xấu được duy trì ở mức an toàn nhưng giá trị nợ xấu có xu hướng gia tăng qua các năm. Cụ thể, nợ xấu tăng từ 2,61 tỷ đồng năm 2023 lên 4,98 tỷ đồng năm 2025, tương ứng tỷ lệ nợ xấu tăng từ 0,65% lên 0,71%. Nợ xấu chủ yếu phát sinh ở các khoản cho vay ngắn </w:t>
      </w:r>
      <w:r w:rsidR="00944946" w:rsidRPr="00A90E6A">
        <w:rPr>
          <w:rFonts w:ascii="Times New Roman" w:hAnsi="Times New Roman" w:cs="Times New Roman"/>
          <w:color w:val="000000" w:themeColor="text1"/>
          <w:sz w:val="26"/>
          <w:szCs w:val="26"/>
          <w:lang w:val="vi-VN"/>
        </w:rPr>
        <w:t>hạn, cho vay</w:t>
      </w:r>
      <w:r w:rsidRPr="00A90E6A">
        <w:rPr>
          <w:rFonts w:ascii="Times New Roman" w:hAnsi="Times New Roman" w:cs="Times New Roman"/>
          <w:color w:val="000000" w:themeColor="text1"/>
          <w:sz w:val="26"/>
          <w:szCs w:val="26"/>
          <w:lang w:val="vi-VN"/>
        </w:rPr>
        <w:t xml:space="preserve"> bổ sung vốn lưu </w:t>
      </w:r>
      <w:r w:rsidR="00944946" w:rsidRPr="00A90E6A">
        <w:rPr>
          <w:rFonts w:ascii="Times New Roman" w:hAnsi="Times New Roman" w:cs="Times New Roman"/>
          <w:color w:val="000000" w:themeColor="text1"/>
          <w:sz w:val="26"/>
          <w:szCs w:val="26"/>
          <w:lang w:val="vi-VN"/>
        </w:rPr>
        <w:t>động, cho vay không có TSĐB và</w:t>
      </w:r>
      <w:r w:rsidRPr="00A90E6A">
        <w:rPr>
          <w:rFonts w:ascii="Times New Roman" w:hAnsi="Times New Roman" w:cs="Times New Roman"/>
          <w:color w:val="000000" w:themeColor="text1"/>
          <w:sz w:val="26"/>
          <w:szCs w:val="26"/>
          <w:lang w:val="vi-VN"/>
        </w:rPr>
        <w:t xml:space="preserve"> nhóm khách hàng kinh doanh nhỏ lẻ có nguồn thu chưa ổn định. </w:t>
      </w:r>
      <w:r w:rsidR="00680F38" w:rsidRPr="00A90E6A">
        <w:rPr>
          <w:rFonts w:ascii="Times New Roman" w:hAnsi="Times New Roman" w:cs="Times New Roman"/>
          <w:color w:val="000000" w:themeColor="text1"/>
          <w:sz w:val="26"/>
          <w:szCs w:val="26"/>
          <w:lang w:val="vi-VN"/>
        </w:rPr>
        <w:t>P</w:t>
      </w:r>
      <w:r w:rsidRPr="00A90E6A">
        <w:rPr>
          <w:rFonts w:ascii="Times New Roman" w:hAnsi="Times New Roman" w:cs="Times New Roman"/>
          <w:color w:val="000000" w:themeColor="text1"/>
          <w:sz w:val="26"/>
          <w:szCs w:val="26"/>
          <w:lang w:val="vi-VN"/>
        </w:rPr>
        <w:t>hần lớn khách hàng vay vốn có quy mô kinh doanh nhỏ, nguồn thu phụ thuộc nhiều vào hoạt động kinh doanh thực tế và chưa có hệ thống sổ sách kế toán đầy đủ nên việc xác minh doanh thu, chi phí và dòng tiền còn gặp nhiều khó khăn. Trong giai đoạn 2023–2025, nhiều hộ kinh doanh trên địa bàn Đà Nẵng, đặc biệt trong lĩnh vực ăn uống, bán lẻ, lưu trú và dịch vụ du lịch, có doanh thu biến động theo mùa và phụ thuộc lớn vào lượng khách du lịch. Đồng thời, mức độ cạnh tranh giữa các hộ kinh doanh ngày càng cao trong khi chi phí thuê mặt bằng, chi phí nhân công và chi phí vận hành tăng đã làm cho hiệu quả hoạt động SXKD của nhiều khách hàng chưa ổn định, ảnh hưởng đến khả năng trả nợ ngân hàng. Một số khách hàng vay vốn chưa có tài sản bảo đảm hoặc tài sản bảo đảm có tính thanh khoản chưa cao nên mức độ rủi ro tín dụng còn lớn khi khách hàng gặp khó khăn trong hoạt động kinh doanh.</w:t>
      </w:r>
    </w:p>
    <w:p w14:paraId="7F701E2E" w14:textId="77777777" w:rsidR="0085564F" w:rsidRPr="00A90E6A" w:rsidRDefault="0090654D" w:rsidP="0090654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Ngoài ra, các khoản cho vay SXKD đối với KHCN phần lớn có giá trị nhỏ nhưng số lượng lớn và phân tán ở nhiều khu vực trên địa bàn Đà Nẵng nên công tác kiểm tra thực tế và giám sát khoản vay còn gặp khó khăn. Trong một số trường hợp, việc thẩm định khách hàng và đánh giá phương án kinh doanh vẫn phụ thuộc nhiều vào kinh nghiệm của cán bộ tín dụng, đặc biệt đối với nhóm khách hàng chưa chứng minh đầy đủ nguồn thu và hoạt động kinh doanh thực tế. Hoạt động kiểm tra sau cho vay chủ yếu được thực hiện định kỳ và dựa trên hồ sơ chứng từ nên chưa kịp thời phát hiện các trường hợp khách hàng gặp khó khăn tài chính hoặc sử dụng vốn chưa đúng mục đích. </w:t>
      </w:r>
    </w:p>
    <w:p w14:paraId="5A81090C" w14:textId="77777777" w:rsidR="00031967" w:rsidRPr="00A90E6A" w:rsidRDefault="0090654D" w:rsidP="00680F38">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Thứ hai, cơ cấu dư nợ cho vay SXKD đối với KHCN mặc dù tương đối an toàn nhưng vẫn chưa thực sự cân đối. Dư nợ cho vay chủ yếu tập trung vào các khoản cho vay ngắn hạn và vay bổ sung vốn lưu động, duy trì khoảng từ 60–65% tổng dư nợ cho vay SXKD trong giai đoạn 2023–2025. Trong khi đó, các khoản cho vay trung và dài hạn phục vụ đầu tư máy móc thiết bị, mở rộng cơ sở kinh doanh và đầu tư tài sản cố định vẫn chiếm tỷ trọng thấp. </w:t>
      </w:r>
      <w:r w:rsidR="00680F38" w:rsidRPr="00A90E6A">
        <w:rPr>
          <w:rFonts w:ascii="Times New Roman" w:hAnsi="Times New Roman" w:cs="Times New Roman"/>
          <w:color w:val="000000" w:themeColor="text1"/>
          <w:sz w:val="26"/>
          <w:szCs w:val="26"/>
          <w:lang w:val="vi-VN"/>
        </w:rPr>
        <w:t>P</w:t>
      </w:r>
      <w:r w:rsidRPr="00A90E6A">
        <w:rPr>
          <w:rFonts w:ascii="Times New Roman" w:hAnsi="Times New Roman" w:cs="Times New Roman"/>
          <w:color w:val="000000" w:themeColor="text1"/>
          <w:sz w:val="26"/>
          <w:szCs w:val="26"/>
          <w:lang w:val="vi-VN"/>
        </w:rPr>
        <w:t xml:space="preserve">hần lớn khách hàng chủ yếu có nhu cầu vay vốn ngắn hạn để phục vụ hoạt động kinh doanh thường xuyên thay vì đầu tư mở rộng dài hạn. Ngân hàng cũng có xu hướng ưu tiên các khoản cho vay ngắn hạn nhằm đảm bảo khả </w:t>
      </w:r>
      <w:r w:rsidRPr="00A90E6A">
        <w:rPr>
          <w:rFonts w:ascii="Times New Roman" w:hAnsi="Times New Roman" w:cs="Times New Roman"/>
          <w:color w:val="000000" w:themeColor="text1"/>
          <w:sz w:val="26"/>
          <w:szCs w:val="26"/>
          <w:lang w:val="vi-VN"/>
        </w:rPr>
        <w:lastRenderedPageBreak/>
        <w:t xml:space="preserve">năng thu hồi vốn nhanh và hạn chế rủi ro tín dụng trong bối cảnh hoạt động SXKD của hộ kinh doanh trên địa bàn Đà Nẵng còn nhiều biến động. </w:t>
      </w:r>
      <w:r w:rsidR="00031967" w:rsidRPr="00A90E6A">
        <w:rPr>
          <w:rFonts w:ascii="Times New Roman" w:hAnsi="Times New Roman" w:cs="Times New Roman"/>
          <w:color w:val="000000" w:themeColor="text1"/>
          <w:sz w:val="26"/>
          <w:szCs w:val="26"/>
          <w:lang w:val="vi-VN"/>
        </w:rPr>
        <w:t>Ngoài ra, các sản phẩm cho vay trung và dài hạn phục vụ SXKD vẫn chưa thực sự thu hút khách hàng có nhu cầu đầu tư mở rộng hoạt động kinh doanh.</w:t>
      </w:r>
    </w:p>
    <w:p w14:paraId="3870729A" w14:textId="605C9305" w:rsidR="00680F38" w:rsidRPr="00A90E6A" w:rsidRDefault="00680F38" w:rsidP="00680F38">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Công tác tiếp thị và quảng bá sản phẩm tín dụng chưa thực sự hiệu quả, đặc biệt trên các nền tảng số và các kênh truyền thông hiện đại, khiến nhiều KHCN chưa tiếp cận đầy đủ các sản phẩm vay và chương trình ưu đãi của chi nhánh. Trong khi đó, mức độ cạnh tranh giữa các ngân hàng thương mại trên địa bàn Đà Nẵng ngày càng lớn khi nhiều ngân hàng triển khai chính sách lãi suất ưu đãi, đơn giản hóa thủ tục và đẩy mạnh chuyển đổi số trong hoạt động tín dụng, tạo áp lực cạnh tranh đáng kể đối với hoạt động cho vay SXKD tại MB Đà Nẵng.</w:t>
      </w:r>
    </w:p>
    <w:p w14:paraId="384CCE84" w14:textId="7714B0C7" w:rsidR="00980598" w:rsidRPr="00A90E6A" w:rsidRDefault="00031967"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Thứ ba, doanh số cho vay SXKD đối với KHCN chưa đạt mức tăng trưởng như kỳ vọng do quy trình xét duyệt và thủ tục cho vay tại chi nhánh còn tương đối chặt chẽ. Việc phải thực hiện qua nhiều bước và phối hợp giữa nhiều bộ phận khiến thời gian xử lý hồ sơ trong một số trường hợp còn kéo dài, đặc biệt đối với các khoản vay phải trình hội sở thẩm định và phê duyệt. Điều này làm giảm khả năng đáp ứng kịp thời nhu cầu vốn phục vụ SXKD, đặc biệt đối với các hộ kinh doanh có nhu cầu bổ sung vốn nhanh để nhập hàng hoặc xoay vòng vốn theo chu kỳ kinh doanh. Yêu cầu về tài sản bảo đảm vẫn còn khá chặt chẽ, gây khó khăn cho một số khách hàng cá nhân sản xuất kinh doanh trong quá trình tiếp cận vốn vay, đặc biệt là các hộ kinh doanh nhỏ lẻ.</w:t>
      </w:r>
      <w:r w:rsidR="00C531D4" w:rsidRPr="00A90E6A">
        <w:rPr>
          <w:rFonts w:ascii="Times New Roman" w:hAnsi="Times New Roman" w:cs="Times New Roman"/>
          <w:sz w:val="26"/>
          <w:szCs w:val="26"/>
          <w:lang w:val="vi-VN"/>
        </w:rPr>
        <w:t xml:space="preserve"> </w:t>
      </w:r>
      <w:r w:rsidR="00C531D4" w:rsidRPr="00A90E6A">
        <w:rPr>
          <w:rFonts w:ascii="Times New Roman" w:hAnsi="Times New Roman" w:cs="Times New Roman"/>
          <w:color w:val="000000" w:themeColor="text1"/>
          <w:sz w:val="26"/>
          <w:szCs w:val="26"/>
          <w:lang w:val="vi-VN"/>
        </w:rPr>
        <w:t>Ngoài ra, việc ứng dụng công nghệ số trong hoạt động cho vay SXKD đối với KHCN mặc dù đã được triển khai nhưng vẫn chưa đồng bộ ở tất cả các khâu trong quy trình tín dụng. Một số thủ tục xử lý hồ sơ và luân chuyển chứng từ vẫn thực hiện thủ công nên thời gian xử lý khoản vay trong một số trường hợp còn kéo dài và chưa giảm được áp lực công việc cho cán bộ tín dụng. Bên cạnh đó, khả năng tiếp cận khách hàng thông qua các nền tảng số và kênh ngân hàng số vẫn chưa thực sự hiệu quả so với nhiều ngân hàng thương mại khác trên địa bàn.</w:t>
      </w:r>
    </w:p>
    <w:p w14:paraId="21593A0C" w14:textId="73753F3C" w:rsidR="00031967" w:rsidRPr="00A90E6A" w:rsidRDefault="00980598" w:rsidP="00980598">
      <w:pPr>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br w:type="page"/>
      </w:r>
    </w:p>
    <w:p w14:paraId="3828509E" w14:textId="759B7504" w:rsidR="007634CB" w:rsidRPr="00A90E6A" w:rsidRDefault="006C66E3" w:rsidP="006C66E3">
      <w:pPr>
        <w:pStyle w:val="Heading1"/>
        <w:rPr>
          <w:color w:val="000000" w:themeColor="text1"/>
          <w:lang w:val="vi-VN"/>
        </w:rPr>
      </w:pPr>
      <w:bookmarkStart w:id="62" w:name="_Toc230962397"/>
      <w:r w:rsidRPr="00A90E6A">
        <w:rPr>
          <w:color w:val="000000" w:themeColor="text1"/>
          <w:lang w:val="vi-VN"/>
        </w:rPr>
        <w:lastRenderedPageBreak/>
        <w:t xml:space="preserve">TÓM TẮT </w:t>
      </w:r>
      <w:r w:rsidR="007634CB" w:rsidRPr="00A90E6A">
        <w:rPr>
          <w:color w:val="000000" w:themeColor="text1"/>
          <w:lang w:val="vi-VN"/>
        </w:rPr>
        <w:t>CHƯƠNG 2</w:t>
      </w:r>
      <w:bookmarkEnd w:id="62"/>
    </w:p>
    <w:p w14:paraId="7DA99AFB" w14:textId="77777777" w:rsidR="007634CB" w:rsidRPr="00A90E6A" w:rsidRDefault="007634C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Chương 2 đã tập trung phân tích thực trạng hoạt động cho vay sản xuất kinh doanh đối với khách hàng cá nhân tại Ngân hàng TMCP Quân đội – Chi nhánh Đà Nẵng trong giai đoạn 2023–2025, thông qua các chỉ tiêu về huy động vốn, cho vay, chất lượng tín dụng và hiệu quả kinh doanh.</w:t>
      </w:r>
    </w:p>
    <w:p w14:paraId="6EAB8A5D" w14:textId="36286666" w:rsidR="007634CB" w:rsidRPr="00A90E6A" w:rsidRDefault="007634C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Kết quả phân tích cho thấy hoạt động huy động vốn của chi nhánh có sự tăng trưởng ổn định qua các năm, tạo nền tảng vững chắc cho việc mở rộng hoạt động tín dụng. Trên cơ sở đó, hoạt động cho vay, đặc biệt là cho vay sản xuất kinh doanh đối với khách hàng cá nhân, đã được đẩy mạnh với quy mô dư nợ và doanh số cho vay tăng trưởng đều qua các năm. Cơ cấu cho vay tương đối </w:t>
      </w:r>
      <w:r w:rsidR="00347A50" w:rsidRPr="00A90E6A">
        <w:rPr>
          <w:rFonts w:ascii="Times New Roman" w:hAnsi="Times New Roman" w:cs="Times New Roman"/>
          <w:color w:val="000000" w:themeColor="text1"/>
          <w:sz w:val="26"/>
          <w:szCs w:val="26"/>
          <w:lang w:val="vi-VN"/>
        </w:rPr>
        <w:t>đảm bảo</w:t>
      </w:r>
      <w:r w:rsidRPr="00A90E6A">
        <w:rPr>
          <w:rFonts w:ascii="Times New Roman" w:hAnsi="Times New Roman" w:cs="Times New Roman"/>
          <w:color w:val="000000" w:themeColor="text1"/>
          <w:sz w:val="26"/>
          <w:szCs w:val="26"/>
          <w:lang w:val="vi-VN"/>
        </w:rPr>
        <w:t xml:space="preserve">, phù hợp với đặc điểm của khách hàng cá nhân, trong đó các khoản </w:t>
      </w:r>
      <w:r w:rsidR="00850D03" w:rsidRPr="00A90E6A">
        <w:rPr>
          <w:rFonts w:ascii="Times New Roman" w:hAnsi="Times New Roman" w:cs="Times New Roman"/>
          <w:color w:val="000000" w:themeColor="text1"/>
          <w:sz w:val="26"/>
          <w:szCs w:val="26"/>
          <w:lang w:val="vi-VN"/>
        </w:rPr>
        <w:t xml:space="preserve">cho </w:t>
      </w:r>
      <w:r w:rsidRPr="00A90E6A">
        <w:rPr>
          <w:rFonts w:ascii="Times New Roman" w:hAnsi="Times New Roman" w:cs="Times New Roman"/>
          <w:color w:val="000000" w:themeColor="text1"/>
          <w:sz w:val="26"/>
          <w:szCs w:val="26"/>
          <w:lang w:val="vi-VN"/>
        </w:rPr>
        <w:t>vay ngắn hạn chiếm tỷ trọng lớn.</w:t>
      </w:r>
    </w:p>
    <w:p w14:paraId="45E8034D" w14:textId="5E1462FA" w:rsidR="007634CB" w:rsidRPr="00A90E6A" w:rsidRDefault="007634C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Bên cạnh đó, chất lượng tín dụng được kiểm soát tốt khi </w:t>
      </w:r>
      <w:r w:rsidR="00347A50" w:rsidRPr="00A90E6A">
        <w:rPr>
          <w:rFonts w:ascii="Times New Roman" w:hAnsi="Times New Roman" w:cs="Times New Roman"/>
          <w:color w:val="000000" w:themeColor="text1"/>
          <w:sz w:val="26"/>
          <w:szCs w:val="26"/>
          <w:lang w:val="vi-VN"/>
        </w:rPr>
        <w:t>tỷ lệ nợ xấu được kiểm soát ở mức thấp nhưng vẫn có xu hướng tăng nhẹ qua các năm</w:t>
      </w:r>
      <w:r w:rsidRPr="00A90E6A">
        <w:rPr>
          <w:rFonts w:ascii="Times New Roman" w:hAnsi="Times New Roman" w:cs="Times New Roman"/>
          <w:color w:val="000000" w:themeColor="text1"/>
          <w:sz w:val="26"/>
          <w:szCs w:val="26"/>
          <w:lang w:val="vi-VN"/>
        </w:rPr>
        <w:t>, cho thấy công tác quản lý rủi ro tín dụng tại chi nhánh được thực hiện hiệu quả. Hiệu quả sinh lời từ hoạt động cho vay cũng được cải thiện rõ rệt, thể hiện qua sự gia tăng của thu nhập lãi thuần, lợi nhuận trước thuế và tỷ trọng đóng góp của hoạt động này trong tổng lợi nhuận của ngân hàng. Ngoài ra, các chỉ tiêu như vòng quay vốn tín dụng, hệ số thu nợ và hiệu quả sử dụng vốn đều duy trì ở mức tương đối ổn định.</w:t>
      </w:r>
    </w:p>
    <w:p w14:paraId="70D38201" w14:textId="77777777" w:rsidR="007634CB" w:rsidRPr="00A90E6A" w:rsidRDefault="007634C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Tuy nhiên, bên cạnh những kết quả đạt được, hoạt động cho vay sản xuất kinh doanh đối với khách hàng cá nhân vẫn còn tồn tại một số hạn chế như tốc độ tăng trưởng dư nợ cao hơn tốc độ thu hồi nợ, vòng quay vốn chưa cải thiện rõ rệt, hiệu quả sử dụng vốn còn hạn chế và cơ cấu nguồn thu còn phụ thuộc nhiều vào hoạt động tín dụng. Những hạn chế này xuất phát từ cả nguyên nhân chủ quan như công tác thẩm định, giám sát tín dụng và nguyên nhân khách quan như đặc thù khách hàng cá nhân và biến động của môi trường kinh doanh.</w:t>
      </w:r>
    </w:p>
    <w:p w14:paraId="7D2F42D1" w14:textId="77777777" w:rsidR="007634CB" w:rsidRPr="00A90E6A" w:rsidRDefault="007634CB" w:rsidP="00A139CF">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Nhìn chung, chương 2 đã làm rõ thực trạng hiệu quả hoạt động cho vay sản xuất kinh doanh đối với khách hàng cá nhân tại chi nhánh, chỉ ra những kết quả đạt được cũng như các hạn chế và nguyên nhân. Đây là cơ sở quan trọng để đề xuất các giải pháp phù hợp trong chương 3 nhằm nâng cao hiệu quả hoạt động cho vay trong thời gian tới.</w:t>
      </w:r>
    </w:p>
    <w:p w14:paraId="02B347BF" w14:textId="77777777" w:rsidR="003472EE" w:rsidRPr="00A90E6A" w:rsidRDefault="003472EE" w:rsidP="00A139CF">
      <w:pPr>
        <w:tabs>
          <w:tab w:val="left" w:pos="6210"/>
        </w:tabs>
        <w:spacing w:after="0" w:line="360" w:lineRule="auto"/>
        <w:ind w:firstLine="567"/>
        <w:jc w:val="both"/>
        <w:rPr>
          <w:rFonts w:ascii="Times New Roman" w:hAnsi="Times New Roman" w:cs="Times New Roman"/>
          <w:b/>
          <w:bCs/>
          <w:color w:val="000000" w:themeColor="text1"/>
          <w:sz w:val="26"/>
          <w:szCs w:val="26"/>
          <w:lang w:val="vi-VN"/>
        </w:rPr>
        <w:sectPr w:rsidR="003472EE" w:rsidRPr="00A90E6A" w:rsidSect="009E0361">
          <w:pgSz w:w="11906" w:h="16838" w:code="9"/>
          <w:pgMar w:top="1134" w:right="1134" w:bottom="1134" w:left="1701" w:header="680" w:footer="510" w:gutter="0"/>
          <w:cols w:space="720"/>
          <w:docGrid w:linePitch="360"/>
        </w:sectPr>
      </w:pPr>
    </w:p>
    <w:p w14:paraId="7459A682" w14:textId="59DD4F95" w:rsidR="003472EE" w:rsidRPr="00A90E6A" w:rsidRDefault="003472EE" w:rsidP="00020590">
      <w:pPr>
        <w:pStyle w:val="Heading1"/>
        <w:rPr>
          <w:color w:val="000000" w:themeColor="text1"/>
          <w:lang w:val="vi-VN"/>
        </w:rPr>
      </w:pPr>
      <w:bookmarkStart w:id="63" w:name="_Toc230962398"/>
      <w:r w:rsidRPr="00A90E6A">
        <w:rPr>
          <w:color w:val="000000" w:themeColor="text1"/>
          <w:lang w:val="vi-VN"/>
        </w:rPr>
        <w:lastRenderedPageBreak/>
        <w:t>CHƯƠNG 3: GIẢI PHÁP NÂNG CAO HIỆU QUẢ HOẠT ĐỘNG CHO VAY SẢN XUẤT KINH DOANH ĐỐI VỚI KHÁCH HÀNG CÁ NHÂN TẠI NGÂN HÀNG THƯƠNG MẠI CỔ PHẦN QUÂN ĐỘI - CHI NHÁNH ĐÀ NẴNG</w:t>
      </w:r>
      <w:bookmarkEnd w:id="63"/>
    </w:p>
    <w:p w14:paraId="2E55BA72" w14:textId="47F3A4AC" w:rsidR="003472EE" w:rsidRPr="00A90E6A" w:rsidRDefault="003472EE" w:rsidP="001B292A">
      <w:pPr>
        <w:pStyle w:val="Heading2"/>
        <w:tabs>
          <w:tab w:val="clear" w:pos="6210"/>
          <w:tab w:val="left" w:pos="993"/>
        </w:tabs>
        <w:ind w:firstLine="567"/>
        <w:rPr>
          <w:color w:val="000000" w:themeColor="text1"/>
          <w:lang w:val="vi-VN"/>
        </w:rPr>
      </w:pPr>
      <w:bookmarkStart w:id="64" w:name="_Toc230962399"/>
      <w:r w:rsidRPr="00A90E6A">
        <w:rPr>
          <w:color w:val="000000" w:themeColor="text1"/>
          <w:lang w:val="vi-VN"/>
        </w:rPr>
        <w:t xml:space="preserve">3.1 </w:t>
      </w:r>
      <w:r w:rsidR="001B292A">
        <w:rPr>
          <w:color w:val="000000" w:themeColor="text1"/>
        </w:rPr>
        <w:tab/>
      </w:r>
      <w:r w:rsidRPr="00A90E6A">
        <w:rPr>
          <w:color w:val="000000" w:themeColor="text1"/>
          <w:lang w:val="vi-VN"/>
        </w:rPr>
        <w:t xml:space="preserve">Định hướng phát triển của ngân hàng TMCP Quân đội – Chi nhánh Đà </w:t>
      </w:r>
      <w:r w:rsidR="00A03CAB" w:rsidRPr="00A90E6A">
        <w:rPr>
          <w:color w:val="000000" w:themeColor="text1"/>
          <w:lang w:val="vi-VN"/>
        </w:rPr>
        <w:t>Nẵng.</w:t>
      </w:r>
      <w:bookmarkEnd w:id="64"/>
    </w:p>
    <w:p w14:paraId="413CDD09" w14:textId="6901416F" w:rsidR="006C70AD" w:rsidRPr="00A90E6A" w:rsidRDefault="003472EE" w:rsidP="001B292A">
      <w:pPr>
        <w:pStyle w:val="Heading3"/>
        <w:tabs>
          <w:tab w:val="left" w:pos="1276"/>
        </w:tabs>
        <w:rPr>
          <w:b w:val="0"/>
          <w:bCs w:val="0"/>
          <w:i w:val="0"/>
          <w:iCs w:val="0"/>
          <w:color w:val="000000" w:themeColor="text1"/>
          <w:lang w:val="vi-VN"/>
        </w:rPr>
      </w:pPr>
      <w:bookmarkStart w:id="65" w:name="_Toc230962400"/>
      <w:r w:rsidRPr="00A90E6A">
        <w:rPr>
          <w:i w:val="0"/>
          <w:iCs w:val="0"/>
          <w:color w:val="000000" w:themeColor="text1"/>
          <w:lang w:val="vi-VN"/>
        </w:rPr>
        <w:t xml:space="preserve">3.1.1 </w:t>
      </w:r>
      <w:r w:rsidR="001B292A">
        <w:rPr>
          <w:i w:val="0"/>
          <w:iCs w:val="0"/>
          <w:color w:val="000000" w:themeColor="text1"/>
        </w:rPr>
        <w:tab/>
      </w:r>
      <w:r w:rsidRPr="00A90E6A">
        <w:rPr>
          <w:i w:val="0"/>
          <w:iCs w:val="0"/>
          <w:color w:val="000000" w:themeColor="text1"/>
          <w:lang w:val="vi-VN"/>
        </w:rPr>
        <w:t xml:space="preserve">Định hướng phát triển của ngân hàng TMCP Quân </w:t>
      </w:r>
      <w:r w:rsidR="00A03CAB" w:rsidRPr="00A90E6A">
        <w:rPr>
          <w:i w:val="0"/>
          <w:iCs w:val="0"/>
          <w:color w:val="000000" w:themeColor="text1"/>
          <w:lang w:val="vi-VN"/>
        </w:rPr>
        <w:t>đội.</w:t>
      </w:r>
      <w:bookmarkEnd w:id="65"/>
    </w:p>
    <w:p w14:paraId="75009687" w14:textId="28924446" w:rsidR="006C70AD" w:rsidRPr="00A90E6A" w:rsidRDefault="006C70AD" w:rsidP="006C70A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kỷ nguyên số, MB xác định không chỉ dừng lại ở vai trò một định chế tài chính truyền thống mà chuyển mình thành một Tập đoàn Tài chính - Công nghệ đa năng. Định hướng đến năm 2030 tập trung vào 03 trụ cột cốt lõi:</w:t>
      </w:r>
    </w:p>
    <w:p w14:paraId="329BBD84" w14:textId="77777777" w:rsidR="006C70AD" w:rsidRPr="00A90E6A" w:rsidRDefault="006C70AD" w:rsidP="006C70AD">
      <w:pPr>
        <w:tabs>
          <w:tab w:val="left" w:pos="6210"/>
        </w:tabs>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b/>
          <w:bCs/>
          <w:i/>
          <w:iCs/>
          <w:color w:val="000000" w:themeColor="text1"/>
          <w:sz w:val="26"/>
          <w:szCs w:val="26"/>
          <w:lang w:val="vi-VN"/>
        </w:rPr>
        <w:t>Về quy mô và vị thế thị trường:</w:t>
      </w:r>
    </w:p>
    <w:p w14:paraId="1BC25031" w14:textId="77777777" w:rsidR="006C70AD" w:rsidRPr="00A90E6A" w:rsidRDefault="006C70AD" w:rsidP="006C70A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Quyết tâm giữ vững vị thế Top 3 Ngân hàng thương mại lớn nhất Việt Nam về hiệu quả hoạt động và chất lượng tài sản.</w:t>
      </w:r>
    </w:p>
    <w:p w14:paraId="088B161C" w14:textId="564ED019" w:rsidR="006C70AD" w:rsidRPr="00A90E6A" w:rsidRDefault="006C70AD" w:rsidP="006C70A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Mở rộng tệp khách hàng từ 30 triệu (năm 2024) lên mức 50 - 60 triệu khách hàng vào năm 2030, chiếm lĩnh thị phần bán lẻ thông qua chiến lược cá nhân hóa trải nghiệm người dùng trên App MB và BIZ MB.</w:t>
      </w:r>
    </w:p>
    <w:p w14:paraId="5ADBED63" w14:textId="77777777" w:rsidR="006C70AD" w:rsidRPr="00A90E6A" w:rsidRDefault="006C70AD" w:rsidP="006C70AD">
      <w:pPr>
        <w:tabs>
          <w:tab w:val="left" w:pos="6210"/>
        </w:tabs>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b/>
          <w:bCs/>
          <w:i/>
          <w:iCs/>
          <w:color w:val="000000" w:themeColor="text1"/>
          <w:sz w:val="26"/>
          <w:szCs w:val="26"/>
          <w:lang w:val="vi-VN"/>
        </w:rPr>
        <w:t>Về chuyển đổi số và công nghệ:</w:t>
      </w:r>
    </w:p>
    <w:p w14:paraId="422ED82A" w14:textId="77777777" w:rsidR="006C70AD" w:rsidRPr="00A90E6A" w:rsidRDefault="006C70AD" w:rsidP="006C70A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Kiên trì phương châm "Tăng tốc số", phấn đấu trở thành doanh nghiệp số 100%. Đến năm 2030, dự kiến 90% giao dịch tài chính được thực hiện qua kênh số; các sản phẩm cho vay (đặc biệt là cho vay SXKD) được tự động hóa quy trình phê duyệt lên tới 70-80% dựa trên trí tuệ nhân tạo (AI) và dữ liệu lớn (Big Data).</w:t>
      </w:r>
    </w:p>
    <w:p w14:paraId="3F887BE8" w14:textId="7C528A7F" w:rsidR="001D4A1C" w:rsidRPr="00A90E6A" w:rsidRDefault="006C70AD" w:rsidP="006C70A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Tiếp tục đầu tư mạnh mẽ vào hạ tầng công nghệ  để </w:t>
      </w:r>
      <w:r w:rsidR="001D4A1C" w:rsidRPr="00A90E6A">
        <w:rPr>
          <w:rFonts w:ascii="Times New Roman" w:hAnsi="Times New Roman" w:cs="Times New Roman"/>
          <w:color w:val="000000" w:themeColor="text1"/>
          <w:sz w:val="26"/>
          <w:szCs w:val="26"/>
          <w:lang w:val="vi-VN"/>
        </w:rPr>
        <w:t xml:space="preserve">xây dựng hệ thống bảo mật hiện đại và an toàn </w:t>
      </w:r>
      <w:r w:rsidRPr="00A90E6A">
        <w:rPr>
          <w:rFonts w:ascii="Times New Roman" w:hAnsi="Times New Roman" w:cs="Times New Roman"/>
          <w:color w:val="000000" w:themeColor="text1"/>
          <w:sz w:val="26"/>
          <w:szCs w:val="26"/>
          <w:lang w:val="vi-VN"/>
        </w:rPr>
        <w:t xml:space="preserve">và </w:t>
      </w:r>
      <w:r w:rsidR="001D4A1C" w:rsidRPr="00A90E6A">
        <w:rPr>
          <w:rFonts w:ascii="Times New Roman" w:hAnsi="Times New Roman" w:cs="Times New Roman"/>
          <w:color w:val="000000" w:themeColor="text1"/>
          <w:sz w:val="26"/>
          <w:szCs w:val="26"/>
          <w:lang w:val="vi-VN"/>
        </w:rPr>
        <w:t>vận hành mô hình “Nhà máy số” nhằm cung ứng sản phẩm tài chính nhanh chóng và thuận tiện.</w:t>
      </w:r>
    </w:p>
    <w:p w14:paraId="7CE51833" w14:textId="4BCAD635" w:rsidR="006C70AD" w:rsidRPr="00A90E6A" w:rsidRDefault="006C70AD" w:rsidP="006C70AD">
      <w:pPr>
        <w:tabs>
          <w:tab w:val="left" w:pos="6210"/>
        </w:tabs>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b/>
          <w:bCs/>
          <w:i/>
          <w:iCs/>
          <w:color w:val="000000" w:themeColor="text1"/>
          <w:sz w:val="26"/>
          <w:szCs w:val="26"/>
          <w:lang w:val="vi-VN"/>
        </w:rPr>
        <w:t>Về phát triển bền vững (ESG):</w:t>
      </w:r>
    </w:p>
    <w:p w14:paraId="6B85E5BD" w14:textId="77777777" w:rsidR="006C70AD" w:rsidRPr="00A90E6A" w:rsidRDefault="006C70AD" w:rsidP="006C70A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Trở thành ngân hàng tiên phong tại Việt Nam thực hiện cam kết Net Zero trong hoạt động nội bộ. Tăng tỷ trọng dư nợ tín dụng xanh, hỗ trợ các doanh nghiệp và hộ kinh doanh chuyển đổi sang mô hình sản xuất bền vững.</w:t>
      </w:r>
    </w:p>
    <w:p w14:paraId="37165A87" w14:textId="1037D71A" w:rsidR="00980598" w:rsidRPr="00A90E6A" w:rsidRDefault="001D4A1C" w:rsidP="006C70AD">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Những định hướng trên là cơ sở để các chi nhánh trong hệ thống MB, trong đó có MB Đà Nẵng, xây dựng chiến lược phát triển tín dụng phù hợp với đặc điểm khách hàng và điều kiện kinh doanh tại địa phương.</w:t>
      </w:r>
    </w:p>
    <w:p w14:paraId="4943B80B" w14:textId="77777777" w:rsidR="00980598" w:rsidRPr="00A90E6A" w:rsidRDefault="00980598">
      <w:pPr>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br w:type="page"/>
      </w:r>
    </w:p>
    <w:p w14:paraId="42A6B343" w14:textId="77777777" w:rsidR="001D4A1C" w:rsidRPr="00A90E6A" w:rsidRDefault="001D4A1C" w:rsidP="006C70AD">
      <w:pPr>
        <w:tabs>
          <w:tab w:val="left" w:pos="6210"/>
        </w:tabs>
        <w:spacing w:after="0" w:line="360" w:lineRule="auto"/>
        <w:ind w:firstLine="567"/>
        <w:jc w:val="both"/>
        <w:rPr>
          <w:rFonts w:ascii="Times New Roman" w:hAnsi="Times New Roman" w:cs="Times New Roman"/>
          <w:color w:val="000000" w:themeColor="text1"/>
          <w:sz w:val="26"/>
          <w:szCs w:val="26"/>
          <w:lang w:val="vi-VN"/>
        </w:rPr>
      </w:pPr>
    </w:p>
    <w:p w14:paraId="056E0E03" w14:textId="70382F31" w:rsidR="00B6623A" w:rsidRPr="00A90E6A" w:rsidRDefault="003472EE" w:rsidP="001B292A">
      <w:pPr>
        <w:pStyle w:val="Heading3"/>
        <w:tabs>
          <w:tab w:val="left" w:pos="1276"/>
        </w:tabs>
        <w:rPr>
          <w:b w:val="0"/>
          <w:bCs w:val="0"/>
          <w:i w:val="0"/>
          <w:iCs w:val="0"/>
          <w:color w:val="000000" w:themeColor="text1"/>
          <w:lang w:val="vi-VN"/>
        </w:rPr>
      </w:pPr>
      <w:bookmarkStart w:id="66" w:name="_Toc230962401"/>
      <w:r w:rsidRPr="00A90E6A">
        <w:rPr>
          <w:i w:val="0"/>
          <w:iCs w:val="0"/>
          <w:color w:val="000000" w:themeColor="text1"/>
          <w:lang w:val="vi-VN"/>
        </w:rPr>
        <w:t xml:space="preserve">3.1.2 </w:t>
      </w:r>
      <w:r w:rsidR="001B292A">
        <w:rPr>
          <w:i w:val="0"/>
          <w:iCs w:val="0"/>
          <w:color w:val="000000" w:themeColor="text1"/>
        </w:rPr>
        <w:tab/>
      </w:r>
      <w:r w:rsidRPr="00A90E6A">
        <w:rPr>
          <w:i w:val="0"/>
          <w:iCs w:val="0"/>
          <w:color w:val="000000" w:themeColor="text1"/>
          <w:lang w:val="vi-VN"/>
        </w:rPr>
        <w:t xml:space="preserve">Định hướng phát triển </w:t>
      </w:r>
      <w:r w:rsidR="00373C88" w:rsidRPr="00A90E6A">
        <w:rPr>
          <w:i w:val="0"/>
          <w:iCs w:val="0"/>
          <w:color w:val="000000" w:themeColor="text1"/>
          <w:lang w:val="vi-VN"/>
        </w:rPr>
        <w:t xml:space="preserve">cho vay SXKD đối với KHCN </w:t>
      </w:r>
      <w:r w:rsidRPr="00A90E6A">
        <w:rPr>
          <w:i w:val="0"/>
          <w:iCs w:val="0"/>
          <w:color w:val="000000" w:themeColor="text1"/>
          <w:lang w:val="vi-VN"/>
        </w:rPr>
        <w:t>của ngân hàng TMCP Quân đội – Chi nhánh Đà</w:t>
      </w:r>
      <w:r w:rsidR="00B6623A" w:rsidRPr="00A90E6A">
        <w:rPr>
          <w:i w:val="0"/>
          <w:iCs w:val="0"/>
          <w:color w:val="000000" w:themeColor="text1"/>
          <w:lang w:val="vi-VN"/>
        </w:rPr>
        <w:t xml:space="preserve"> Nẵng.</w:t>
      </w:r>
      <w:bookmarkEnd w:id="66"/>
    </w:p>
    <w:p w14:paraId="120520B9" w14:textId="30392EC3"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Là một trong những chi nhánh trọng điểm của MB tại khu vực miền Trung, </w:t>
      </w:r>
      <w:r w:rsidR="00A52F4B" w:rsidRPr="00A90E6A">
        <w:rPr>
          <w:rFonts w:ascii="Times New Roman" w:hAnsi="Times New Roman" w:cs="Times New Roman"/>
          <w:color w:val="000000" w:themeColor="text1"/>
          <w:sz w:val="26"/>
          <w:szCs w:val="26"/>
          <w:lang w:val="vi-VN"/>
        </w:rPr>
        <w:t>MB</w:t>
      </w:r>
      <w:r w:rsidR="00A52F4B" w:rsidRPr="00A90E6A">
        <w:rPr>
          <w:rFonts w:ascii="Times New Roman" w:hAnsi="Times New Roman" w:cs="Times New Roman"/>
          <w:b/>
          <w:bCs/>
          <w:color w:val="000000" w:themeColor="text1"/>
          <w:sz w:val="26"/>
          <w:szCs w:val="26"/>
          <w:lang w:val="vi-VN"/>
        </w:rPr>
        <w:t xml:space="preserve"> </w:t>
      </w:r>
      <w:r w:rsidRPr="00A90E6A">
        <w:rPr>
          <w:rFonts w:ascii="Times New Roman" w:hAnsi="Times New Roman" w:cs="Times New Roman"/>
          <w:color w:val="000000" w:themeColor="text1"/>
          <w:sz w:val="26"/>
          <w:szCs w:val="26"/>
          <w:lang w:val="vi-VN"/>
        </w:rPr>
        <w:t>Đà Nẵng định hướng phát triển hoạt động cho vay SXKD đối với KHCN theo hướng mở rộng quy mô gắn với nâng cao chất lượng tín dụng và hiệu quả hoạt động kinh doanh với các định hướng cụ thể:</w:t>
      </w:r>
    </w:p>
    <w:p w14:paraId="69C50377" w14:textId="77777777" w:rsidR="00F31A53" w:rsidRPr="00A90E6A" w:rsidRDefault="00F31A53" w:rsidP="000143DC">
      <w:pPr>
        <w:spacing w:after="0" w:line="360" w:lineRule="auto"/>
        <w:ind w:firstLine="567"/>
        <w:jc w:val="both"/>
        <w:rPr>
          <w:rFonts w:ascii="Times New Roman" w:hAnsi="Times New Roman" w:cs="Times New Roman"/>
          <w:i/>
          <w:iCs/>
          <w:color w:val="000000" w:themeColor="text1"/>
          <w:sz w:val="26"/>
          <w:szCs w:val="26"/>
          <w:lang w:val="vi-VN"/>
        </w:rPr>
      </w:pPr>
      <w:r w:rsidRPr="00A90E6A">
        <w:rPr>
          <w:rFonts w:ascii="Times New Roman" w:hAnsi="Times New Roman" w:cs="Times New Roman"/>
          <w:i/>
          <w:iCs/>
          <w:color w:val="000000" w:themeColor="text1"/>
          <w:sz w:val="26"/>
          <w:szCs w:val="26"/>
          <w:lang w:val="vi-VN"/>
        </w:rPr>
        <w:t>Tập trung phát triển cho vay SXKD đối với KHCN:</w:t>
      </w:r>
    </w:p>
    <w:p w14:paraId="4622EE28" w14:textId="77777777"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Tận dụng lợi thế địa bàn Đà Nẵng có nhiều hộ kinh doanh cá thể, hoạt động thương mại và dịch vụ phát triển, chi nhánh định hướng tập trung cho vay đối với các khách hàng hoạt động trong lĩnh vực thương mại, dịch vụ ăn uống, lưu trú, vận tải, kinh doanh online và các ngành nghề có nhu cầu bổ sung vốn lưu động thường xuyên.</w:t>
      </w:r>
    </w:p>
    <w:p w14:paraId="45174D06" w14:textId="77777777"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Ưu tiên các khách hàng có hoạt động kinh doanh ổn định, nguồn thu rõ ràng và nhu cầu vay vốn thường xuyên nhằm đảm bảo tăng trưởng tín dụng an toàn và hiệu quả.</w:t>
      </w:r>
    </w:p>
    <w:p w14:paraId="29F2A683" w14:textId="77777777" w:rsidR="00F31A53" w:rsidRPr="00A90E6A" w:rsidRDefault="00F31A53" w:rsidP="000143DC">
      <w:pPr>
        <w:spacing w:after="0" w:line="360" w:lineRule="auto"/>
        <w:ind w:firstLine="567"/>
        <w:jc w:val="both"/>
        <w:rPr>
          <w:rFonts w:ascii="Times New Roman" w:hAnsi="Times New Roman" w:cs="Times New Roman"/>
          <w:i/>
          <w:iCs/>
          <w:color w:val="000000" w:themeColor="text1"/>
          <w:sz w:val="26"/>
          <w:szCs w:val="26"/>
          <w:lang w:val="vi-VN"/>
        </w:rPr>
      </w:pPr>
      <w:r w:rsidRPr="00A90E6A">
        <w:rPr>
          <w:rFonts w:ascii="Times New Roman" w:hAnsi="Times New Roman" w:cs="Times New Roman"/>
          <w:i/>
          <w:iCs/>
          <w:color w:val="000000" w:themeColor="text1"/>
          <w:sz w:val="26"/>
          <w:szCs w:val="26"/>
          <w:lang w:val="vi-VN"/>
        </w:rPr>
        <w:t>Duy trì cơ cấu cho vay phù hợp:</w:t>
      </w:r>
    </w:p>
    <w:p w14:paraId="5CEAC66E" w14:textId="77777777"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Cho vay ngắn hạn tiếp tục chiếm tỷ trọng chủ yếu nhằm đáp ứng nhu cầu bổ sung vốn lưu động, nhập hàng và quay vòng vốn của hộ kinh doanh. Đồng thời, chi nhánh từng bước mở rộng cho vay trung và dài hạn đối với khách hàng có nhu cầu đầu tư máy móc thiết bị, phương tiện vận tải hoặc mở rộng cơ sở kinh doanh.</w:t>
      </w:r>
    </w:p>
    <w:p w14:paraId="35CB57CF" w14:textId="77777777"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Đối với phương thức cho vay, hình thức cho vay theo hạn mức được ưu tiên áp dụng đối với khách hàng có lịch sử tín dụng tốt và nhu cầu vay vốn thường xuyên nhằm tạo sự chủ động trong quá trình sử dụng vốn.</w:t>
      </w:r>
    </w:p>
    <w:p w14:paraId="54F45E9D" w14:textId="77777777" w:rsidR="00F31A53" w:rsidRPr="00A90E6A" w:rsidRDefault="00F31A53" w:rsidP="000143DC">
      <w:pPr>
        <w:spacing w:after="0" w:line="360" w:lineRule="auto"/>
        <w:ind w:firstLine="567"/>
        <w:jc w:val="both"/>
        <w:rPr>
          <w:rFonts w:ascii="Times New Roman" w:hAnsi="Times New Roman" w:cs="Times New Roman"/>
          <w:i/>
          <w:iCs/>
          <w:color w:val="000000" w:themeColor="text1"/>
          <w:sz w:val="26"/>
          <w:szCs w:val="26"/>
          <w:lang w:val="vi-VN"/>
        </w:rPr>
      </w:pPr>
      <w:r w:rsidRPr="00A90E6A">
        <w:rPr>
          <w:rFonts w:ascii="Times New Roman" w:hAnsi="Times New Roman" w:cs="Times New Roman"/>
          <w:i/>
          <w:iCs/>
          <w:color w:val="000000" w:themeColor="text1"/>
          <w:sz w:val="26"/>
          <w:szCs w:val="26"/>
          <w:lang w:val="vi-VN"/>
        </w:rPr>
        <w:t>Nâng cao chất lượng tín dụng và quản trị rủi ro:</w:t>
      </w:r>
    </w:p>
    <w:p w14:paraId="3DDE92A3" w14:textId="77777777"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Chi nhánh chú trọng công tác thẩm định khách hàng, kiểm tra mục đích sử dụng vốn và giám sát tình hình kinh doanh sau giải ngân nhằm hạn chế rủi ro tín dụng phát sinh.</w:t>
      </w:r>
    </w:p>
    <w:p w14:paraId="1EAC5CBF" w14:textId="77777777"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Đồng thời, MB Đà Nẵng đặt mục tiêu kiểm soát tỷ lệ nợ xấu cho vay SXKD đối với KHCN ở mức dưới 0,7%, góp phần đảm bảo hoạt động tín dụng phát triển ổn định và bền vững.</w:t>
      </w:r>
    </w:p>
    <w:p w14:paraId="556EC395" w14:textId="77777777" w:rsidR="00F31A53" w:rsidRPr="00A90E6A" w:rsidRDefault="00F31A53" w:rsidP="000143DC">
      <w:pPr>
        <w:spacing w:after="0" w:line="360" w:lineRule="auto"/>
        <w:ind w:firstLine="567"/>
        <w:jc w:val="both"/>
        <w:rPr>
          <w:rFonts w:ascii="Times New Roman" w:hAnsi="Times New Roman" w:cs="Times New Roman"/>
          <w:i/>
          <w:iCs/>
          <w:color w:val="000000" w:themeColor="text1"/>
          <w:sz w:val="26"/>
          <w:szCs w:val="26"/>
          <w:lang w:val="vi-VN"/>
        </w:rPr>
      </w:pPr>
      <w:r w:rsidRPr="00A90E6A">
        <w:rPr>
          <w:rFonts w:ascii="Times New Roman" w:hAnsi="Times New Roman" w:cs="Times New Roman"/>
          <w:i/>
          <w:iCs/>
          <w:color w:val="000000" w:themeColor="text1"/>
          <w:sz w:val="26"/>
          <w:szCs w:val="26"/>
          <w:lang w:val="vi-VN"/>
        </w:rPr>
        <w:t>Đẩy mạnh chuyển đổi số trong hoạt động tín dụng:</w:t>
      </w:r>
    </w:p>
    <w:p w14:paraId="15520DD0" w14:textId="77777777"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Chi nhánh tiếp tục cải tiến quy trình cho vay theo hướng đơn giản hóa thủ tục, rút ngắn thời gian xử lý hồ sơ và nâng cao chất lượng phục vụ khách hàng.</w:t>
      </w:r>
    </w:p>
    <w:p w14:paraId="07E8A082" w14:textId="7B02A9CE"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Khuyến khích khách hàng sử dụng App MB, tài khoản thanh toán và mã VietQR trong hoạt động kinh doanh nhằm hỗ trợ quản lý dòng tiền và theo dõi doanh thu hiệu quả hơn.</w:t>
      </w:r>
    </w:p>
    <w:p w14:paraId="02625AB2" w14:textId="77777777" w:rsidR="00F31A53" w:rsidRPr="00A90E6A" w:rsidRDefault="00F31A53" w:rsidP="000143DC">
      <w:pPr>
        <w:spacing w:after="0" w:line="360" w:lineRule="auto"/>
        <w:ind w:firstLine="567"/>
        <w:jc w:val="both"/>
        <w:rPr>
          <w:rFonts w:ascii="Times New Roman" w:hAnsi="Times New Roman" w:cs="Times New Roman"/>
          <w:i/>
          <w:iCs/>
          <w:color w:val="000000" w:themeColor="text1"/>
          <w:sz w:val="26"/>
          <w:szCs w:val="26"/>
          <w:lang w:val="vi-VN"/>
        </w:rPr>
      </w:pPr>
      <w:r w:rsidRPr="00A90E6A">
        <w:rPr>
          <w:rFonts w:ascii="Times New Roman" w:hAnsi="Times New Roman" w:cs="Times New Roman"/>
          <w:i/>
          <w:iCs/>
          <w:color w:val="000000" w:themeColor="text1"/>
          <w:sz w:val="26"/>
          <w:szCs w:val="26"/>
          <w:lang w:val="vi-VN"/>
        </w:rPr>
        <w:t>Định hướng nâng cao hiệu quả hoạt động tín dụng:</w:t>
      </w:r>
    </w:p>
    <w:p w14:paraId="123E0C60" w14:textId="77777777" w:rsidR="00F31A53" w:rsidRPr="00A90E6A" w:rsidRDefault="00F31A53" w:rsidP="000143DC">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thời gian tới, MB Đà Nẵng đặt mục tiêu nâng vòng quay vốn tín dụng lên khoảng 0,60 – 0,65 lần, nâng cao khả năng thu hồi nợ và cải thiện hiệu quả sử dụng vốn.</w:t>
      </w:r>
    </w:p>
    <w:p w14:paraId="55022D62" w14:textId="730E216E" w:rsidR="00ED6414" w:rsidRPr="00A90E6A" w:rsidRDefault="00031967"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Từ định hướng trên cho thấy </w:t>
      </w:r>
      <w:r w:rsidR="00ED6414" w:rsidRPr="00A90E6A">
        <w:rPr>
          <w:rFonts w:ascii="Times New Roman" w:hAnsi="Times New Roman" w:cs="Times New Roman"/>
          <w:color w:val="000000" w:themeColor="text1"/>
          <w:sz w:val="26"/>
          <w:szCs w:val="26"/>
          <w:lang w:val="vi-VN"/>
        </w:rPr>
        <w:t xml:space="preserve">MB Đà Nẵng </w:t>
      </w:r>
      <w:r w:rsidR="001F758B" w:rsidRPr="00A90E6A">
        <w:rPr>
          <w:rFonts w:ascii="Times New Roman" w:hAnsi="Times New Roman" w:cs="Times New Roman"/>
          <w:color w:val="000000" w:themeColor="text1"/>
          <w:sz w:val="26"/>
          <w:szCs w:val="26"/>
          <w:lang w:val="vi-VN"/>
        </w:rPr>
        <w:t xml:space="preserve">đang </w:t>
      </w:r>
      <w:r w:rsidR="00ED6414" w:rsidRPr="00A90E6A">
        <w:rPr>
          <w:rFonts w:ascii="Times New Roman" w:hAnsi="Times New Roman" w:cs="Times New Roman"/>
          <w:color w:val="000000" w:themeColor="text1"/>
          <w:sz w:val="26"/>
          <w:szCs w:val="26"/>
          <w:lang w:val="vi-VN"/>
        </w:rPr>
        <w:t>hướng đến mục tiêu mở rộng quy mô cho vay sản xuất kinh doanh đối với khách hàng cá nhân đi đôi với nâng cao chất lượng tín dụng và hiệu quả hoạt động kinh doanh. Việc tăng cường quản lý dòng tiền, đa dạng hóa sản phẩm tín dụng, đẩy mạnh chuyển đổi số và nâng cao chất lượng thẩm định, giám sát sau cho vay sẽ giúp chi nhánh hạn chế rủi ro tín dụng, nâng cao khả năng thu hồi nợ và cải thiện hiệu quả sử dụng vốn. Đây sẽ là cơ sở quan trọng để MB Đà Nẵng phát triển hoạt động cho vay sản xuất kinh doanh theo hướng an toàn, ổn định và bền vững trong thời gian tới.</w:t>
      </w:r>
    </w:p>
    <w:p w14:paraId="6A2C28B4" w14:textId="3BD63C03" w:rsidR="0060300B" w:rsidRPr="00A90E6A" w:rsidRDefault="003472EE" w:rsidP="001B292A">
      <w:pPr>
        <w:pStyle w:val="Heading2"/>
        <w:tabs>
          <w:tab w:val="clear" w:pos="6210"/>
          <w:tab w:val="left" w:pos="1134"/>
        </w:tabs>
        <w:ind w:firstLine="567"/>
        <w:rPr>
          <w:color w:val="000000" w:themeColor="text1"/>
          <w:lang w:val="vi-VN"/>
        </w:rPr>
      </w:pPr>
      <w:bookmarkStart w:id="67" w:name="_Toc230962402"/>
      <w:r w:rsidRPr="00A90E6A">
        <w:rPr>
          <w:color w:val="000000" w:themeColor="text1"/>
          <w:lang w:val="vi-VN"/>
        </w:rPr>
        <w:t>3.</w:t>
      </w:r>
      <w:r w:rsidR="00C0475F" w:rsidRPr="00A90E6A">
        <w:rPr>
          <w:color w:val="000000" w:themeColor="text1"/>
          <w:lang w:val="vi-VN"/>
        </w:rPr>
        <w:t>2.</w:t>
      </w:r>
      <w:r w:rsidRPr="00A90E6A">
        <w:rPr>
          <w:color w:val="000000" w:themeColor="text1"/>
          <w:lang w:val="vi-VN"/>
        </w:rPr>
        <w:t xml:space="preserve"> Giải pháp nâng cao hiệu quả hoạt động cho vay sản xuất kinh doanh đối với khách hàng cá nhân tại ngân hàng TMCP Quân đội – Chi nhánh Đà</w:t>
      </w:r>
      <w:r w:rsidR="00020590" w:rsidRPr="00A90E6A">
        <w:rPr>
          <w:color w:val="000000" w:themeColor="text1"/>
          <w:lang w:val="vi-VN"/>
        </w:rPr>
        <w:t xml:space="preserve"> </w:t>
      </w:r>
      <w:r w:rsidR="00A03CAB" w:rsidRPr="00A90E6A">
        <w:rPr>
          <w:color w:val="000000" w:themeColor="text1"/>
          <w:lang w:val="vi-VN"/>
        </w:rPr>
        <w:t>Nẵng.</w:t>
      </w:r>
      <w:bookmarkEnd w:id="67"/>
    </w:p>
    <w:p w14:paraId="66A8E874" w14:textId="19A7ECB5" w:rsidR="000A6FBE" w:rsidRPr="00A90E6A" w:rsidRDefault="000A6FBE" w:rsidP="001B292A">
      <w:pPr>
        <w:pStyle w:val="Heading3"/>
        <w:tabs>
          <w:tab w:val="left" w:pos="1276"/>
        </w:tabs>
        <w:rPr>
          <w:i w:val="0"/>
          <w:iCs w:val="0"/>
          <w:color w:val="000000" w:themeColor="text1"/>
          <w:lang w:val="vi-VN"/>
        </w:rPr>
      </w:pPr>
      <w:bookmarkStart w:id="68" w:name="_Toc230962403"/>
      <w:r w:rsidRPr="00A90E6A">
        <w:rPr>
          <w:i w:val="0"/>
          <w:iCs w:val="0"/>
          <w:color w:val="000000" w:themeColor="text1"/>
          <w:lang w:val="vi-VN"/>
        </w:rPr>
        <w:t xml:space="preserve">3.2.1 </w:t>
      </w:r>
      <w:r w:rsidR="001B292A">
        <w:rPr>
          <w:i w:val="0"/>
          <w:iCs w:val="0"/>
          <w:color w:val="000000" w:themeColor="text1"/>
        </w:rPr>
        <w:tab/>
      </w:r>
      <w:r w:rsidRPr="00A90E6A">
        <w:rPr>
          <w:i w:val="0"/>
          <w:iCs w:val="0"/>
          <w:color w:val="000000" w:themeColor="text1"/>
          <w:lang w:val="vi-VN"/>
        </w:rPr>
        <w:t xml:space="preserve">Nâng cao hiệu quả thẩm định và quản lý khoản </w:t>
      </w:r>
      <w:r w:rsidR="00A03CAB" w:rsidRPr="00A90E6A">
        <w:rPr>
          <w:i w:val="0"/>
          <w:iCs w:val="0"/>
          <w:color w:val="000000" w:themeColor="text1"/>
          <w:lang w:val="vi-VN"/>
        </w:rPr>
        <w:t>vay.</w:t>
      </w:r>
      <w:bookmarkEnd w:id="68"/>
    </w:p>
    <w:p w14:paraId="3623C226" w14:textId="1A20A97E" w:rsidR="006A7816" w:rsidRPr="00A90E6A" w:rsidRDefault="006A7816" w:rsidP="0085564F">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MB Đà Nẵng cần tăng cường công tác thẩm định và quản lý khoản vay theo hướng đẩy mạnh thẩm định thực địa thay vì phụ thuộc chủ yếu vào hồ sơ giấy tờ. Đối với khách hàng cá nhân sản xuất kinh doanh, đặc biệt là các hộ kinh doanh cá thể chưa có đầy đủ báo cáo tài chính, cán bộ tín dụng cần trực tiếp khảo sát hoạt động kinh doanh, đánh giá lượng hàng tồn kho, </w:t>
      </w:r>
      <w:r w:rsidR="00944946" w:rsidRPr="00A90E6A">
        <w:rPr>
          <w:rFonts w:ascii="Times New Roman" w:hAnsi="Times New Roman" w:cs="Times New Roman"/>
          <w:color w:val="000000" w:themeColor="text1"/>
          <w:sz w:val="26"/>
          <w:szCs w:val="26"/>
          <w:lang w:val="vi-VN"/>
        </w:rPr>
        <w:t xml:space="preserve">tần suất giao dịch, </w:t>
      </w:r>
      <w:r w:rsidRPr="00A90E6A">
        <w:rPr>
          <w:rFonts w:ascii="Times New Roman" w:hAnsi="Times New Roman" w:cs="Times New Roman"/>
          <w:color w:val="000000" w:themeColor="text1"/>
          <w:sz w:val="26"/>
          <w:szCs w:val="26"/>
          <w:lang w:val="vi-VN"/>
        </w:rPr>
        <w:t xml:space="preserve">mức độ tiêu thụ hàng hóa, uy tín kinh doanh tại địa phương và khả năng tạo </w:t>
      </w:r>
      <w:r w:rsidR="009C5B3E" w:rsidRPr="00A90E6A">
        <w:rPr>
          <w:rFonts w:ascii="Times New Roman" w:hAnsi="Times New Roman" w:cs="Times New Roman"/>
          <w:color w:val="000000" w:themeColor="text1"/>
          <w:sz w:val="26"/>
          <w:szCs w:val="26"/>
          <w:lang w:val="vi-VN"/>
        </w:rPr>
        <w:t>dòng tiền thực tế</w:t>
      </w:r>
      <w:r w:rsidRPr="00A90E6A">
        <w:rPr>
          <w:rFonts w:ascii="Times New Roman" w:hAnsi="Times New Roman" w:cs="Times New Roman"/>
          <w:color w:val="000000" w:themeColor="text1"/>
          <w:sz w:val="26"/>
          <w:szCs w:val="26"/>
          <w:lang w:val="vi-VN"/>
        </w:rPr>
        <w:t xml:space="preserve"> của khách </w:t>
      </w:r>
      <w:r w:rsidR="009C5B3E" w:rsidRPr="00A90E6A">
        <w:rPr>
          <w:rFonts w:ascii="Times New Roman" w:hAnsi="Times New Roman" w:cs="Times New Roman"/>
          <w:color w:val="000000" w:themeColor="text1"/>
          <w:sz w:val="26"/>
          <w:szCs w:val="26"/>
          <w:lang w:val="vi-VN"/>
        </w:rPr>
        <w:t>hàng</w:t>
      </w:r>
      <w:r w:rsidR="00944946" w:rsidRPr="00A90E6A">
        <w:rPr>
          <w:rFonts w:ascii="Times New Roman" w:hAnsi="Times New Roman" w:cs="Times New Roman"/>
          <w:color w:val="000000" w:themeColor="text1"/>
          <w:sz w:val="26"/>
          <w:szCs w:val="26"/>
          <w:lang w:val="vi-VN"/>
        </w:rPr>
        <w:t xml:space="preserve"> để cơ sở đánh giá chính xác năng lực tài chính và khả năng trả nợ</w:t>
      </w:r>
      <w:r w:rsidRPr="00A90E6A">
        <w:rPr>
          <w:rFonts w:ascii="Times New Roman" w:hAnsi="Times New Roman" w:cs="Times New Roman"/>
          <w:color w:val="000000" w:themeColor="text1"/>
          <w:sz w:val="26"/>
          <w:szCs w:val="26"/>
          <w:lang w:val="vi-VN"/>
        </w:rPr>
        <w:t xml:space="preserve">. Chi nhánh cần kết hợp khai thác dữ liệu giao dịch trên App MB, doanh thu qua tài khoản thanh toán và thanh toán bằng VietQR để đánh giá sát hơn năng lực tài chính và khả năng trả nợ của khách hàng. Việc kết hợp giữa hồ sơ tín dụng và dữ liệu thực tế sẽ giúp hạn chế tình trạng đánh giá thiếu chính xác, đặc biệt đối với các khoản </w:t>
      </w:r>
      <w:r w:rsidR="00B31359" w:rsidRPr="00A90E6A">
        <w:rPr>
          <w:rFonts w:ascii="Times New Roman" w:hAnsi="Times New Roman" w:cs="Times New Roman"/>
          <w:color w:val="000000" w:themeColor="text1"/>
          <w:sz w:val="26"/>
          <w:szCs w:val="26"/>
          <w:lang w:val="vi-VN"/>
        </w:rPr>
        <w:t xml:space="preserve">cho </w:t>
      </w:r>
      <w:r w:rsidRPr="00A90E6A">
        <w:rPr>
          <w:rFonts w:ascii="Times New Roman" w:hAnsi="Times New Roman" w:cs="Times New Roman"/>
          <w:color w:val="000000" w:themeColor="text1"/>
          <w:sz w:val="26"/>
          <w:szCs w:val="26"/>
          <w:lang w:val="vi-VN"/>
        </w:rPr>
        <w:t>vay bổ sung vốn lưu động hoặc vay tín chấp.</w:t>
      </w:r>
    </w:p>
    <w:p w14:paraId="689E0EB9" w14:textId="12A7CB4B" w:rsidR="00C531D4" w:rsidRPr="00A90E6A" w:rsidRDefault="00C531D4" w:rsidP="0085564F">
      <w:pPr>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color w:val="000000" w:themeColor="text1"/>
          <w:sz w:val="26"/>
          <w:szCs w:val="26"/>
          <w:lang w:val="vi-VN"/>
        </w:rPr>
        <w:t>MB Đà Nẵng cần xây dựng cơ chế phê duyệt linh hoạt đối với các trường hợp</w:t>
      </w:r>
    </w:p>
    <w:p w14:paraId="4066C02F" w14:textId="0C36CFF5" w:rsidR="006B5CA6" w:rsidRPr="00A90E6A" w:rsidRDefault="006A7816" w:rsidP="00C531D4">
      <w:pPr>
        <w:spacing w:after="0" w:line="360" w:lineRule="auto"/>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color w:val="000000" w:themeColor="text1"/>
          <w:sz w:val="26"/>
          <w:szCs w:val="26"/>
          <w:lang w:val="vi-VN"/>
        </w:rPr>
        <w:t xml:space="preserve">nợ quá hạn ngắn dưới 10 ngày. Đối với khách hàng có phương án kinh doanh khả thi và lịch sử tín dụng tương đối tốt, ngân hàng nên xem xét cho phép giải trình trước khi đưa ra quyết định từ chối cấp tín dụng nhằm hạn chế bỏ lỡ khách hàng tiềm năng do các sai </w:t>
      </w:r>
      <w:r w:rsidRPr="00A90E6A">
        <w:rPr>
          <w:rFonts w:ascii="Times New Roman" w:hAnsi="Times New Roman" w:cs="Times New Roman"/>
          <w:color w:val="000000" w:themeColor="text1"/>
          <w:sz w:val="26"/>
          <w:szCs w:val="26"/>
          <w:lang w:val="vi-VN"/>
        </w:rPr>
        <w:lastRenderedPageBreak/>
        <w:t xml:space="preserve">sót mang tính kỹ thuật. </w:t>
      </w:r>
      <w:r w:rsidR="006B5CA6" w:rsidRPr="00A90E6A">
        <w:rPr>
          <w:rFonts w:ascii="Times New Roman" w:hAnsi="Times New Roman" w:cs="Times New Roman"/>
          <w:color w:val="000000" w:themeColor="text1"/>
          <w:sz w:val="26"/>
          <w:szCs w:val="26"/>
          <w:lang w:val="vi-VN"/>
        </w:rPr>
        <w:t>Để đảm bảo tính an toàn song song với tốc độ, ngân hàng vận hành cơ chế kiểm soát theo mô hình "Phê duyệt nhanh - Kiểm tra định kỳ". Sau khi giải ngân tốc hành, hệ thống sẽ tự động lên lịch nhắc nhở cán bộ nhân viên thực hiện hậu kiểm thực địa theo xác suất hoặc dựa trên các biến động bất thường của dòng tiền trên tài khoản. Việc kết hợp giữa phê duyệt tự động và kiểm tra sau cho vay sẽ giúp chi nhánh rút ngắn thời gian xử lý hồ sơ, nâng cao trải nghiệm khách hàng và đảm bảo an toàn tín dụng.</w:t>
      </w:r>
    </w:p>
    <w:p w14:paraId="70619F08" w14:textId="3FD09812" w:rsidR="006A7816" w:rsidRPr="00A90E6A" w:rsidRDefault="009C5B3E" w:rsidP="0085564F">
      <w:pPr>
        <w:spacing w:after="0" w:line="360" w:lineRule="auto"/>
        <w:ind w:firstLine="567"/>
        <w:jc w:val="both"/>
        <w:rPr>
          <w:rFonts w:ascii="Times New Roman" w:hAnsi="Times New Roman" w:cs="Times New Roman"/>
          <w:b/>
          <w:bCs/>
          <w:i/>
          <w:iCs/>
          <w:color w:val="000000" w:themeColor="text1"/>
          <w:sz w:val="26"/>
          <w:szCs w:val="26"/>
          <w:lang w:val="vi-VN"/>
        </w:rPr>
      </w:pPr>
      <w:r w:rsidRPr="00A90E6A">
        <w:rPr>
          <w:rFonts w:ascii="Times New Roman" w:hAnsi="Times New Roman" w:cs="Times New Roman"/>
          <w:color w:val="000000" w:themeColor="text1"/>
          <w:sz w:val="26"/>
          <w:szCs w:val="26"/>
          <w:lang w:val="vi-VN"/>
        </w:rPr>
        <w:t xml:space="preserve">Bên cạnh </w:t>
      </w:r>
      <w:r w:rsidR="006A7816" w:rsidRPr="00A90E6A">
        <w:rPr>
          <w:rFonts w:ascii="Times New Roman" w:hAnsi="Times New Roman" w:cs="Times New Roman"/>
          <w:color w:val="000000" w:themeColor="text1"/>
          <w:sz w:val="26"/>
          <w:szCs w:val="26"/>
          <w:lang w:val="vi-VN"/>
        </w:rPr>
        <w:t>tăng cường</w:t>
      </w:r>
      <w:r w:rsidRPr="00A90E6A">
        <w:rPr>
          <w:rFonts w:ascii="Times New Roman" w:hAnsi="Times New Roman" w:cs="Times New Roman"/>
          <w:color w:val="000000" w:themeColor="text1"/>
          <w:sz w:val="26"/>
          <w:szCs w:val="26"/>
          <w:lang w:val="vi-VN"/>
        </w:rPr>
        <w:t xml:space="preserve"> công tác thẩm định, ngân hàng cần sát sao công tác</w:t>
      </w:r>
      <w:r w:rsidR="006A7816" w:rsidRPr="00A90E6A">
        <w:rPr>
          <w:rFonts w:ascii="Times New Roman" w:hAnsi="Times New Roman" w:cs="Times New Roman"/>
          <w:color w:val="000000" w:themeColor="text1"/>
          <w:sz w:val="26"/>
          <w:szCs w:val="26"/>
          <w:lang w:val="vi-VN"/>
        </w:rPr>
        <w:t xml:space="preserve"> kiểm tra và giám sát sau cho vay nhằm nâng cao hiệu quả quản lý khoản vay. </w:t>
      </w:r>
      <w:r w:rsidRPr="00A90E6A">
        <w:rPr>
          <w:rFonts w:ascii="Times New Roman" w:hAnsi="Times New Roman" w:cs="Times New Roman"/>
          <w:color w:val="000000" w:themeColor="text1"/>
          <w:sz w:val="26"/>
          <w:szCs w:val="26"/>
          <w:lang w:val="vi-VN"/>
        </w:rPr>
        <w:t xml:space="preserve">Mọi thông tin thẩm định thực địa </w:t>
      </w:r>
      <w:r w:rsidR="006A7816" w:rsidRPr="00A90E6A">
        <w:rPr>
          <w:rFonts w:ascii="Times New Roman" w:hAnsi="Times New Roman" w:cs="Times New Roman"/>
          <w:color w:val="000000" w:themeColor="text1"/>
          <w:sz w:val="26"/>
          <w:szCs w:val="26"/>
          <w:lang w:val="vi-VN"/>
        </w:rPr>
        <w:t>cần được lưu trữ đầy đủ bằng hình ảnh, biên bản xác minh hoặc dữ liệu điện tử để đảm bảo tính minh bạch trong quá trình xét duyệt tín dụng. Cán bộ tín dụng cần thường xuyên theo dõi tình hình kinh doanh, doanh thu và biến động trên tài khoản thanh toán của khách hàng để kịp thời phát hiện các dấu hiệu bất thường</w:t>
      </w:r>
      <w:r w:rsidR="006B5CA6" w:rsidRPr="00A90E6A">
        <w:rPr>
          <w:rFonts w:ascii="Times New Roman" w:hAnsi="Times New Roman" w:cs="Times New Roman"/>
          <w:color w:val="000000" w:themeColor="text1"/>
          <w:sz w:val="26"/>
          <w:szCs w:val="26"/>
          <w:lang w:val="vi-VN"/>
        </w:rPr>
        <w:t xml:space="preserve"> giúp ngân hàng kiểm soát mục đích sử dụng vốn vay</w:t>
      </w:r>
      <w:r w:rsidR="006A7816" w:rsidRPr="00A90E6A">
        <w:rPr>
          <w:rFonts w:ascii="Times New Roman" w:hAnsi="Times New Roman" w:cs="Times New Roman"/>
          <w:color w:val="000000" w:themeColor="text1"/>
          <w:sz w:val="26"/>
          <w:szCs w:val="26"/>
          <w:lang w:val="vi-VN"/>
        </w:rPr>
        <w:t>,</w:t>
      </w:r>
      <w:r w:rsidR="006B5CA6" w:rsidRPr="00A90E6A">
        <w:rPr>
          <w:rFonts w:ascii="Times New Roman" w:hAnsi="Times New Roman" w:cs="Times New Roman"/>
          <w:color w:val="000000" w:themeColor="text1"/>
          <w:sz w:val="26"/>
          <w:szCs w:val="26"/>
          <w:lang w:val="vi-VN"/>
        </w:rPr>
        <w:t xml:space="preserve"> hạn chế tình trạng sử dụng vốn vay sai</w:t>
      </w:r>
      <w:r w:rsidR="006A7816" w:rsidRPr="00A90E6A">
        <w:rPr>
          <w:rFonts w:ascii="Times New Roman" w:hAnsi="Times New Roman" w:cs="Times New Roman"/>
          <w:color w:val="000000" w:themeColor="text1"/>
          <w:sz w:val="26"/>
          <w:szCs w:val="26"/>
          <w:lang w:val="vi-VN"/>
        </w:rPr>
        <w:t xml:space="preserve"> mục đích và nâng cao khả năng thu hồi nợ.</w:t>
      </w:r>
    </w:p>
    <w:p w14:paraId="347B223B" w14:textId="44DB2F84" w:rsidR="000A6FBE" w:rsidRPr="00A90E6A" w:rsidRDefault="000A6FBE" w:rsidP="0085564F">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Các giải pháp trên không chỉ giúp nâng cao chất lượng thẩm định và quản lý khoản vay mà còn góp phần cải thiện hiệu quả sử dụng vốn và khả năng thu hồi nợ tại chi nhánh. Việc tăng cường giám sát dòng tiền, kiểm tra thực tế sau cho vay và quản lý mục đích sử dụng vốn sẽ giúp hạn chế tình trạng khách hàng chậm thanh toán, nâng cao khả năng luân chuyển vốn tín dụng và cải thiện hệ số thu nợ trong hoạt động cho vay sản xuất kinh doanh đối với khách hàng cá nhân.</w:t>
      </w:r>
    </w:p>
    <w:p w14:paraId="12E703E4" w14:textId="5A30A508" w:rsidR="00241BF0" w:rsidRPr="00A90E6A" w:rsidRDefault="00373C88" w:rsidP="001B292A">
      <w:pPr>
        <w:pStyle w:val="Heading3"/>
        <w:tabs>
          <w:tab w:val="left" w:pos="1276"/>
        </w:tabs>
        <w:rPr>
          <w:b w:val="0"/>
          <w:bCs w:val="0"/>
          <w:i w:val="0"/>
          <w:iCs w:val="0"/>
          <w:color w:val="000000" w:themeColor="text1"/>
          <w:lang w:val="vi-VN"/>
        </w:rPr>
      </w:pPr>
      <w:bookmarkStart w:id="69" w:name="_Toc230962404"/>
      <w:r w:rsidRPr="00DF2488">
        <w:rPr>
          <w:i w:val="0"/>
          <w:iCs w:val="0"/>
          <w:color w:val="000000" w:themeColor="text1"/>
          <w:lang w:val="vi-VN"/>
        </w:rPr>
        <w:t>3.2.</w:t>
      </w:r>
      <w:r w:rsidR="006F4288" w:rsidRPr="00DF2488">
        <w:rPr>
          <w:i w:val="0"/>
          <w:iCs w:val="0"/>
          <w:color w:val="000000" w:themeColor="text1"/>
          <w:lang w:val="vi-VN"/>
        </w:rPr>
        <w:t>2</w:t>
      </w:r>
      <w:r w:rsidRPr="00A90E6A">
        <w:rPr>
          <w:i w:val="0"/>
          <w:iCs w:val="0"/>
          <w:color w:val="000000" w:themeColor="text1"/>
          <w:lang w:val="vi-VN"/>
        </w:rPr>
        <w:t xml:space="preserve"> </w:t>
      </w:r>
      <w:r w:rsidR="001B292A">
        <w:rPr>
          <w:i w:val="0"/>
          <w:iCs w:val="0"/>
          <w:color w:val="000000" w:themeColor="text1"/>
        </w:rPr>
        <w:tab/>
      </w:r>
      <w:r w:rsidR="00241BF0" w:rsidRPr="00A90E6A">
        <w:rPr>
          <w:i w:val="0"/>
          <w:iCs w:val="0"/>
          <w:color w:val="000000" w:themeColor="text1"/>
          <w:lang w:val="vi-VN"/>
        </w:rPr>
        <w:t>Hoàn thiện quy trình tín dụng và chính sách xét duyệt</w:t>
      </w:r>
      <w:r w:rsidR="00444CF6" w:rsidRPr="00A90E6A">
        <w:rPr>
          <w:b w:val="0"/>
          <w:bCs w:val="0"/>
          <w:i w:val="0"/>
          <w:iCs w:val="0"/>
          <w:color w:val="000000" w:themeColor="text1"/>
          <w:lang w:val="vi-VN"/>
        </w:rPr>
        <w:t xml:space="preserve"> </w:t>
      </w:r>
      <w:r w:rsidR="00444CF6" w:rsidRPr="00A90E6A">
        <w:rPr>
          <w:i w:val="0"/>
          <w:iCs w:val="0"/>
          <w:color w:val="000000" w:themeColor="text1"/>
          <w:lang w:val="vi-VN"/>
        </w:rPr>
        <w:t xml:space="preserve">trong hoạt động cho vay SXKD đối với </w:t>
      </w:r>
      <w:r w:rsidR="00A03CAB" w:rsidRPr="00A90E6A">
        <w:rPr>
          <w:i w:val="0"/>
          <w:iCs w:val="0"/>
          <w:color w:val="000000" w:themeColor="text1"/>
          <w:lang w:val="vi-VN"/>
        </w:rPr>
        <w:t>KHCN.</w:t>
      </w:r>
      <w:bookmarkEnd w:id="69"/>
    </w:p>
    <w:p w14:paraId="4BA47F45" w14:textId="2A3711D8" w:rsidR="00216045" w:rsidRPr="00A90E6A" w:rsidRDefault="00216045" w:rsidP="00216045">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Cần xây dựng bộ tiêu chí đánh giá khách hàng có lịch sử thanh toán tốt (luôn thuộc Nhóm 1). Với nhóm này, khi có nhu cầu vay lại hoặc nâng hạn mức, quy trình cần được rút gọn đến 70%, chủ yếu thực hiện qua App MB để giảm thời gian chờ đợi xuống dưới 24 giờ làm việc.</w:t>
      </w:r>
    </w:p>
    <w:p w14:paraId="030126B2" w14:textId="77777777" w:rsidR="00552319" w:rsidRPr="00A90E6A" w:rsidRDefault="00216045" w:rsidP="00216045">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Ngân hàng thực hiện bằng cách xây dựng hệ dành riêng cho nhóm khách hàng ưu tiên (nhóm có lịch sử thanh toán Nhóm 1). Quy trình thực hiện bắt đầu từ việc vận hành thuật toán tự động quét dữ liệu lịch sử tín dụng và hành vi giao dịch tại MB của khách hàng trong 12-24 tháng gần nhất. Thay vì phải thẩm định lại từ đầu như khách hàng mới, ngân hàng vận hành bộ tiêu chí chấm điểm tự động, trong đó các yếu tố như: thời gian </w:t>
      </w:r>
      <w:r w:rsidRPr="00A90E6A">
        <w:rPr>
          <w:rFonts w:ascii="Times New Roman" w:hAnsi="Times New Roman" w:cs="Times New Roman"/>
          <w:color w:val="000000" w:themeColor="text1"/>
          <w:sz w:val="26"/>
          <w:szCs w:val="26"/>
          <w:lang w:val="vi-VN"/>
        </w:rPr>
        <w:lastRenderedPageBreak/>
        <w:t xml:space="preserve">gắn bó, tính đều đặn của dòng tiền qua App và sự minh bạch trong việc sử dụng vốn cũ được ưu tiên hàng đầu. </w:t>
      </w:r>
      <w:r w:rsidR="00552319" w:rsidRPr="00A90E6A">
        <w:rPr>
          <w:rFonts w:ascii="Times New Roman" w:hAnsi="Times New Roman" w:cs="Times New Roman"/>
          <w:color w:val="000000" w:themeColor="text1"/>
          <w:sz w:val="26"/>
          <w:szCs w:val="26"/>
          <w:lang w:val="vi-VN"/>
        </w:rPr>
        <w:t>rên cơ sở đó, ngân hàng có thể tự động phê duyệt trước hạn mức tín dụng hoặc nâng hạn mức vay phù hợp mà không cần xử lý qua quá nhiều bước xét duyệt, từ đó góp phần rút ngắn thời gian xử lý hồ sơ và giảm áp lực cho chuyên viên quan hệ khách hàng.</w:t>
      </w:r>
    </w:p>
    <w:p w14:paraId="31EA61AA" w14:textId="09612492" w:rsidR="00BF46AD" w:rsidRPr="00A90E6A" w:rsidRDefault="00552319" w:rsidP="00216045">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Ngoài ra, MB Đà Nẵng cần tăng cường phối hợp giữa các bộ phận trong quá trình xử lý hồ sơ vay vốn nhằm hạn chế tình trạng chậm trễ trong quá trình phê duyệt và giải ngân khoản vay. </w:t>
      </w:r>
      <w:r w:rsidR="00BF46AD" w:rsidRPr="00A90E6A">
        <w:rPr>
          <w:rFonts w:ascii="Times New Roman" w:hAnsi="Times New Roman" w:cs="Times New Roman"/>
          <w:color w:val="000000" w:themeColor="text1"/>
          <w:sz w:val="26"/>
          <w:szCs w:val="26"/>
          <w:lang w:val="vi-VN"/>
        </w:rPr>
        <w:t>Việc phối hợp giữa chuyên viên quan hệ khách hàng, bộ phận thẩm định, hỗ trợ tín dụng, pháp chế và cấp phê duyệt tại hội sở đối với một số khoản vay vượt thẩm quyền trong nhiều trường hợp còn mất nhiều thời gian, làm kéo dài quá trình hoàn thiện hồ sơ và giải ngân khoản vay. Do đó, chi nhánh cần chuẩn hóa quy trình luân chuyển hồ sơ, quy định rõ thời gian xử lý tại từng bộ phận và nâng cao khả năng phối hợp giữa các đơn vị nhằm rút ngắn thời gian xử lý hồ sơ và nâng cao hiệu quả xét duyệt tín dụng.</w:t>
      </w:r>
    </w:p>
    <w:p w14:paraId="63A307CA" w14:textId="77777777" w:rsidR="00BF46AD" w:rsidRPr="00A90E6A" w:rsidRDefault="00BF46AD" w:rsidP="00E5549A">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Bên cạnh các giải pháp trên, MB Đà Nẵng cần đẩy mạnh số hóa quy trình cho vay nhằm hỗ trợ rút ngắn thời gian xử lý hồ sơ và giảm tải khối lượng công việc cho chuyên viên quan hệ khách hàng trong quá trình tiếp nhận, xử lý và hoàn thiện hồ sơ vay vốn. Khách hàng có thể thực hiện các yêu cầu vay vốn trực tiếp trên ứng dụng số của ngân hàng thông qua 3 bước như: C</w:t>
      </w:r>
      <w:r w:rsidR="00216045" w:rsidRPr="00A90E6A">
        <w:rPr>
          <w:rFonts w:ascii="Times New Roman" w:hAnsi="Times New Roman" w:cs="Times New Roman"/>
          <w:color w:val="000000" w:themeColor="text1"/>
          <w:sz w:val="26"/>
          <w:szCs w:val="26"/>
          <w:lang w:val="vi-VN"/>
        </w:rPr>
        <w:t xml:space="preserve">họn hạn mức - Xác nhận mục đích vay - Ký hợp đồng điện tử bằng chữ ký số hoặc mã OTP. </w:t>
      </w:r>
      <w:r w:rsidRPr="00A90E6A">
        <w:rPr>
          <w:rFonts w:ascii="Times New Roman" w:hAnsi="Times New Roman" w:cs="Times New Roman"/>
          <w:color w:val="000000" w:themeColor="text1"/>
          <w:sz w:val="26"/>
          <w:szCs w:val="26"/>
          <w:lang w:val="vi-VN"/>
        </w:rPr>
        <w:t>Về phía ngân hàng, hệ thống sẽ tự động đối chiếu thông tin với dữ liệu khách hàng đã lưu trữ nhằm cập nhật hồ sơ và xử lý phê duyệt nhanh hơn, hạn chế việc luân chuyển hồ sơ giấy giữa nhiều bộ phận. Điều này sẽ góp phần giảm áp lực xử lý hồ sơ, hạn chế sai sót trong quá trình đánh giá khách hàng và nâng cao hiệu quả vận hành tín dụng.</w:t>
      </w:r>
    </w:p>
    <w:p w14:paraId="0BFF1084" w14:textId="53294FD9" w:rsidR="006B537B" w:rsidRDefault="00552319" w:rsidP="006B537B">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Các giải pháp trên sẽ góp phần hoàn thiện quy trình tín dụng và chính sách xét duyệt trong hoạt động cho vay SXKD đối với KHCN tại MB Đà Nẵng. Đồng thời, việc tinh gọn quy trình, giảm bớt thủ tục xử lý và đẩy mạnh số hóa trong hoạt động tín dụng sẽ giúp chi nhánh rút ngắn thời gian xử lý hồ sơ, giảm áp lực cho cán bộ tín dụng và nâng cao khả năng tiếp cận vốn của khách hàng.</w:t>
      </w:r>
    </w:p>
    <w:p w14:paraId="02D70E45" w14:textId="248CF78F" w:rsidR="00552319" w:rsidRPr="00A90E6A" w:rsidRDefault="006B537B" w:rsidP="006B537B">
      <w:pP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br w:type="page"/>
      </w:r>
    </w:p>
    <w:p w14:paraId="165DEA7C" w14:textId="17381679" w:rsidR="00552319" w:rsidRPr="00A90E6A" w:rsidRDefault="00552319" w:rsidP="001B292A">
      <w:pPr>
        <w:pStyle w:val="Heading3"/>
        <w:tabs>
          <w:tab w:val="left" w:pos="1276"/>
        </w:tabs>
        <w:rPr>
          <w:b w:val="0"/>
          <w:bCs w:val="0"/>
          <w:i w:val="0"/>
          <w:iCs w:val="0"/>
          <w:color w:val="000000" w:themeColor="text1"/>
          <w:lang w:val="vi-VN"/>
        </w:rPr>
      </w:pPr>
      <w:bookmarkStart w:id="70" w:name="_Toc230962405"/>
      <w:r w:rsidRPr="00A90E6A">
        <w:rPr>
          <w:i w:val="0"/>
          <w:iCs w:val="0"/>
          <w:color w:val="000000" w:themeColor="text1"/>
          <w:lang w:val="vi-VN"/>
        </w:rPr>
        <w:lastRenderedPageBreak/>
        <w:t>3.2.</w:t>
      </w:r>
      <w:r w:rsidR="006F4288" w:rsidRPr="00A90E6A">
        <w:rPr>
          <w:i w:val="0"/>
          <w:iCs w:val="0"/>
          <w:color w:val="000000" w:themeColor="text1"/>
          <w:lang w:val="vi-VN"/>
        </w:rPr>
        <w:t>3</w:t>
      </w:r>
      <w:r w:rsidRPr="00A90E6A">
        <w:rPr>
          <w:i w:val="0"/>
          <w:iCs w:val="0"/>
          <w:color w:val="000000" w:themeColor="text1"/>
          <w:lang w:val="vi-VN"/>
        </w:rPr>
        <w:t xml:space="preserve"> </w:t>
      </w:r>
      <w:r w:rsidR="001B292A">
        <w:rPr>
          <w:i w:val="0"/>
          <w:iCs w:val="0"/>
          <w:color w:val="000000" w:themeColor="text1"/>
        </w:rPr>
        <w:tab/>
      </w:r>
      <w:r w:rsidRPr="00A90E6A">
        <w:rPr>
          <w:i w:val="0"/>
          <w:iCs w:val="0"/>
          <w:color w:val="000000" w:themeColor="text1"/>
          <w:lang w:val="vi-VN"/>
        </w:rPr>
        <w:t xml:space="preserve">Đẩy mạnh tiếp thị, </w:t>
      </w:r>
      <w:r w:rsidR="00FF4B61" w:rsidRPr="00A90E6A">
        <w:rPr>
          <w:i w:val="0"/>
          <w:iCs w:val="0"/>
          <w:color w:val="000000" w:themeColor="text1"/>
          <w:lang w:val="vi-VN"/>
        </w:rPr>
        <w:t>thu hút</w:t>
      </w:r>
      <w:r w:rsidRPr="00A90E6A">
        <w:rPr>
          <w:i w:val="0"/>
          <w:iCs w:val="0"/>
          <w:color w:val="000000" w:themeColor="text1"/>
          <w:lang w:val="vi-VN"/>
        </w:rPr>
        <w:t xml:space="preserve"> và chăm sóc khách hàng trong hoạt động cho vay SXKD đối với </w:t>
      </w:r>
      <w:r w:rsidR="00A03CAB" w:rsidRPr="00A90E6A">
        <w:rPr>
          <w:i w:val="0"/>
          <w:iCs w:val="0"/>
          <w:color w:val="000000" w:themeColor="text1"/>
          <w:lang w:val="vi-VN"/>
        </w:rPr>
        <w:t>KHCN.</w:t>
      </w:r>
      <w:bookmarkEnd w:id="70"/>
    </w:p>
    <w:p w14:paraId="76E55850" w14:textId="7CE581E5"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bối cảnh cạnh tranh giữa các ngân hàng ngày càng lớn, việc đẩy mạnh hoạt động tiếp thị, phát triển khách hàng và nâng cao chất lượng chăm sóc khách hàng là giải pháp cần thiết nhằm mở rộng tệp khách hàng SXKD, nâng cao khả năng tiếp cận vốn và duy trì mối quan hệ tín dụng bền vững với khách hàng tại MB Đà Nẵng.</w:t>
      </w:r>
    </w:p>
    <w:p w14:paraId="3FDB3261" w14:textId="40F4298D" w:rsidR="00552319" w:rsidRPr="00A90E6A" w:rsidRDefault="00552319">
      <w:pPr>
        <w:pStyle w:val="ListParagraph"/>
        <w:numPr>
          <w:ilvl w:val="0"/>
          <w:numId w:val="6"/>
        </w:numPr>
        <w:tabs>
          <w:tab w:val="left" w:pos="851"/>
        </w:tabs>
        <w:spacing w:after="0" w:line="360" w:lineRule="auto"/>
        <w:ind w:left="0"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Đẩy mạnh tiếp thị và phát triển khách </w:t>
      </w:r>
      <w:r w:rsidR="00FF4B61" w:rsidRPr="00A90E6A">
        <w:rPr>
          <w:rFonts w:ascii="Times New Roman" w:hAnsi="Times New Roman" w:cs="Times New Roman"/>
          <w:b/>
          <w:bCs/>
          <w:color w:val="000000" w:themeColor="text1"/>
          <w:sz w:val="26"/>
          <w:szCs w:val="26"/>
          <w:lang w:val="vi-VN"/>
        </w:rPr>
        <w:t>hàng.</w:t>
      </w:r>
    </w:p>
    <w:p w14:paraId="4715FB71" w14:textId="031E1F5B" w:rsidR="00980598" w:rsidRPr="00A90E6A" w:rsidRDefault="00980598"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điều kiện nhu cầu vốn của các hộ kinh doanh cá thể ngày càng đa dạng, việc chủ động tiếp cận khách hàng thông qua nhiều hình thức linh hoạt sẽ giúp MB Đà Nẵng mở rộng tệp khách hàng SXKD, nâng cao khả năng nhận diện sản phẩm tín dụng và tăng hiệu quả khai thác thị trường.</w:t>
      </w:r>
    </w:p>
    <w:p w14:paraId="2B57E83D" w14:textId="529C091A"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Tổ chức các quầy tư vấn lưu động trực tiếp tại chợ Cồn, chợ Hàn và các tuyến đường kinh doanh sầm uất. Việc cán bộ ngân hàng trực tiếp xuống đường, tư vấn tận tay tiểu thương sẽ phá bỏ rào cản ngại đến ngân hàng của người dân lao động. MB Đà Nẵng cần tổ chức các quầy tư vấn lưu động tại các khu vực kinh doanh trọng điểm nhằm tăng khả năng tiếp cận khách hàng sản xuất kinh doanh. Quy trình thực hiện bắt đầu từ việc thiết lập các trạm tư vấn tại các địa điểm chiến lược như chợ Cồn, chợ Hàn và các trục đường kinh doanh trọng điểm. Về mặt vận hành, đội ngũ cán bộ nhân viên được trang bị các thiết bị di động tích hợp App MB và các bộ tài liệu ngắn gọn để tư vấn tận tay tiểu thương. Cách thức này không chỉ giúp phá bỏ rào cản tâm lý “ngại thủ tục ngân hàng” của người dân lao động mà còn giúp MB thu thập được dữ liệu thực tế về đặc điểm ngành nghề kinh doanh tại từng khu vực, từ đó xây dựng các kịch bản tiếp cận phù hợp hơn với từng nhóm khách hàng.</w:t>
      </w:r>
    </w:p>
    <w:p w14:paraId="667538A9" w14:textId="77777777"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MB Đà Nẵng cần đẩy mạnh việc triển khai mã QR thanh toán cho các hộ kinh doanh. Dựa trên dữ liệu dòng tiền phát sinh hàng ngày, hệ thống có thể tự động đề xuất hạn mức vay phù hợp cho khách hàng ngay trên App. Đây là giải pháp giúp tăng trưởng dư nợ một cách chủ động và an toàn. Khi tiểu thương sử dụng mã QR của MB làm kênh thu tiền hàng ngày, ngân hàng có thể theo dõi dòng tiền thực tế để đánh giá khả năng tài chính và nhu cầu vay vốn của khách hàng mà không cần yêu cầu quá nhiều hồ sơ giấy tờ.</w:t>
      </w:r>
    </w:p>
    <w:p w14:paraId="3A0B96B1" w14:textId="77777777"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Để đảm bảo tăng trưởng dư nợ an toàn, ngân hàng cần tăng cường theo dõi biến động dòng tiền của khách hàng thông qua hệ thống quản lý dữ liệu. Nếu dòng tiền duy </w:t>
      </w:r>
      <w:r w:rsidRPr="00A90E6A">
        <w:rPr>
          <w:rFonts w:ascii="Times New Roman" w:hAnsi="Times New Roman" w:cs="Times New Roman"/>
          <w:color w:val="000000" w:themeColor="text1"/>
          <w:sz w:val="26"/>
          <w:szCs w:val="26"/>
          <w:lang w:val="vi-VN"/>
        </w:rPr>
        <w:lastRenderedPageBreak/>
        <w:t>trì ổn định, hạn mức vay có thể được xem xét nâng lên phù hợp; ngược lại, ngân hàng có thể kịp thời cảnh báo đối với các trường hợp doanh thu sụt giảm bất thường để hạn chế rủi ro tín dụng phát sinh.</w:t>
      </w:r>
    </w:p>
    <w:p w14:paraId="69A0E255" w14:textId="77777777"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Các giải pháp trên sẽ góp phần mở rộng khả năng tiếp cận khách hàng, nâng cao hiệu quả quảng bá sản phẩm tín dụng và hỗ trợ chi nhánh phát triển tệp khách hàng sản xuất kinh doanh chất lượng trên địa bàn Đà Nẵng.</w:t>
      </w:r>
    </w:p>
    <w:p w14:paraId="49D2008D" w14:textId="60CC6105" w:rsidR="00552319" w:rsidRPr="00A90E6A" w:rsidRDefault="00552319">
      <w:pPr>
        <w:pStyle w:val="ListParagraph"/>
        <w:numPr>
          <w:ilvl w:val="0"/>
          <w:numId w:val="6"/>
        </w:numPr>
        <w:tabs>
          <w:tab w:val="left" w:pos="851"/>
        </w:tabs>
        <w:spacing w:after="0" w:line="360" w:lineRule="auto"/>
        <w:ind w:left="0"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b/>
          <w:bCs/>
          <w:color w:val="000000" w:themeColor="text1"/>
          <w:sz w:val="26"/>
          <w:szCs w:val="26"/>
          <w:lang w:val="vi-VN"/>
        </w:rPr>
        <w:t xml:space="preserve">Nâng cao chất lượng chăm sóc khách </w:t>
      </w:r>
      <w:r w:rsidR="00FF4B61" w:rsidRPr="00A90E6A">
        <w:rPr>
          <w:rFonts w:ascii="Times New Roman" w:hAnsi="Times New Roman" w:cs="Times New Roman"/>
          <w:b/>
          <w:bCs/>
          <w:color w:val="000000" w:themeColor="text1"/>
          <w:sz w:val="26"/>
          <w:szCs w:val="26"/>
          <w:lang w:val="vi-VN"/>
        </w:rPr>
        <w:t>hàng.</w:t>
      </w:r>
    </w:p>
    <w:p w14:paraId="66A81CB1" w14:textId="475619BC"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MB Đà Nẵng cần nâng cao chất lượng chăm sóc khách hàng theo hướng không chỉ duy trì quan hệ tín dụng mà còn gia tăng mức độ gắn bó và khai thác hiệu quả hệ sinh thái khách hàng SXKD đối với KHCN. Trong bối cảnh cạnh tranh giữa các ngân hàng ngày càng lớn, việc giữ chân nhóm khách hàng có lịch sử tín dụng tốt, dòng tiền ổn định và thường xuyên sử dụng dịch vụ ngân hàng sẽ góp phần nâng cao hiệu quả hoạt động tín dụng và hạn chế tình trạng khách hàng dịch chuyển sang các ngân hàng khác. Vì vậy, chi nhánh cần xây dựng chính sách chăm sóc phù hợp đối với từng nhóm khách hàng SXKD dựa trên lịch sử tín dụng, mức độ sử dụng dịch vụ và khả năng duy trì doanh thu thực tế.</w:t>
      </w:r>
    </w:p>
    <w:p w14:paraId="5A61A3D1" w14:textId="77777777"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Chi nhánh cần mở rộng các kênh đánh giá mức độ hài lòng nhằm phản ánh sát hơn trải nghiệm thực tế của khách hàng trong suốt quá trình vay vốn. Ngoài hình thức khảo sát trực tiếp tại quầy, MB Đà Nẵng có thể triển khai đánh giá thông qua ứng dụng ngân hàng số hoặc mã QR sau khi khách hàng hoàn tất giao dịch tín dụng. Nội dung đánh giá cần tập trung vào thời gian xử lý hồ sơ, mức độ hỗ trợ của cán bộ tín dụng, khả năng giải đáp thông tin và sự thuận tiện trong quá trình vay vốn. Các phản hồi của khách hàng cần được tổng hợp và rà soát định kỳ để kịp thời điều chỉnh quy trình phục vụ, khắc phục các điểm còn hạn chế và nâng cao chất lượng dịch vụ trong hoạt động cho vay SXKD đối với KHCN.</w:t>
      </w:r>
    </w:p>
    <w:p w14:paraId="6ED669E1" w14:textId="77777777"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MB Đà Nẵng cần xây dựng chính sách ưu đãi phù hợp đối với nhóm khách hàng SXKD có lịch sử tín dụng tốt và duy trì giao dịch thường xuyên qua hệ sinh thái của ngân hàng. Đối với các khách hàng có doanh thu ổn định, trả nợ đúng hạn và sử dụng đồng thời nhiều sản phẩm dịch vụ, chi nhánh có thể áp dụng các chính sách như ưu đãi lãi suất cho các khoản vay tiếp theo, ưu tiên thời gian xử lý hồ sơ hoặc miễn, giảm một số loại phí dịch vụ. Việc duy trì nhóm khách hàng có chất lượng tín dụng tốt không chỉ </w:t>
      </w:r>
      <w:r w:rsidRPr="00A90E6A">
        <w:rPr>
          <w:rFonts w:ascii="Times New Roman" w:hAnsi="Times New Roman" w:cs="Times New Roman"/>
          <w:color w:val="000000" w:themeColor="text1"/>
          <w:sz w:val="26"/>
          <w:szCs w:val="26"/>
          <w:lang w:val="vi-VN"/>
        </w:rPr>
        <w:lastRenderedPageBreak/>
        <w:t>giúp ngân hàng hạn chế rủi ro mà còn góp phần ổn định nguồn thu và nâng cao hiệu quả hoạt động cho vay SXKD đối với KHCN.</w:t>
      </w:r>
    </w:p>
    <w:p w14:paraId="32A8DE97" w14:textId="77777777"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ra, MB Đà Nẵng cần tăng cường hoạt động chăm sóc khách hàng sau cho vay thông qua việc thường xuyên cập nhật nhu cầu vốn, tình hình hoạt động kinh doanh và những khó khăn mà khách hàng đang gặp phải. Đối với nhóm khách hàng SXKD có quy mô hoạt động ổn định và uy tín tốt trên địa bàn, chi nhánh có thể triển khai các chương trình kết nối khách hàng hoặc giới thiệu khách hàng mới thông qua mạng lưới hộ kinh doanh hiện hữu. Đây không chỉ là giải pháp giúp ngân hàng mở rộng tệp khách hàng với chi phí tiếp cận hợp lý mà còn nâng cao mức độ tin cậy thông qua uy tín thực tế của khách hàng hiện hữu trên địa bàn.</w:t>
      </w:r>
    </w:p>
    <w:p w14:paraId="01321337" w14:textId="40A6CFB5" w:rsidR="00552319" w:rsidRPr="00A90E6A" w:rsidRDefault="00552319" w:rsidP="00552319">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Các giải pháp trên sẽ góp phần nâng cao hiệu quả tiếp thị, mở rộng tệp khách hàng SXKD và nâng cao chất lượng chăm sóc khách hàng tại MB Đà Nẵng. Đồng thời, việc tăng cường kết nối với khách hàng thông qua hệ sinh thái ngân hàng số và các chính sách chăm sóc phù hợp cũng sẽ góp phần nâng cao khả năng cạnh tranh và phát triển hoạt động cho vay SXKD đối với KHCN theo hướng ổn định, bền vững.</w:t>
      </w:r>
    </w:p>
    <w:p w14:paraId="1340B40A" w14:textId="5DC2EF61" w:rsidR="00444CF6" w:rsidRPr="00A90E6A" w:rsidRDefault="00444CF6" w:rsidP="001B292A">
      <w:pPr>
        <w:pStyle w:val="Heading3"/>
        <w:tabs>
          <w:tab w:val="left" w:pos="1276"/>
        </w:tabs>
        <w:ind w:firstLine="567"/>
        <w:rPr>
          <w:i w:val="0"/>
          <w:iCs w:val="0"/>
          <w:color w:val="000000" w:themeColor="text1"/>
          <w:lang w:val="vi-VN"/>
        </w:rPr>
      </w:pPr>
      <w:bookmarkStart w:id="71" w:name="_Toc230962406"/>
      <w:r w:rsidRPr="00A90E6A">
        <w:rPr>
          <w:i w:val="0"/>
          <w:iCs w:val="0"/>
          <w:color w:val="000000" w:themeColor="text1"/>
          <w:lang w:val="vi-VN"/>
        </w:rPr>
        <w:t>3.2.</w:t>
      </w:r>
      <w:r w:rsidR="006F4288" w:rsidRPr="00A90E6A">
        <w:rPr>
          <w:i w:val="0"/>
          <w:iCs w:val="0"/>
          <w:color w:val="000000" w:themeColor="text1"/>
          <w:lang w:val="vi-VN"/>
        </w:rPr>
        <w:t>4</w:t>
      </w:r>
      <w:r w:rsidRPr="00A90E6A">
        <w:rPr>
          <w:i w:val="0"/>
          <w:iCs w:val="0"/>
          <w:color w:val="000000" w:themeColor="text1"/>
          <w:lang w:val="vi-VN"/>
        </w:rPr>
        <w:t xml:space="preserve"> </w:t>
      </w:r>
      <w:r w:rsidR="001B292A">
        <w:rPr>
          <w:i w:val="0"/>
          <w:iCs w:val="0"/>
          <w:color w:val="000000" w:themeColor="text1"/>
        </w:rPr>
        <w:tab/>
      </w:r>
      <w:r w:rsidRPr="00A90E6A">
        <w:rPr>
          <w:i w:val="0"/>
          <w:iCs w:val="0"/>
          <w:color w:val="000000" w:themeColor="text1"/>
          <w:lang w:val="vi-VN"/>
        </w:rPr>
        <w:t xml:space="preserve">Đa dạng hóa sản phẩm trong hoạt động cho vay SXKD đối với </w:t>
      </w:r>
      <w:r w:rsidR="00A03CAB" w:rsidRPr="00A90E6A">
        <w:rPr>
          <w:i w:val="0"/>
          <w:iCs w:val="0"/>
          <w:color w:val="000000" w:themeColor="text1"/>
          <w:lang w:val="vi-VN"/>
        </w:rPr>
        <w:t>KHCN.</w:t>
      </w:r>
      <w:bookmarkEnd w:id="71"/>
    </w:p>
    <w:p w14:paraId="2FF5B0D2" w14:textId="23486DAD" w:rsidR="003164F3" w:rsidRPr="00A90E6A" w:rsidRDefault="003164F3" w:rsidP="003164F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Để góp phần cân đối cơ cấu tín dụng và đáp ứng tốt hơn nhu cầu sử dụng vốn của KHCN SXKD, MB Đà Nẵng cần đa dạng hóa các sản phẩm cho vay theo hướng phù hợp với đặc điểm hoạt động và mục đích sử dụng vốn của từng nhóm khách hàng.</w:t>
      </w:r>
    </w:p>
    <w:p w14:paraId="3447A964" w14:textId="097A32A6" w:rsidR="00444CF6" w:rsidRPr="00A90E6A" w:rsidRDefault="00444CF6" w:rsidP="00444CF6">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MB Đà Nẵng cần xây dựng các gói vay có lãi suất linh hoạt phù hợp với chu kỳ kinh doanh của từng nhóm khách hàng sản xuất kinh doanh trên địa bàn. Đối với các ngành nghề có tính thời vụ hoặc giai đoạn kinh doanh thấp điểm, chi nhánh có thể áp dụng mức lãi suất ưu đãi thấp hơn thị trường khoảng 0,5% – 1% nhằm hỗ trợ khách hàng giảm áp lực tài chính và duy trì khả năng trả nợ đúng hạn. Để triển khai hiệu quả, cán bộ tín dụng cần chủ động khảo sát đặc điểm hoạt động của từng ngành nghề và xác định các giai đoạn doanh thu suy giảm để xây dựng chính sách lãi suất phù hợp. Giải pháp này không chỉ hỗ trợ khách hàng duy trì hoạt động kinh doanh mà còn góp phần hạn chế rủi ro nợ quá hạn trong hoạt động cho vay sản xuất kinh doanh đối với khách hàng cá nhân.</w:t>
      </w:r>
    </w:p>
    <w:p w14:paraId="3C3A3F4A" w14:textId="77777777" w:rsidR="00444CF6" w:rsidRPr="00A90E6A" w:rsidRDefault="00444CF6" w:rsidP="00444CF6">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Hiện nay, nhiều hộ kinh doanh nhỏ có nhu cầu sử dụng vốn thường xuyên với quy mô không lớn nhưng thời gian luân chuyển vốn nhanh. MB Đà Nẵng cần đề xuất hội sở xây dựng sản phẩm thấu chi chuyên biệt dành cho nhóm khách hàng này với hạn mức </w:t>
      </w:r>
      <w:r w:rsidRPr="00A90E6A">
        <w:rPr>
          <w:rFonts w:ascii="Times New Roman" w:hAnsi="Times New Roman" w:cs="Times New Roman"/>
          <w:color w:val="000000" w:themeColor="text1"/>
          <w:sz w:val="26"/>
          <w:szCs w:val="26"/>
          <w:lang w:val="vi-VN"/>
        </w:rPr>
        <w:lastRenderedPageBreak/>
        <w:t>từ 50 – 200 triệu đồng. Sản phẩm có thể được xét cấp dựa trên doanh thu thực tế qua tài khoản thanh toán hoặc giao dịch VietQR nhằm giảm phụ thuộc vào tài sản bảo đảm. Lãi vay được tính theo số tiền và thời gian sử dụng thực tế, giúp khách hàng chủ động hơn trong quá trình bổ sung vốn lưu động ngắn hạn. Việc triển khai sản phẩm này cũng góp phần khuyến khích khách hàng thực hiện giao dịch qua tài khoản MB, từ đó hỗ trợ ngân hàng theo dõi dòng tiền và đánh giá khả năng trả nợ hiệu quả hơn.</w:t>
      </w:r>
    </w:p>
    <w:p w14:paraId="219ACB2F" w14:textId="77777777" w:rsidR="00444CF6" w:rsidRPr="00A90E6A" w:rsidRDefault="00444CF6" w:rsidP="00444CF6">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Đối với nhóm khách hàng đang vay mua đầu tư TSCĐ, MB Đà Nẵng có thể triển khai sản phẩm cho vay bổ sung vốn lưu động dựa trên tài sản bảo đảm hiện hữu. Thông qua việc định giá lại tài sản hoặc căn cứ vào phần dư nợ gốc đã được thanh toán, ngân hàng có thể xem xét cấp thêm hạn mức tín dụng phục vụ hoạt động sản xuất kinh doanh mà không yêu cầu khách hàng thực hiện lại toàn bộ thủ tục bảo đảm tiền vay. Quy trình này giúp khách hàng tiếp cận nguồn vốn thuận lợi hơn, đồng thời giúp ngân hàng gia tăng dư nợ tín dụng trên cơ sở đã kiểm soát được tính pháp lý và giá trị của tài sản bảo đảm từ trước.</w:t>
      </w:r>
    </w:p>
    <w:p w14:paraId="3F4E02AE" w14:textId="60319EBB" w:rsidR="00980598" w:rsidRPr="00A90E6A" w:rsidRDefault="004C4643" w:rsidP="004C464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các khoản</w:t>
      </w:r>
      <w:r w:rsidR="00B31359" w:rsidRPr="00A90E6A">
        <w:rPr>
          <w:rFonts w:ascii="Times New Roman" w:hAnsi="Times New Roman" w:cs="Times New Roman"/>
          <w:color w:val="000000" w:themeColor="text1"/>
          <w:sz w:val="26"/>
          <w:szCs w:val="26"/>
          <w:lang w:val="vi-VN"/>
        </w:rPr>
        <w:t xml:space="preserve"> cho</w:t>
      </w:r>
      <w:r w:rsidRPr="00A90E6A">
        <w:rPr>
          <w:rFonts w:ascii="Times New Roman" w:hAnsi="Times New Roman" w:cs="Times New Roman"/>
          <w:color w:val="000000" w:themeColor="text1"/>
          <w:sz w:val="26"/>
          <w:szCs w:val="26"/>
          <w:lang w:val="vi-VN"/>
        </w:rPr>
        <w:t xml:space="preserve"> vay ngắn hạn bổ sung vốn lưu động, MB Đà Nẵng cần đẩy mạnh thu hút khách hàng</w:t>
      </w:r>
      <w:r w:rsidR="00FF4B61" w:rsidRPr="00A90E6A">
        <w:rPr>
          <w:rFonts w:ascii="Times New Roman" w:hAnsi="Times New Roman" w:cs="Times New Roman"/>
          <w:color w:val="000000" w:themeColor="text1"/>
          <w:sz w:val="26"/>
          <w:szCs w:val="26"/>
          <w:lang w:val="vi-VN"/>
        </w:rPr>
        <w:t xml:space="preserve"> nhu cầu</w:t>
      </w:r>
      <w:r w:rsidRPr="00A90E6A">
        <w:rPr>
          <w:rFonts w:ascii="Times New Roman" w:hAnsi="Times New Roman" w:cs="Times New Roman"/>
          <w:color w:val="000000" w:themeColor="text1"/>
          <w:sz w:val="26"/>
          <w:szCs w:val="26"/>
          <w:lang w:val="vi-VN"/>
        </w:rPr>
        <w:t xml:space="preserve"> vay</w:t>
      </w:r>
      <w:r w:rsidR="00FF4B61" w:rsidRPr="00A90E6A">
        <w:rPr>
          <w:rFonts w:ascii="Times New Roman" w:hAnsi="Times New Roman" w:cs="Times New Roman"/>
          <w:color w:val="000000" w:themeColor="text1"/>
          <w:sz w:val="26"/>
          <w:szCs w:val="26"/>
          <w:lang w:val="vi-VN"/>
        </w:rPr>
        <w:t xml:space="preserve"> vốn</w:t>
      </w:r>
      <w:r w:rsidRPr="00A90E6A">
        <w:rPr>
          <w:rFonts w:ascii="Times New Roman" w:hAnsi="Times New Roman" w:cs="Times New Roman"/>
          <w:color w:val="000000" w:themeColor="text1"/>
          <w:sz w:val="26"/>
          <w:szCs w:val="26"/>
          <w:lang w:val="vi-VN"/>
        </w:rPr>
        <w:t xml:space="preserve"> trung và dài hạn phục vụ đầu tư và mở rộng hoạt động SXKD. Chi nhánh cần tăng cường tư vấn các gói vay phù hợp với nhu cầu đầu tư máy móc thiết bị, mở rộng mặt bằng kinh doanh và đầu tư tài sản cố định của khách hàng.Việc đẩy mạnh thu hút khách hàng sử dụng các sản phẩm cho vay trung và dài hạn không chỉ góp phần đa dạng hóa cơ cấu tín dụng mà còn nâng cao khả năng sinh lời và tính ổn định trong hoạt động cho vay SXKD đối với KHCN tại MB Đà Nẵng.</w:t>
      </w:r>
    </w:p>
    <w:p w14:paraId="3C822C04" w14:textId="1A664AC3" w:rsidR="00552319" w:rsidRPr="00A90E6A" w:rsidRDefault="00552319" w:rsidP="001B292A">
      <w:pPr>
        <w:pStyle w:val="Heading3"/>
        <w:tabs>
          <w:tab w:val="left" w:pos="1276"/>
        </w:tabs>
        <w:rPr>
          <w:i w:val="0"/>
          <w:iCs w:val="0"/>
          <w:color w:val="000000" w:themeColor="text1"/>
          <w:lang w:val="vi-VN"/>
        </w:rPr>
      </w:pPr>
      <w:bookmarkStart w:id="72" w:name="_Toc230962407"/>
      <w:r w:rsidRPr="00A90E6A">
        <w:rPr>
          <w:i w:val="0"/>
          <w:iCs w:val="0"/>
          <w:color w:val="000000" w:themeColor="text1"/>
          <w:lang w:val="vi-VN"/>
        </w:rPr>
        <w:t>3.2.</w:t>
      </w:r>
      <w:r w:rsidR="006F4288" w:rsidRPr="00A90E6A">
        <w:rPr>
          <w:i w:val="0"/>
          <w:iCs w:val="0"/>
          <w:color w:val="000000" w:themeColor="text1"/>
          <w:lang w:val="vi-VN"/>
        </w:rPr>
        <w:t>5</w:t>
      </w:r>
      <w:r w:rsidRPr="00A90E6A">
        <w:rPr>
          <w:i w:val="0"/>
          <w:iCs w:val="0"/>
          <w:color w:val="000000" w:themeColor="text1"/>
          <w:lang w:val="vi-VN"/>
        </w:rPr>
        <w:t xml:space="preserve"> </w:t>
      </w:r>
      <w:r w:rsidR="001B292A">
        <w:rPr>
          <w:i w:val="0"/>
          <w:iCs w:val="0"/>
          <w:color w:val="000000" w:themeColor="text1"/>
        </w:rPr>
        <w:tab/>
      </w:r>
      <w:r w:rsidRPr="00A90E6A">
        <w:rPr>
          <w:i w:val="0"/>
          <w:iCs w:val="0"/>
          <w:color w:val="000000" w:themeColor="text1"/>
          <w:lang w:val="vi-VN"/>
        </w:rPr>
        <w:t xml:space="preserve">Nâng cao chất lượng đội ngũ cán bộ tín </w:t>
      </w:r>
      <w:r w:rsidR="00A03CAB" w:rsidRPr="00A90E6A">
        <w:rPr>
          <w:i w:val="0"/>
          <w:iCs w:val="0"/>
          <w:color w:val="000000" w:themeColor="text1"/>
          <w:lang w:val="vi-VN"/>
        </w:rPr>
        <w:t>dụng.</w:t>
      </w:r>
      <w:bookmarkEnd w:id="72"/>
    </w:p>
    <w:p w14:paraId="3B6794FC" w14:textId="411BC797" w:rsidR="005D5DBF" w:rsidRPr="00A90E6A" w:rsidRDefault="00552319"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MB Đà Nẵng cần chú trọng nâng cao trình độ chuyên môn và kỹ năng nghiệp vụ cho cán bộ nhân viên nhằm nâng cao chất lượng hoạt động tín dụng.</w:t>
      </w:r>
    </w:p>
    <w:p w14:paraId="0A4C8EA8" w14:textId="63334646" w:rsidR="005D5DBF" w:rsidRPr="00A90E6A" w:rsidRDefault="005D5DBF"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Trước hết, chi nhánh cần nâng cao chất lượng tuyển dụng và bố trí nhân sự phù hợp với năng lực chuyên môn. Đối với cán bộ phụ trách cho vay SXKD đối với KHCN, MB Đà Nẵng nên ưu tiên nhân sự có nền tảng tài chính – ngân hàng, kế toán hoặc có kinh nghiệm thực tế trong lĩnh vực tín dụng bán lẻ. Đồng thời, cần hạn chế tình trạng cán bộ thiếu kinh nghiệm quản lý các khoản vay có quy mô lớn hoặc khách hàng có mức độ rủi ro cao nhằm giảm thiểu sai sót trong quá trình thẩm định và quản lý khoản vay.</w:t>
      </w:r>
    </w:p>
    <w:p w14:paraId="2281BD02" w14:textId="3DE05BEC" w:rsidR="005D5DBF" w:rsidRPr="00A90E6A" w:rsidRDefault="005D5DBF"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Tiếp theo, ngân hàng cần tổ chức các khóa đào tạo chuyên sâu về kiến thức tài chính, sản phẩm tín dụng và kỹ năng thẩm định khách hàng SXKD. Nội dung đào tạo </w:t>
      </w:r>
      <w:r w:rsidRPr="00A90E6A">
        <w:rPr>
          <w:rFonts w:ascii="Times New Roman" w:hAnsi="Times New Roman" w:cs="Times New Roman"/>
          <w:color w:val="000000" w:themeColor="text1"/>
          <w:sz w:val="26"/>
          <w:szCs w:val="26"/>
          <w:lang w:val="vi-VN"/>
        </w:rPr>
        <w:lastRenderedPageBreak/>
        <w:t>cần tập trung vào phân tích dòng tiền, đánh giá phương án SXKD, kiểm tra mục đích sử dụng vốn và nhận diện rủi ro tín dụng. MB Đà Nẵng có thể sử dụng các hồ sơ vay vốn thực tế tại chi nhánh để xây dựng tình huống đào tạo nhằm giúp cán bộ tín dụng nâng cao khả năng xử lý hồ sơ và tích lũy kinh nghiệm thực tiễn.</w:t>
      </w:r>
    </w:p>
    <w:p w14:paraId="663CAA40" w14:textId="77777777" w:rsidR="005D5DBF" w:rsidRPr="00A90E6A" w:rsidRDefault="005D5DBF"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chuyên môn nghiệp vụ, chi nhánh cần chú trọng đào tạo kỹ năng giao tiếp, tư vấn và chăm sóc khách hàng. Cán bộ tín dụng cần chủ động khai thác thông tin, giải thích rõ điều kiện vay vốn, lãi suất và quy trình thực hiện nhằm tạo sự tin cậy và nâng cao mức độ hài lòng của khách hàng. Việc tổ chức các buổi xử lý tình huống thực tế cũng sẽ giúp cán bộ tín dụng nâng cao khả năng xử lý các vấn đề phát sinh trong quá trình quản lý khoản vay.</w:t>
      </w:r>
    </w:p>
    <w:p w14:paraId="4D958C74" w14:textId="7B60711D" w:rsidR="005D5DBF" w:rsidRPr="00A90E6A" w:rsidRDefault="005D5DBF"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Không chỉ dừng lại ở kỹ năng nghiệp vụ, MB Đà Nẵng cần tăng cường đào tạo kỹ năng ứng dụng công nghệ số và khai thác dữ liệu khách hàng trên App MB, VietQR và hệ thống quản lý dòng tiền nhằm hỗ trợ công tác thẩm định và quản lý tín dụng hiệu quả hơn. Việc sử dụng dữ liệu giao dịch thực tế sẽ giúp cán bộ tín dụng đánh giá khách hàng chính xác hơn, giảm sự phụ thuộc vào cảm tính và nâng cao khả năng kiểm soát rủi ro trong hoạt động cho vay SXKD đối với KHCN.</w:t>
      </w:r>
    </w:p>
    <w:p w14:paraId="1D817EF1" w14:textId="13580858" w:rsidR="00980598" w:rsidRPr="00A90E6A" w:rsidRDefault="005D5DBF" w:rsidP="00A27F53">
      <w:pPr>
        <w:spacing w:after="0" w:line="360" w:lineRule="auto"/>
        <w:ind w:firstLine="567"/>
        <w:jc w:val="both"/>
        <w:rPr>
          <w:rFonts w:ascii="Times New Roman" w:hAnsi="Times New Roman" w:cs="Times New Roman"/>
          <w:b/>
          <w:bCs/>
          <w:color w:val="000000" w:themeColor="text1"/>
          <w:sz w:val="26"/>
          <w:szCs w:val="26"/>
          <w:lang w:val="vi-VN"/>
        </w:rPr>
      </w:pPr>
      <w:r w:rsidRPr="00A90E6A">
        <w:rPr>
          <w:rFonts w:ascii="Times New Roman" w:hAnsi="Times New Roman" w:cs="Times New Roman"/>
          <w:color w:val="000000" w:themeColor="text1"/>
          <w:sz w:val="26"/>
          <w:szCs w:val="26"/>
          <w:lang w:val="vi-VN"/>
        </w:rPr>
        <w:t xml:space="preserve">Cuối cùng, chi nhánh cần xây dựng cơ chế đánh giá hiệu quả làm việc gắn với chất lượng tín dụng thay vì chỉ tập trung vào tăng trưởng dư nợ. Việc đánh giá cần dựa trên các tiêu chí như chất lượng thẩm định, tỷ lệ nợ xấu, khả năng quản lý khoản vay và mức độ hài lòng của khách hàng. Đồng thời, MB Đà Nẵng cần có chính sách khen thưởng và lộ trình phát triển nghề nghiệp phù hợp nhằm tạo động lực làm việc, giữ chân cán bộ có năng lực và nâng cao chất lượng đội ngũ tín dụng trong dài hạn. </w:t>
      </w:r>
      <w:r w:rsidR="00A27F53" w:rsidRPr="00A90E6A">
        <w:rPr>
          <w:rFonts w:ascii="Times New Roman" w:hAnsi="Times New Roman" w:cs="Times New Roman"/>
          <w:b/>
          <w:bCs/>
          <w:color w:val="000000" w:themeColor="text1"/>
          <w:sz w:val="26"/>
          <w:szCs w:val="26"/>
          <w:lang w:val="vi-VN"/>
        </w:rPr>
        <w:t xml:space="preserve">  </w:t>
      </w:r>
    </w:p>
    <w:p w14:paraId="293B6ADA" w14:textId="430F6734" w:rsidR="00BD243B" w:rsidRPr="00A90E6A" w:rsidRDefault="00A27F53" w:rsidP="001B292A">
      <w:pPr>
        <w:pStyle w:val="Heading2"/>
        <w:tabs>
          <w:tab w:val="left" w:pos="993"/>
        </w:tabs>
        <w:ind w:firstLine="567"/>
        <w:rPr>
          <w:color w:val="000000" w:themeColor="text1"/>
          <w:lang w:val="vi-VN"/>
        </w:rPr>
      </w:pPr>
      <w:bookmarkStart w:id="73" w:name="_Toc230962408"/>
      <w:r w:rsidRPr="00A90E6A">
        <w:rPr>
          <w:color w:val="000000" w:themeColor="text1"/>
          <w:lang w:val="vi-VN"/>
        </w:rPr>
        <w:t xml:space="preserve">3.3 </w:t>
      </w:r>
      <w:r w:rsidR="001B292A">
        <w:rPr>
          <w:color w:val="000000" w:themeColor="text1"/>
        </w:rPr>
        <w:tab/>
      </w:r>
      <w:r w:rsidRPr="00A90E6A">
        <w:rPr>
          <w:color w:val="000000" w:themeColor="text1"/>
          <w:lang w:val="vi-VN"/>
        </w:rPr>
        <w:t xml:space="preserve">Một số kiến </w:t>
      </w:r>
      <w:r w:rsidR="00A03CAB" w:rsidRPr="00A90E6A">
        <w:rPr>
          <w:color w:val="000000" w:themeColor="text1"/>
          <w:lang w:val="vi-VN"/>
        </w:rPr>
        <w:t>nghị</w:t>
      </w:r>
      <w:r w:rsidR="00BD243B" w:rsidRPr="00A90E6A">
        <w:rPr>
          <w:color w:val="000000" w:themeColor="text1"/>
          <w:lang w:val="vi-VN"/>
        </w:rPr>
        <w:t xml:space="preserve"> nhằm nâng cao hiệu quả cho vay SXKD đối với KHCN</w:t>
      </w:r>
      <w:bookmarkEnd w:id="73"/>
    </w:p>
    <w:p w14:paraId="36CEE8C1" w14:textId="4CC3905B" w:rsidR="00CA1D40" w:rsidRPr="00A90E6A" w:rsidRDefault="00A27F53" w:rsidP="001B292A">
      <w:pPr>
        <w:pStyle w:val="Heading3"/>
        <w:tabs>
          <w:tab w:val="left" w:pos="1276"/>
        </w:tabs>
        <w:rPr>
          <w:i w:val="0"/>
          <w:iCs w:val="0"/>
          <w:color w:val="000000" w:themeColor="text1"/>
          <w:lang w:val="vi-VN"/>
        </w:rPr>
      </w:pPr>
      <w:bookmarkStart w:id="74" w:name="_Toc230962409"/>
      <w:r w:rsidRPr="00A90E6A">
        <w:rPr>
          <w:i w:val="0"/>
          <w:iCs w:val="0"/>
          <w:color w:val="000000" w:themeColor="text1"/>
          <w:lang w:val="vi-VN"/>
        </w:rPr>
        <w:t xml:space="preserve">3.3.1 </w:t>
      </w:r>
      <w:r w:rsidR="001B292A">
        <w:rPr>
          <w:i w:val="0"/>
          <w:iCs w:val="0"/>
          <w:color w:val="000000" w:themeColor="text1"/>
        </w:rPr>
        <w:tab/>
      </w:r>
      <w:r w:rsidRPr="00A90E6A">
        <w:rPr>
          <w:i w:val="0"/>
          <w:iCs w:val="0"/>
          <w:color w:val="000000" w:themeColor="text1"/>
          <w:lang w:val="vi-VN"/>
        </w:rPr>
        <w:t xml:space="preserve">Kiến nghị đối với NHNN Việt </w:t>
      </w:r>
      <w:r w:rsidR="00A03CAB" w:rsidRPr="00A90E6A">
        <w:rPr>
          <w:i w:val="0"/>
          <w:iCs w:val="0"/>
          <w:color w:val="000000" w:themeColor="text1"/>
          <w:lang w:val="vi-VN"/>
        </w:rPr>
        <w:t>Nam.</w:t>
      </w:r>
      <w:bookmarkEnd w:id="74"/>
    </w:p>
    <w:p w14:paraId="55F0E2FB" w14:textId="77777777" w:rsidR="00A27F53" w:rsidRPr="00A90E6A" w:rsidRDefault="00A27F53"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Để hiện thực hóa mục tiêu chiến lược đến năm 2030 và hỗ trợ các NHTM nói chung, cũng như hệ thống NH MB nói riêng trong việc khơi thông dòng vốn tín dụng, NHNN cần tiếp tục hoàn thiện cơ chế điều hành và chính sách tín dụng nhằm tạo điều kiện thuận lợi cho hoạt động cho vay SXKD đối với KHCN theo hướng an toàn và bền vững.</w:t>
      </w:r>
    </w:p>
    <w:p w14:paraId="15408DE1" w14:textId="77777777" w:rsidR="00A27F53" w:rsidRPr="00A90E6A" w:rsidRDefault="00A27F53"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Trước hết, NHNN cần tiếp tục hoàn thiện hành lang pháp lý và cơ chế chính sách tín dụng theo hướng đơn giản hóa thủ tục cho vay nhưng vẫn đảm bảo an toàn tín dụng. Cần hoàn thiện cơ sở pháp lý đối với hoạt động cấp tín dụng trực tuyến, e-KYC và phê </w:t>
      </w:r>
      <w:r w:rsidRPr="00A90E6A">
        <w:rPr>
          <w:rFonts w:ascii="Times New Roman" w:hAnsi="Times New Roman" w:cs="Times New Roman"/>
          <w:color w:val="000000" w:themeColor="text1"/>
          <w:sz w:val="26"/>
          <w:szCs w:val="26"/>
          <w:lang w:val="vi-VN"/>
        </w:rPr>
        <w:lastRenderedPageBreak/>
        <w:t>duyệt tự động nhằm tạo điều kiện cho các NHTM đẩy mạnh số hóa quy trình cho vay và nâng cao khả năng tiếp cận vốn của KHCN. NHNN cũng cần đảm bảo tính đồng bộ giữa Luật Các tổ chức tín dụng và các quy định pháp luật liên quan nhằm hạn chế các vướng mắc trong quá trình thẩm định TSĐB và xử lý nợ xấu.</w:t>
      </w:r>
    </w:p>
    <w:p w14:paraId="688FAA48" w14:textId="77777777" w:rsidR="00A27F53" w:rsidRPr="00A90E6A" w:rsidRDefault="00A27F53"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việc hoàn thiện cơ chế chính sách, NHNN cần tăng cường triển khai các chính sách hỗ trợ tín dụng đối với KHCN SXKD. Đối với nhóm khách hàng có phương án kinh doanh khả thi nhưng gặp khó khăn về TSĐB, NHNN có thể phối hợp với Chính phủ và các địa phương nâng cao hiệu quả hoạt động của quỹ bảo lãnh tín dụng nhằm hỗ trợ các NHTM mở rộng cho vay.</w:t>
      </w:r>
    </w:p>
    <w:p w14:paraId="6A84792D" w14:textId="77777777" w:rsidR="00A27F53" w:rsidRPr="00A90E6A" w:rsidRDefault="00A27F53" w:rsidP="00A27F53">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ra, NHNN cần tăng cường vai trò điều hành và giám sát hoạt động tín dụng theo hướng linh hoạt và phù hợp với năng lực quản trị rủi ro của từng ngân hàng. Việc xem xét cấp hạn mức tăng trưởng tín dụng cần gắn với chất lượng tín dụng và khả năng kiểm soát rủi ro thực tế của các NHTM. NHNN cần nâng cao khả năng chia sẻ dữ liệu tín dụng thông qua CIC nhằm hỗ trợ các ngân hàng nâng cao hiệu quả thẩm định và hạn chế tình trạng khách hàng vay vốn tại nhiều tổ chức tín dụng.</w:t>
      </w:r>
    </w:p>
    <w:p w14:paraId="6F98735B" w14:textId="77777777" w:rsidR="00980598" w:rsidRPr="00A90E6A" w:rsidRDefault="00A27F53" w:rsidP="00980598">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Cuối cùng, NHNN cần tiếp tục thúc đẩy phát triển thanh toán không dùng tiền mặt và hoàn thiện hạ tầng thanh toán số nhằm hỗ trợ các NHTM nâng cao khả năng quản lý dòng tiền của khách hàng SXKD. Việc mở rộng thanh toán qua VietQR và ngân hàng số sẽ góp phần nâng cao tính minh bạch trong hoạt động kinh doanh của khách hàng, tạo điều kiện thuận lợi cho ngân hàng trong quá trình đánh giá khả năng tài chính và khả năng trả nợ của khách hàng.</w:t>
      </w:r>
    </w:p>
    <w:p w14:paraId="4D368C6B" w14:textId="0585D824" w:rsidR="00CA1D40" w:rsidRPr="00A90E6A" w:rsidRDefault="00CA1D40" w:rsidP="001B292A">
      <w:pPr>
        <w:pStyle w:val="Heading3"/>
        <w:tabs>
          <w:tab w:val="left" w:pos="1276"/>
        </w:tabs>
        <w:rPr>
          <w:i w:val="0"/>
          <w:iCs w:val="0"/>
          <w:color w:val="000000" w:themeColor="text1"/>
          <w:lang w:val="vi-VN"/>
        </w:rPr>
      </w:pPr>
      <w:bookmarkStart w:id="75" w:name="_Toc230962410"/>
      <w:r w:rsidRPr="00A90E6A">
        <w:rPr>
          <w:i w:val="0"/>
          <w:iCs w:val="0"/>
          <w:color w:val="000000" w:themeColor="text1"/>
          <w:lang w:val="vi-VN"/>
        </w:rPr>
        <w:t xml:space="preserve">3.3.2 </w:t>
      </w:r>
      <w:r w:rsidR="001B292A">
        <w:rPr>
          <w:i w:val="0"/>
          <w:iCs w:val="0"/>
          <w:color w:val="000000" w:themeColor="text1"/>
        </w:rPr>
        <w:tab/>
      </w:r>
      <w:r w:rsidRPr="00A90E6A">
        <w:rPr>
          <w:i w:val="0"/>
          <w:iCs w:val="0"/>
          <w:color w:val="000000" w:themeColor="text1"/>
          <w:lang w:val="vi-VN"/>
        </w:rPr>
        <w:t xml:space="preserve">Kiến nghị đối với Ngân hàng TMCP Quân </w:t>
      </w:r>
      <w:r w:rsidR="00A03CAB" w:rsidRPr="00A90E6A">
        <w:rPr>
          <w:i w:val="0"/>
          <w:iCs w:val="0"/>
          <w:color w:val="000000" w:themeColor="text1"/>
          <w:lang w:val="vi-VN"/>
        </w:rPr>
        <w:t>đội.</w:t>
      </w:r>
      <w:bookmarkEnd w:id="75"/>
    </w:p>
    <w:p w14:paraId="40B5D5B7" w14:textId="3678D4BD" w:rsidR="00CA1D40" w:rsidRPr="00A90E6A" w:rsidRDefault="00CA1D40" w:rsidP="00001FC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Để nâng cao hiệu quả hoạt động cho vay SXKD đối với KHCN, đồng thời duy trì và phát triển quy mô dư nợ một cách bền vững, MB cần triển khai các giải pháp cụ thể sau:</w:t>
      </w:r>
    </w:p>
    <w:p w14:paraId="1AD49617" w14:textId="1E988B47" w:rsidR="00CA1D40" w:rsidRPr="00A90E6A" w:rsidRDefault="00CA1D40" w:rsidP="00001FC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Thứ nhất, MB cần tiếp tục cải tiến, đổi mới công nghệ và đa dạng hóa danh mục sản phẩm tín dụng. Trong kỷ nguyên số, việc đơn giản hóa quy trình là yếu tố sống còn để cạnh tranh. Ngân hàng cần đẩy mạnh tính năng phê duyệt tự động trên App MB đối với các khoản</w:t>
      </w:r>
      <w:r w:rsidR="00B9784C" w:rsidRPr="00A90E6A">
        <w:rPr>
          <w:rFonts w:ascii="Times New Roman" w:hAnsi="Times New Roman" w:cs="Times New Roman"/>
          <w:color w:val="000000" w:themeColor="text1"/>
          <w:sz w:val="26"/>
          <w:szCs w:val="26"/>
          <w:lang w:val="vi-VN"/>
        </w:rPr>
        <w:t xml:space="preserve"> cho</w:t>
      </w:r>
      <w:r w:rsidRPr="00A90E6A">
        <w:rPr>
          <w:rFonts w:ascii="Times New Roman" w:hAnsi="Times New Roman" w:cs="Times New Roman"/>
          <w:color w:val="000000" w:themeColor="text1"/>
          <w:sz w:val="26"/>
          <w:szCs w:val="26"/>
          <w:lang w:val="vi-VN"/>
        </w:rPr>
        <w:t xml:space="preserve"> vay SXKD có hạn mức nhỏ dựa trên dòng tiền giao dịch VietQR. Việc xây dựng các gói vay linh hoạt, đi kèm lãi suất cạnh tranh sẽ giúp thu hút thêm nhiều KH tiềm năng. Ngoài ra, cần rút ngắn thời gian xét duyệt hồ sơ xuống dưới 24 giờ để đáp ứng kịp thời nhu cầu vốn luân chuyển nhanh của các hộ kinh doanh cá thể.</w:t>
      </w:r>
    </w:p>
    <w:p w14:paraId="688EA434" w14:textId="2A47753D" w:rsidR="00CA1D40" w:rsidRPr="00A90E6A" w:rsidRDefault="00CA1D40" w:rsidP="00001FC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lastRenderedPageBreak/>
        <w:t>Thứ hai, MB cần chú trọng công tác đào tạo, nâng cao năng lực chuyên môn và đạo đức nghề nghiệp của đội ngũ nhân viên. Đội ngũ chuyên viên tín dụng tại MB Đà Nẵng cần được trang bị kiến thức chuyên sâu về phân tích tài chính hộ kinh doanh và kỹ năng thẩm định thực tế tại thị trường. Nhân viên không chỉ đóng vai trò là người bán hàng mà phải là chuyên gia tư vấn, hỗ trợ khách hàng lập kế hoạch sử dụng vốn vay hiệu quả. Việc thấu hiểu đặc thù kinh doanh tại địa bàn (như vận tải, bán lẻ, dịch vụ) sẽ giúp nhân viên nhận diện sớm các dấu hiệu rủi ro, từ đó tư vấn cho khách hàng các biện pháp cơ cấu nợ kịp thời, tránh tình trạng nợ trượt nhóm từ Nhóm 2 xuống các nhóm nợ xấu.</w:t>
      </w:r>
    </w:p>
    <w:p w14:paraId="433E5367" w14:textId="12696B99" w:rsidR="00CA1D40" w:rsidRPr="00A90E6A" w:rsidRDefault="00CA1D40" w:rsidP="00001FC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Thứ ba, MB cần tăng cường hệ thống quản trị rủi ro tín dụng và ứng dụng dữ liệu lớn (Big Data). Với tỷ lệ nợ xấu hiện tại, ngân hàng cần tiếp tục duy trì các biện pháp thẩm định kỹ lưỡng đầu vào. Cần xây dựng hệ thống cảnh báo sớm rủi ro dựa trên biến động dòng tiền thực tế của khách hàng qua tài khoản thanh toán. Việc giám sát chặt chẽ mục đích sử dụng vốn thông qua kiểm tra sau vay định kỳ sẽ giúp giảm thiểu rủi ro chệch hướng mục đích vay. Đồng thời, đối với các khoản nợ Nhóm 2, ngân hàng cần chủ động phối hợp với khách hàng để tìm ra nguyên nhân chậm thanh toán, từ đó có giải pháp hỗ trợ cơ cấu lại thời hạn trả nợ phù hợp với chu kỳ kinh doanh thực tế của họ.</w:t>
      </w:r>
    </w:p>
    <w:p w14:paraId="28953417" w14:textId="0B6A787D" w:rsidR="00BD243B" w:rsidRPr="00A90E6A" w:rsidRDefault="00CA1D40" w:rsidP="00001FCE">
      <w:pPr>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Cuối cùng, đẩy mạnh chiến lược "Ngân hàng số" gắn liền với hệ sinh thái khách hàng địa phương. Ngân hàng nên tiếp tục đầu tư vào hạ tầng thanh toán tại các tuyến phố kinh doanh trọng điểm trên địa bàn. Việc phủ sóng VietQR không chỉ giúp tăng nguồn tiền gửi không kỳ hạn - CASA mà còn giúp ngân hàng kiểm soát tình hình tài chính của khách hàng một cách minh bạch nhất. Đây chính là nền tảng để MB hiện thực hóa mục tiêu tăng trưởng tín dụng đi đôi với an toàn hệ thống đến năm 2030.</w:t>
      </w:r>
    </w:p>
    <w:p w14:paraId="0E9D1128" w14:textId="77777777" w:rsidR="00BD243B" w:rsidRPr="00A90E6A" w:rsidRDefault="00BD243B">
      <w:pPr>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br w:type="page"/>
      </w:r>
    </w:p>
    <w:p w14:paraId="1034C9ED" w14:textId="3A63FAB1" w:rsidR="003472EE" w:rsidRPr="00A90E6A" w:rsidRDefault="003472EE" w:rsidP="00CA1D40">
      <w:pPr>
        <w:pStyle w:val="Heading1"/>
        <w:rPr>
          <w:b w:val="0"/>
          <w:bCs w:val="0"/>
          <w:color w:val="000000" w:themeColor="text1"/>
          <w:lang w:val="vi-VN"/>
        </w:rPr>
      </w:pPr>
      <w:bookmarkStart w:id="76" w:name="_Toc230962411"/>
      <w:r w:rsidRPr="00A90E6A">
        <w:rPr>
          <w:color w:val="000000" w:themeColor="text1"/>
          <w:lang w:val="vi-VN"/>
        </w:rPr>
        <w:lastRenderedPageBreak/>
        <w:t>TÓM TẮT CHƯƠNG 3</w:t>
      </w:r>
      <w:bookmarkEnd w:id="76"/>
    </w:p>
    <w:p w14:paraId="6785D92D" w14:textId="77777777" w:rsidR="003F6066" w:rsidRPr="00A90E6A" w:rsidRDefault="003F6066" w:rsidP="003F606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Dựa trên định hướng phát triển của Ngân hàng TMCP Quân đội và kết quả phân tích thực trạng hiệu quả hoạt động cho vay sản xuất kinh doanh đối với khách hàng cá nhân tại MB Đà Nẵng giai đoạn 2023–2025, chương 3 đã đề xuất một số giải pháp nhằm nâng cao hiệu quả hoạt động cho vay SXKD đối với KHCN tại chi nhánh trong thời gian tới. MB Đà Nẵng định hướng phát triển hoạt động cho vay theo hướng tăng trưởng tín dụng an toàn, nâng cao chất lượng cho vay, mở rộng khách hàng cá nhân và tăng khả năng cạnh tranh trên thị trường.</w:t>
      </w:r>
    </w:p>
    <w:p w14:paraId="14E96FD0" w14:textId="7BB3B9F3" w:rsidR="003F6066" w:rsidRPr="00A90E6A" w:rsidRDefault="003F6066" w:rsidP="003F606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Cụ thể, chương 3 tập trung đề xuất giải pháp nâng cao hiệu quả công tác thẩm định và quản lý khoản vay thông qua việc tăng cường đánh giá năng lực tài chính, phương án sản xuất kinh doanh và khả năng trả nợ của khách hàng; chú trọng kiểm tra mục đích sử dụng vốn và giám sát sau cho vay nhằm hạn chế rủi ro tín dụng và phát sinh nợ xấu. Khóa luận cũng đề xuất hoàn thiện quy trình tín dụng và chính sách xét duyệt theo hướng hợp lý hơn, góp phần rút ngắn thời gian xử lý hồ sơ nhưng vẫn đảm bảo an toàn trong hoạt động cho vay.</w:t>
      </w:r>
    </w:p>
    <w:p w14:paraId="5A733795" w14:textId="77777777" w:rsidR="003F6066" w:rsidRPr="00A90E6A" w:rsidRDefault="003F6066" w:rsidP="003F606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Ngoài ra, chương 3 đề cập đến việc đẩy mạnh hoạt động tiếp thị, thu hút và chăm sóc khách hàng nhằm mở rộng tệp khách hàng sản xuất kinh doanh cá nhân; tăng cường khai thác khách hàng tiềm năng và nâng cao chất lượng dịch vụ tại chi nhánh. Việc đa dạng hóa sản phẩm cho vay SXKD đối với KHCN được xem là giải pháp cần thiết nhằm đáp ứng tốt hơn nhu cầu vốn của khách hàng và nâng cao khả năng cạnh tranh của MB Đà Nẵng. Khóa luận cũng nhấn mạnh việc nâng cao trình độ chuyên môn, kỹ năng thẩm định, kỹ năng quản lý khách hàng và tinh thần trách nhiệm của đội ngũ cán bộ tín dụng nhằm nâng cao chất lượng hoạt động cho vay tại chi nhánh.</w:t>
      </w:r>
    </w:p>
    <w:p w14:paraId="112831BD" w14:textId="77777777" w:rsidR="003F6066" w:rsidRPr="00A90E6A" w:rsidRDefault="003F6066" w:rsidP="003F6066">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Cuối cùng, khóa luận đã đưa ra một số kiến nghị đối với Ngân hàng Nhà nước Việt Nam và Ngân hàng TMCP Quân đội nhằm tạo điều kiện thuận lợi cho hoạt động cho vay SXKD đối với KHCN phát triển ổn định, an toàn và hiệu quả hơn trong thời gian tới. Các giải pháp và kiến nghị được đề xuất đều xuất phát từ thực trạng hoạt động cho vay SXKD đối với KHCN tại MB Đà Nẵng và phù hợp với định hướng phát triển của chi nhánh trong giai đoạn hiện nay.</w:t>
      </w:r>
    </w:p>
    <w:p w14:paraId="69E48EC4" w14:textId="77777777" w:rsidR="003F6066" w:rsidRPr="00A90E6A" w:rsidRDefault="003F6066" w:rsidP="00E743DC">
      <w:pPr>
        <w:tabs>
          <w:tab w:val="left" w:pos="6210"/>
        </w:tabs>
        <w:spacing w:after="0" w:line="360" w:lineRule="auto"/>
        <w:ind w:firstLine="567"/>
        <w:jc w:val="both"/>
        <w:rPr>
          <w:rFonts w:ascii="Times New Roman" w:hAnsi="Times New Roman" w:cs="Times New Roman"/>
          <w:color w:val="000000" w:themeColor="text1"/>
          <w:sz w:val="26"/>
          <w:szCs w:val="26"/>
          <w:lang w:val="vi-VN"/>
        </w:rPr>
      </w:pPr>
    </w:p>
    <w:p w14:paraId="783293A5" w14:textId="77777777" w:rsidR="00D95A03" w:rsidRPr="00A90E6A" w:rsidRDefault="00D95A03">
      <w:pPr>
        <w:rPr>
          <w:rFonts w:ascii="Times New Roman" w:hAnsi="Times New Roman" w:cs="Times New Roman"/>
          <w:b/>
          <w:bCs/>
          <w:color w:val="000000" w:themeColor="text1"/>
          <w:sz w:val="26"/>
          <w:szCs w:val="26"/>
          <w:lang w:val="vi-VN"/>
        </w:rPr>
      </w:pPr>
      <w:r w:rsidRPr="00A90E6A">
        <w:rPr>
          <w:rFonts w:ascii="Times New Roman" w:hAnsi="Times New Roman" w:cs="Times New Roman"/>
          <w:color w:val="000000" w:themeColor="text1"/>
          <w:sz w:val="26"/>
          <w:szCs w:val="26"/>
          <w:lang w:val="vi-VN"/>
        </w:rPr>
        <w:br w:type="page"/>
      </w:r>
    </w:p>
    <w:p w14:paraId="54333801" w14:textId="21453C9A" w:rsidR="003472EE" w:rsidRPr="00A90E6A" w:rsidRDefault="003472EE" w:rsidP="00020590">
      <w:pPr>
        <w:pStyle w:val="Heading1"/>
        <w:rPr>
          <w:b w:val="0"/>
          <w:bCs w:val="0"/>
          <w:color w:val="000000" w:themeColor="text1"/>
          <w:lang w:val="vi-VN"/>
        </w:rPr>
      </w:pPr>
      <w:bookmarkStart w:id="77" w:name="_Toc230962412"/>
      <w:r w:rsidRPr="00A90E6A">
        <w:rPr>
          <w:color w:val="000000" w:themeColor="text1"/>
          <w:lang w:val="vi-VN"/>
        </w:rPr>
        <w:lastRenderedPageBreak/>
        <w:t>KẾT LUẬN</w:t>
      </w:r>
      <w:bookmarkEnd w:id="77"/>
    </w:p>
    <w:p w14:paraId="15C13F3C" w14:textId="77777777" w:rsidR="00220F32" w:rsidRPr="00A90E6A" w:rsidRDefault="00220F32" w:rsidP="00220F3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bối cảnh nền kinh tế còn nhiều biến động và nhu cầu vốn phục vụ hoạt động sản xuất kinh doanh ngày càng gia tăng, hoạt động cho vay SXKD đối với khách hàng cá nhân giữ vai trò quan trọng trong việc hỗ trợ hộ kinh doanh duy trì hoạt động, mở rộng quy mô kinh doanh và thúc đẩy phát triển kinh tế địa phương. Đối với Ngân hàng TMCP Quân đội – Chi nhánh Đà Nẵng, đây không chỉ là hoạt động mang lại nguồn thu quan trọng mà còn góp phần nâng cao năng lực cạnh tranh và mở rộng thị phần tín dụng bán lẻ trên địa bàn.</w:t>
      </w:r>
    </w:p>
    <w:p w14:paraId="31A39A91" w14:textId="77777777" w:rsidR="00220F32" w:rsidRPr="00A90E6A" w:rsidRDefault="00220F32" w:rsidP="00220F3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Thông qua quá trình nghiên cứu và phân tích thực trạng hoạt động cho vay SXKD đối với KHCN tại MB Đà Nẵng giai đoạn 2023–2025, có thể nhận thấy hoạt động tín dụng của chi nhánh đã đạt được nhiều kết quả tích cực như dư nợ cho vay tăng trưởng khá ổn định, số lượng khách hàng vay vốn ngày càng mở rộng và tỷ lệ nợ xấu vẫn được kiểm soát ở mức an toàn. Tuy nhiên, hoạt động cho vay SXKD đối với KHCN vẫn còn tồn tại một số hạn chế như hiệu quả sử dụng vốn chưa thực sự ổn định, công tác kiểm tra sau cho vay còn gặp khó khăn, tỷ lệ nợ xấu có xu hướng tăng nhẹ và khả năng tiếp cận vốn của một số hộ kinh doanh nhỏ còn hạn chế.</w:t>
      </w:r>
    </w:p>
    <w:p w14:paraId="6C6D883C" w14:textId="45D9D8DF" w:rsidR="00220F32" w:rsidRPr="00A90E6A" w:rsidRDefault="00220F32" w:rsidP="00220F3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Trên cơ sở đó, đề tài đã đề xuất một số nhóm giải pháp nhằm nâng cao hiệu quả hoạt động cho vay SXKD đối với KHCN tại MB Đà Nẵng như nâng cao chất lượng thẩm định và quản lý khoản vay; hoàn thiện quy trình tín dụng và chính sách xét duyệt; nâng cao chất lượng chăm sóc khách hàng; đa dạng hóa sản phẩm cho vay SXKD; đẩy mạnh tiếp thị, phát triển khách hàng và nâng cao chất lượng đội ngũ cán bộ tín dụng. Đồng thời, đề tài cũng nhấn mạnh vai trò của chuyển đổi số, App MB và VietQR trong việc quản lý dòng tiền, theo dõi doanh thu và hỗ trợ kiểm soát rủi ro tín dụng đối với khách hàng sản xuất kinh doanh.</w:t>
      </w:r>
    </w:p>
    <w:p w14:paraId="411064A7" w14:textId="77777777" w:rsidR="00220F32" w:rsidRPr="00A90E6A" w:rsidRDefault="00220F32" w:rsidP="00220F3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Trong thời gian thực tập và tìm hiểu thực tế tại Ngân hàng TMCP Quân đội – Chi nhánh Đà Nẵng, tôi đã có cơ hội tiếp cận môi trường làm việc chuyên nghiệp, tìm hiểu thực tế về quy trình tín dụng, công tác thẩm định, quản lý khoản vay và hoạt động chăm sóc khách hàng tại chi nhánh. Đây là cơ hội quan trọng giúp tôi củng cố kiến thức chuyên môn và tích lũy thêm kinh nghiệm thực tế trong lĩnh vực tài chính – ngân hàng.</w:t>
      </w:r>
    </w:p>
    <w:p w14:paraId="2CF22213" w14:textId="77777777" w:rsidR="00220F32" w:rsidRPr="00A90E6A" w:rsidRDefault="00220F32" w:rsidP="00220F32">
      <w:pPr>
        <w:tabs>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color w:val="000000" w:themeColor="text1"/>
          <w:sz w:val="26"/>
          <w:szCs w:val="26"/>
          <w:lang w:val="vi-VN"/>
        </w:rPr>
        <w:t xml:space="preserve">Mặc dù đã có nhiều cố gắng trong quá trình nghiên cứu và thực hiện đề tài, bài khóa luận khó tránh khỏi những hạn chế nhất định do giới hạn về thời gian nghiên cứu, kinh nghiệm thực tế và khả năng tiếp cận số liệu. Tuy nhiên, tôi hy vọng các giải pháp </w:t>
      </w:r>
      <w:r w:rsidRPr="00A90E6A">
        <w:rPr>
          <w:rFonts w:ascii="Times New Roman" w:hAnsi="Times New Roman" w:cs="Times New Roman"/>
          <w:color w:val="000000" w:themeColor="text1"/>
          <w:sz w:val="26"/>
          <w:szCs w:val="26"/>
          <w:lang w:val="vi-VN"/>
        </w:rPr>
        <w:lastRenderedPageBreak/>
        <w:t>được đề xuất trong đề tài sẽ có giá trị tham khảo đối với MB Đà Nẵng trong việc nâng cao hiệu quả hoạt động cho vay SXKD đối với KHCN theo hướng an toàn, hiệu quả và bền vững trong thời gian tới.</w:t>
      </w:r>
    </w:p>
    <w:p w14:paraId="3184E30E" w14:textId="77777777" w:rsidR="00C92547" w:rsidRPr="00A90E6A" w:rsidRDefault="00220F32" w:rsidP="00220F32">
      <w:pPr>
        <w:tabs>
          <w:tab w:val="left" w:pos="6210"/>
        </w:tabs>
        <w:spacing w:after="0" w:line="360" w:lineRule="auto"/>
        <w:ind w:firstLine="567"/>
        <w:jc w:val="both"/>
        <w:rPr>
          <w:rFonts w:ascii="Times New Roman" w:hAnsi="Times New Roman" w:cs="Times New Roman"/>
          <w:color w:val="000000" w:themeColor="text1"/>
          <w:sz w:val="26"/>
          <w:szCs w:val="26"/>
          <w:lang w:val="vi-VN"/>
        </w:rPr>
        <w:sectPr w:rsidR="00C92547" w:rsidRPr="00A90E6A" w:rsidSect="009E0361">
          <w:headerReference w:type="default" r:id="rId17"/>
          <w:footerReference w:type="default" r:id="rId18"/>
          <w:pgSz w:w="11906" w:h="16838" w:code="9"/>
          <w:pgMar w:top="1134" w:right="1134" w:bottom="1134" w:left="1701" w:header="720" w:footer="510" w:gutter="0"/>
          <w:cols w:space="720"/>
          <w:docGrid w:linePitch="360"/>
        </w:sectPr>
      </w:pPr>
      <w:r w:rsidRPr="00A90E6A">
        <w:rPr>
          <w:rFonts w:ascii="Times New Roman" w:hAnsi="Times New Roman" w:cs="Times New Roman"/>
          <w:color w:val="000000" w:themeColor="text1"/>
          <w:sz w:val="26"/>
          <w:szCs w:val="26"/>
          <w:lang w:val="vi-VN"/>
        </w:rPr>
        <w:t>Cuối cùng, tôi xin chân thành cảm ơn quý Thầy, Cô giáo cùng Ban lãnh đạo và các Anh, Chị cán bộ nhân viên tại Ngân hàng TMCP Quân đội – Chi nhánh Đà Nẵng đã tận tình hướng dẫn, hỗ trợ và tạo điều kiện thuận lợi để tôi hoàn thành đề tài khóa luận này. Do kiến thức và kinh nghiệm thực tế còn hạn chế nên bài khóa luận khó tránh khỏi những thiếu sót, tôi rất mong nhận được những ý kiến đóng góp từ quý Thầy, Cô để đề tài được hoàn thiện hơn</w:t>
      </w:r>
      <w:r w:rsidR="00E743DC" w:rsidRPr="00A90E6A">
        <w:rPr>
          <w:rFonts w:ascii="Times New Roman" w:hAnsi="Times New Roman" w:cs="Times New Roman"/>
          <w:color w:val="000000" w:themeColor="text1"/>
          <w:sz w:val="26"/>
          <w:szCs w:val="26"/>
          <w:lang w:val="vi-VN"/>
        </w:rPr>
        <w:t>.</w:t>
      </w:r>
    </w:p>
    <w:p w14:paraId="6499ACA7" w14:textId="29943592" w:rsidR="00FB74FD" w:rsidRPr="00A90E6A" w:rsidRDefault="00FB74FD" w:rsidP="00020590">
      <w:pPr>
        <w:pStyle w:val="Heading1"/>
        <w:rPr>
          <w:b w:val="0"/>
          <w:bCs w:val="0"/>
          <w:color w:val="000000" w:themeColor="text1"/>
          <w:lang w:val="vi-VN"/>
        </w:rPr>
      </w:pPr>
      <w:bookmarkStart w:id="78" w:name="_Toc230962413"/>
      <w:r w:rsidRPr="00A90E6A">
        <w:rPr>
          <w:color w:val="000000" w:themeColor="text1"/>
          <w:lang w:val="vi-VN"/>
        </w:rPr>
        <w:lastRenderedPageBreak/>
        <w:t>TÀI LIỆU THAM KHẢO</w:t>
      </w:r>
      <w:bookmarkEnd w:id="78"/>
    </w:p>
    <w:p w14:paraId="041D0E8D" w14:textId="77777777" w:rsidR="002431EC" w:rsidRPr="00A90E6A" w:rsidRDefault="002431EC" w:rsidP="002431EC">
      <w:pPr>
        <w:tabs>
          <w:tab w:val="left" w:pos="2700"/>
        </w:tabs>
        <w:spacing w:after="0" w:line="360" w:lineRule="auto"/>
        <w:ind w:firstLine="567"/>
        <w:rPr>
          <w:rFonts w:ascii="Times New Roman" w:hAnsi="Times New Roman" w:cs="Times New Roman"/>
          <w:b/>
          <w:bCs/>
          <w:sz w:val="26"/>
          <w:szCs w:val="26"/>
          <w:lang w:val="vi-VN"/>
        </w:rPr>
      </w:pPr>
      <w:r w:rsidRPr="00A90E6A">
        <w:rPr>
          <w:rFonts w:ascii="Times New Roman" w:hAnsi="Times New Roman" w:cs="Times New Roman"/>
          <w:b/>
          <w:bCs/>
          <w:sz w:val="26"/>
          <w:szCs w:val="26"/>
          <w:lang w:val="vi-VN"/>
        </w:rPr>
        <w:t>Tài liệu sách chuyên ngành:</w:t>
      </w:r>
    </w:p>
    <w:p w14:paraId="69C3F257" w14:textId="09845B09" w:rsidR="002431EC" w:rsidRPr="00A90E6A" w:rsidRDefault="002431EC" w:rsidP="002431EC">
      <w:pPr>
        <w:tabs>
          <w:tab w:val="left" w:pos="2700"/>
        </w:tabs>
        <w:spacing w:after="0" w:line="360" w:lineRule="auto"/>
        <w:ind w:firstLine="567"/>
        <w:jc w:val="both"/>
        <w:rPr>
          <w:rFonts w:ascii="Times New Roman" w:hAnsi="Times New Roman" w:cs="Times New Roman"/>
          <w:sz w:val="26"/>
          <w:szCs w:val="26"/>
          <w:lang w:val="vi-VN"/>
        </w:rPr>
      </w:pPr>
      <w:r w:rsidRPr="00A90E6A">
        <w:rPr>
          <w:rFonts w:ascii="Times New Roman" w:hAnsi="Times New Roman" w:cs="Times New Roman"/>
          <w:sz w:val="26"/>
          <w:szCs w:val="26"/>
          <w:lang w:val="vi-VN"/>
        </w:rPr>
        <w:t>1. Trầm Thị Xuân Hương (2020), Giáo trình Ngân hàng thương mại, NXB Kinh tế Tp. Hồ Chí Minh.</w:t>
      </w:r>
    </w:p>
    <w:p w14:paraId="1D34D983" w14:textId="186E73D9" w:rsidR="002431EC" w:rsidRPr="00A90E6A" w:rsidRDefault="002431EC" w:rsidP="002431EC">
      <w:pPr>
        <w:tabs>
          <w:tab w:val="left" w:pos="2700"/>
        </w:tabs>
        <w:spacing w:after="0" w:line="360" w:lineRule="auto"/>
        <w:ind w:firstLine="567"/>
        <w:jc w:val="both"/>
        <w:rPr>
          <w:rFonts w:ascii="Times New Roman" w:hAnsi="Times New Roman" w:cs="Times New Roman"/>
          <w:sz w:val="26"/>
          <w:szCs w:val="26"/>
          <w:lang w:val="vi-VN"/>
        </w:rPr>
      </w:pPr>
      <w:r w:rsidRPr="00A90E6A">
        <w:rPr>
          <w:rFonts w:ascii="Times New Roman" w:hAnsi="Times New Roman" w:cs="Times New Roman"/>
          <w:sz w:val="26"/>
          <w:szCs w:val="26"/>
          <w:lang w:val="vi-VN"/>
        </w:rPr>
        <w:t>2. Phan Thị Thu Hà và cộng sự (2023), Giáo trình Ngân hàng thương mại, NXB Đại học Kinh tế Quốc dân.</w:t>
      </w:r>
    </w:p>
    <w:p w14:paraId="312C087B" w14:textId="77777777" w:rsidR="002431EC" w:rsidRPr="00A90E6A" w:rsidRDefault="002431EC" w:rsidP="002431EC">
      <w:pPr>
        <w:tabs>
          <w:tab w:val="left" w:pos="990"/>
          <w:tab w:val="left" w:pos="6210"/>
        </w:tabs>
        <w:spacing w:after="0" w:line="360" w:lineRule="auto"/>
        <w:ind w:firstLine="567"/>
        <w:jc w:val="both"/>
        <w:rPr>
          <w:rFonts w:ascii="Times New Roman" w:hAnsi="Times New Roman" w:cs="Times New Roman"/>
          <w:color w:val="000000" w:themeColor="text1"/>
          <w:sz w:val="26"/>
          <w:szCs w:val="26"/>
          <w:lang w:val="vi-VN"/>
        </w:rPr>
      </w:pPr>
      <w:r w:rsidRPr="00A90E6A">
        <w:rPr>
          <w:rFonts w:ascii="Times New Roman" w:hAnsi="Times New Roman" w:cs="Times New Roman"/>
          <w:sz w:val="26"/>
          <w:szCs w:val="26"/>
          <w:lang w:val="vi-VN"/>
        </w:rPr>
        <w:t xml:space="preserve">3. </w:t>
      </w:r>
      <w:r w:rsidRPr="00A90E6A">
        <w:rPr>
          <w:rFonts w:ascii="Times New Roman" w:hAnsi="Times New Roman" w:cs="Times New Roman"/>
          <w:color w:val="000000" w:themeColor="text1"/>
          <w:sz w:val="26"/>
          <w:szCs w:val="26"/>
          <w:lang w:val="vi-VN"/>
        </w:rPr>
        <w:t>Nguyễn Minh Kiều. (2012). Nghiệp vụ ngân hàng thương mại, Nhà xuất bản Lao động – Xã hội.</w:t>
      </w:r>
    </w:p>
    <w:p w14:paraId="7C50914D" w14:textId="77777777" w:rsidR="002431EC" w:rsidRPr="00A90E6A" w:rsidRDefault="002431EC" w:rsidP="002431EC">
      <w:pPr>
        <w:tabs>
          <w:tab w:val="left" w:pos="990"/>
          <w:tab w:val="left" w:pos="6210"/>
        </w:tabs>
        <w:spacing w:after="0" w:line="360" w:lineRule="auto"/>
        <w:ind w:firstLine="567"/>
        <w:jc w:val="both"/>
        <w:rPr>
          <w:rFonts w:ascii="Times New Roman" w:hAnsi="Times New Roman" w:cs="Times New Roman"/>
          <w:color w:val="000000" w:themeColor="text1"/>
          <w:sz w:val="26"/>
          <w:szCs w:val="26"/>
        </w:rPr>
      </w:pPr>
      <w:r w:rsidRPr="00A90E6A">
        <w:rPr>
          <w:rFonts w:ascii="Times New Roman" w:hAnsi="Times New Roman" w:cs="Times New Roman"/>
          <w:sz w:val="26"/>
          <w:szCs w:val="26"/>
          <w:lang w:val="vi-VN"/>
        </w:rPr>
        <w:t xml:space="preserve">4. </w:t>
      </w:r>
      <w:r w:rsidRPr="00A90E6A">
        <w:rPr>
          <w:rFonts w:ascii="Times New Roman" w:hAnsi="Times New Roman" w:cs="Times New Roman"/>
          <w:color w:val="000000" w:themeColor="text1"/>
          <w:sz w:val="26"/>
          <w:szCs w:val="26"/>
          <w:lang w:val="vi-VN"/>
        </w:rPr>
        <w:t xml:space="preserve">Frederic S. Mishkin (2013). </w:t>
      </w:r>
      <w:r w:rsidRPr="00A90E6A">
        <w:rPr>
          <w:rFonts w:ascii="Times New Roman" w:hAnsi="Times New Roman" w:cs="Times New Roman"/>
          <w:color w:val="000000" w:themeColor="text1"/>
          <w:sz w:val="26"/>
          <w:szCs w:val="26"/>
        </w:rPr>
        <w:t>The economics of money, banking, and financial markets (10th ed.). Pearson Education.</w:t>
      </w:r>
    </w:p>
    <w:p w14:paraId="68AABF78" w14:textId="6E7FC930" w:rsidR="002431EC" w:rsidRPr="00A90E6A" w:rsidRDefault="002431EC" w:rsidP="002431EC">
      <w:pPr>
        <w:tabs>
          <w:tab w:val="left" w:pos="2700"/>
        </w:tabs>
        <w:spacing w:after="0" w:line="360" w:lineRule="auto"/>
        <w:ind w:firstLine="567"/>
        <w:rPr>
          <w:rFonts w:ascii="Times New Roman" w:hAnsi="Times New Roman" w:cs="Times New Roman"/>
          <w:b/>
          <w:bCs/>
          <w:sz w:val="26"/>
          <w:szCs w:val="26"/>
          <w:lang w:val="vi-VN"/>
        </w:rPr>
      </w:pPr>
      <w:r w:rsidRPr="00A90E6A">
        <w:rPr>
          <w:rFonts w:ascii="Times New Roman" w:hAnsi="Times New Roman" w:cs="Times New Roman"/>
          <w:b/>
          <w:bCs/>
          <w:sz w:val="26"/>
          <w:szCs w:val="26"/>
          <w:lang w:val="vi-VN"/>
        </w:rPr>
        <w:t>Văn bản pháp luật và tài liệu ngành Ngân hàng:</w:t>
      </w:r>
    </w:p>
    <w:p w14:paraId="7980592C" w14:textId="7F10FF0D" w:rsidR="002431EC" w:rsidRPr="00A90E6A" w:rsidRDefault="002431EC" w:rsidP="002431EC">
      <w:pPr>
        <w:tabs>
          <w:tab w:val="left" w:pos="2700"/>
        </w:tabs>
        <w:spacing w:after="0" w:line="360" w:lineRule="auto"/>
        <w:ind w:firstLine="567"/>
        <w:jc w:val="both"/>
        <w:rPr>
          <w:rFonts w:ascii="Times New Roman" w:hAnsi="Times New Roman" w:cs="Times New Roman"/>
          <w:sz w:val="26"/>
          <w:szCs w:val="26"/>
          <w:lang w:val="vi-VN"/>
        </w:rPr>
      </w:pPr>
      <w:r w:rsidRPr="00A90E6A">
        <w:rPr>
          <w:rFonts w:ascii="Times New Roman" w:hAnsi="Times New Roman" w:cs="Times New Roman"/>
          <w:sz w:val="26"/>
          <w:szCs w:val="26"/>
          <w:lang w:val="vi-VN"/>
        </w:rPr>
        <w:t>5. Quốc hội (2024), Luật Các tổ chức tín dụng số 32/2024/QH15.</w:t>
      </w:r>
    </w:p>
    <w:p w14:paraId="4BE9F37B" w14:textId="39A1115C" w:rsidR="002431EC" w:rsidRPr="00A90E6A" w:rsidRDefault="002431EC" w:rsidP="002431EC">
      <w:pPr>
        <w:tabs>
          <w:tab w:val="left" w:pos="2700"/>
        </w:tabs>
        <w:spacing w:after="0" w:line="360" w:lineRule="auto"/>
        <w:ind w:firstLine="567"/>
        <w:jc w:val="both"/>
        <w:rPr>
          <w:rFonts w:ascii="Times New Roman" w:hAnsi="Times New Roman" w:cs="Times New Roman"/>
          <w:sz w:val="26"/>
          <w:szCs w:val="26"/>
          <w:lang w:val="vi-VN"/>
        </w:rPr>
      </w:pPr>
      <w:r w:rsidRPr="00A90E6A">
        <w:rPr>
          <w:rFonts w:ascii="Times New Roman" w:hAnsi="Times New Roman" w:cs="Times New Roman"/>
          <w:sz w:val="26"/>
          <w:szCs w:val="26"/>
          <w:lang w:val="vi-VN"/>
        </w:rPr>
        <w:t>6. Ngân hàng Nhà nước (2016), Thông tư 39/2016/TT-NHNN quy định về hoạt động cho vay của tổ chức tín dụng, chi nhánh ngân hàng nước ngoài đối với khách hàng.</w:t>
      </w:r>
    </w:p>
    <w:p w14:paraId="5F53601C" w14:textId="3E6F9DBB" w:rsidR="00FB74FD" w:rsidRPr="00A90E6A" w:rsidRDefault="002431EC" w:rsidP="002431EC">
      <w:pPr>
        <w:tabs>
          <w:tab w:val="left" w:pos="2700"/>
        </w:tabs>
        <w:spacing w:after="0" w:line="360" w:lineRule="auto"/>
        <w:ind w:firstLine="567"/>
        <w:jc w:val="both"/>
        <w:rPr>
          <w:rFonts w:ascii="Times New Roman" w:hAnsi="Times New Roman" w:cs="Times New Roman"/>
          <w:sz w:val="26"/>
          <w:szCs w:val="26"/>
          <w:lang w:val="vi-VN"/>
        </w:rPr>
        <w:sectPr w:rsidR="00FB74FD" w:rsidRPr="00A90E6A" w:rsidSect="009E0361">
          <w:footerReference w:type="default" r:id="rId19"/>
          <w:pgSz w:w="11906" w:h="16838" w:code="9"/>
          <w:pgMar w:top="1134" w:right="1134" w:bottom="1134" w:left="1701" w:header="720" w:footer="720" w:gutter="0"/>
          <w:cols w:space="720"/>
          <w:docGrid w:linePitch="360"/>
        </w:sectPr>
      </w:pPr>
      <w:r w:rsidRPr="00A90E6A">
        <w:rPr>
          <w:rFonts w:ascii="Times New Roman" w:hAnsi="Times New Roman" w:cs="Times New Roman"/>
          <w:sz w:val="26"/>
          <w:szCs w:val="26"/>
          <w:lang w:val="vi-VN"/>
        </w:rPr>
        <w:t>7. Ngân hàng TMCP Quân đội, Quy trình, quy chế cho vay đối với khách hàng cá nhân phục vụ sản xuất kinh doanh. Truy cập ngày 30/03/2026 từ: https://www.mbbank.com.vn</w:t>
      </w:r>
      <w:r w:rsidR="00FB74FD" w:rsidRPr="00A90E6A">
        <w:rPr>
          <w:rFonts w:ascii="Times New Roman" w:hAnsi="Times New Roman" w:cs="Times New Roman"/>
          <w:sz w:val="26"/>
          <w:szCs w:val="26"/>
          <w:lang w:val="vi-VN"/>
        </w:rPr>
        <w:tab/>
      </w:r>
    </w:p>
    <w:p w14:paraId="16A85D3B" w14:textId="70713C9C" w:rsidR="002F112E" w:rsidRPr="002B008A" w:rsidRDefault="002F112E" w:rsidP="00E743DC">
      <w:pPr>
        <w:tabs>
          <w:tab w:val="left" w:pos="6210"/>
        </w:tabs>
        <w:spacing w:after="0" w:line="360" w:lineRule="auto"/>
        <w:jc w:val="both"/>
        <w:rPr>
          <w:rFonts w:ascii="Times New Roman" w:hAnsi="Times New Roman" w:cs="Times New Roman"/>
          <w:color w:val="000000" w:themeColor="text1"/>
          <w:sz w:val="26"/>
          <w:szCs w:val="26"/>
          <w:lang w:val="vi-VN"/>
        </w:rPr>
      </w:pPr>
    </w:p>
    <w:sectPr w:rsidR="002F112E" w:rsidRPr="002B008A" w:rsidSect="009E0361">
      <w:pgSz w:w="11906" w:h="16838"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E9719" w14:textId="77777777" w:rsidR="005A39E0" w:rsidRDefault="005A39E0" w:rsidP="007735D6">
      <w:pPr>
        <w:spacing w:after="0" w:line="240" w:lineRule="auto"/>
      </w:pPr>
      <w:r>
        <w:separator/>
      </w:r>
    </w:p>
  </w:endnote>
  <w:endnote w:type="continuationSeparator" w:id="0">
    <w:p w14:paraId="201D4155" w14:textId="77777777" w:rsidR="005A39E0" w:rsidRDefault="005A39E0" w:rsidP="00773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6C22C" w14:textId="77777777" w:rsidR="00606059" w:rsidRPr="00522097" w:rsidRDefault="00606059">
    <w:pPr>
      <w:pStyle w:val="Footer"/>
      <w:rPr>
        <w:rFonts w:ascii="Times New Roman" w:hAnsi="Times New Roman" w:cs="Times New Roman"/>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991635"/>
      <w:docPartObj>
        <w:docPartGallery w:val="Page Numbers (Bottom of Page)"/>
        <w:docPartUnique/>
      </w:docPartObj>
    </w:sdtPr>
    <w:sdtEndPr>
      <w:rPr>
        <w:rFonts w:ascii="Times New Roman" w:hAnsi="Times New Roman" w:cs="Times New Roman"/>
        <w:noProof/>
        <w:sz w:val="26"/>
        <w:szCs w:val="26"/>
      </w:rPr>
    </w:sdtEndPr>
    <w:sdtContent>
      <w:p w14:paraId="51180FE8" w14:textId="77777777" w:rsidR="00D709E2" w:rsidRPr="00B8274E" w:rsidRDefault="00D709E2">
        <w:pPr>
          <w:pStyle w:val="Footer"/>
          <w:jc w:val="center"/>
          <w:rPr>
            <w:rFonts w:ascii="Times New Roman" w:hAnsi="Times New Roman" w:cs="Times New Roman"/>
            <w:sz w:val="26"/>
            <w:szCs w:val="26"/>
          </w:rPr>
        </w:pPr>
        <w:r w:rsidRPr="00B8274E">
          <w:rPr>
            <w:rFonts w:ascii="Times New Roman" w:hAnsi="Times New Roman" w:cs="Times New Roman"/>
            <w:sz w:val="26"/>
            <w:szCs w:val="26"/>
          </w:rPr>
          <w:fldChar w:fldCharType="begin"/>
        </w:r>
        <w:r w:rsidRPr="00B8274E">
          <w:rPr>
            <w:rFonts w:ascii="Times New Roman" w:hAnsi="Times New Roman" w:cs="Times New Roman"/>
            <w:sz w:val="26"/>
            <w:szCs w:val="26"/>
          </w:rPr>
          <w:instrText xml:space="preserve"> PAGE   \* MERGEFORMAT </w:instrText>
        </w:r>
        <w:r w:rsidRPr="00B8274E">
          <w:rPr>
            <w:rFonts w:ascii="Times New Roman" w:hAnsi="Times New Roman" w:cs="Times New Roman"/>
            <w:sz w:val="26"/>
            <w:szCs w:val="26"/>
          </w:rPr>
          <w:fldChar w:fldCharType="separate"/>
        </w:r>
        <w:r w:rsidRPr="00B8274E">
          <w:rPr>
            <w:rFonts w:ascii="Times New Roman" w:hAnsi="Times New Roman" w:cs="Times New Roman"/>
            <w:noProof/>
            <w:sz w:val="26"/>
            <w:szCs w:val="26"/>
          </w:rPr>
          <w:t>2</w:t>
        </w:r>
        <w:r w:rsidRPr="00B8274E">
          <w:rPr>
            <w:rFonts w:ascii="Times New Roman" w:hAnsi="Times New Roman" w:cs="Times New Roman"/>
            <w:noProof/>
            <w:sz w:val="26"/>
            <w:szCs w:val="26"/>
          </w:rPr>
          <w:fldChar w:fldCharType="end"/>
        </w:r>
      </w:p>
    </w:sdtContent>
  </w:sdt>
  <w:p w14:paraId="2327176B" w14:textId="77777777" w:rsidR="00D709E2" w:rsidRPr="00522097" w:rsidRDefault="00D709E2">
    <w:pPr>
      <w:pStyle w:val="Footer"/>
      <w:rPr>
        <w:rFonts w:ascii="Times New Roman" w:hAnsi="Times New Roman" w:cs="Times New Roman"/>
        <w:sz w:val="26"/>
        <w:szCs w:val="2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2733"/>
      <w:docPartObj>
        <w:docPartGallery w:val="Page Numbers (Bottom of Page)"/>
        <w:docPartUnique/>
      </w:docPartObj>
    </w:sdtPr>
    <w:sdtEndPr>
      <w:rPr>
        <w:rFonts w:ascii="Times New Roman" w:hAnsi="Times New Roman" w:cs="Times New Roman"/>
        <w:noProof/>
        <w:sz w:val="26"/>
        <w:szCs w:val="26"/>
      </w:rPr>
    </w:sdtEndPr>
    <w:sdtContent>
      <w:p w14:paraId="6211BC6C" w14:textId="77777777" w:rsidR="00FB74FD" w:rsidRPr="00522097" w:rsidRDefault="00FB74FD">
        <w:pPr>
          <w:pStyle w:val="Footer"/>
          <w:jc w:val="center"/>
          <w:rPr>
            <w:rFonts w:ascii="Times New Roman" w:hAnsi="Times New Roman" w:cs="Times New Roman"/>
            <w:sz w:val="26"/>
            <w:szCs w:val="26"/>
          </w:rPr>
        </w:pPr>
        <w:r w:rsidRPr="00522097">
          <w:rPr>
            <w:rFonts w:ascii="Times New Roman" w:hAnsi="Times New Roman" w:cs="Times New Roman"/>
            <w:sz w:val="26"/>
            <w:szCs w:val="26"/>
          </w:rPr>
          <w:fldChar w:fldCharType="begin"/>
        </w:r>
        <w:r w:rsidRPr="00522097">
          <w:rPr>
            <w:rFonts w:ascii="Times New Roman" w:hAnsi="Times New Roman" w:cs="Times New Roman"/>
            <w:sz w:val="26"/>
            <w:szCs w:val="26"/>
          </w:rPr>
          <w:instrText xml:space="preserve"> PAGE   \* MERGEFORMAT </w:instrText>
        </w:r>
        <w:r w:rsidRPr="00522097">
          <w:rPr>
            <w:rFonts w:ascii="Times New Roman" w:hAnsi="Times New Roman" w:cs="Times New Roman"/>
            <w:sz w:val="26"/>
            <w:szCs w:val="26"/>
          </w:rPr>
          <w:fldChar w:fldCharType="separate"/>
        </w:r>
        <w:r w:rsidRPr="00522097">
          <w:rPr>
            <w:rFonts w:ascii="Times New Roman" w:hAnsi="Times New Roman" w:cs="Times New Roman"/>
            <w:noProof/>
            <w:sz w:val="26"/>
            <w:szCs w:val="26"/>
          </w:rPr>
          <w:t>2</w:t>
        </w:r>
        <w:r w:rsidRPr="00522097">
          <w:rPr>
            <w:rFonts w:ascii="Times New Roman" w:hAnsi="Times New Roman" w:cs="Times New Roman"/>
            <w:noProof/>
            <w:sz w:val="26"/>
            <w:szCs w:val="26"/>
          </w:rPr>
          <w:fldChar w:fldCharType="end"/>
        </w:r>
      </w:p>
    </w:sdtContent>
  </w:sdt>
  <w:p w14:paraId="5D7671EB" w14:textId="77777777" w:rsidR="00FB74FD" w:rsidRPr="00522097" w:rsidRDefault="00FB74FD">
    <w:pPr>
      <w:pStyle w:val="Footer"/>
      <w:rPr>
        <w:rFonts w:ascii="Times New Roman" w:hAnsi="Times New Roman" w:cs="Times New Roman"/>
        <w:sz w:val="26"/>
        <w:szCs w:val="2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456250"/>
      <w:docPartObj>
        <w:docPartGallery w:val="Page Numbers (Bottom of Page)"/>
        <w:docPartUnique/>
      </w:docPartObj>
    </w:sdtPr>
    <w:sdtEndPr>
      <w:rPr>
        <w:rFonts w:ascii="Times New Roman" w:hAnsi="Times New Roman" w:cs="Times New Roman"/>
        <w:noProof/>
        <w:sz w:val="26"/>
        <w:szCs w:val="26"/>
      </w:rPr>
    </w:sdtEndPr>
    <w:sdtContent>
      <w:p w14:paraId="53720012" w14:textId="77777777" w:rsidR="00FB74FD" w:rsidRPr="00522097" w:rsidRDefault="00FB74FD">
        <w:pPr>
          <w:pStyle w:val="Footer"/>
          <w:jc w:val="center"/>
          <w:rPr>
            <w:rFonts w:ascii="Times New Roman" w:hAnsi="Times New Roman" w:cs="Times New Roman"/>
            <w:sz w:val="26"/>
            <w:szCs w:val="26"/>
          </w:rPr>
        </w:pPr>
        <w:r w:rsidRPr="00522097">
          <w:rPr>
            <w:rFonts w:ascii="Times New Roman" w:hAnsi="Times New Roman" w:cs="Times New Roman"/>
            <w:sz w:val="26"/>
            <w:szCs w:val="26"/>
          </w:rPr>
          <w:fldChar w:fldCharType="begin"/>
        </w:r>
        <w:r w:rsidRPr="00522097">
          <w:rPr>
            <w:rFonts w:ascii="Times New Roman" w:hAnsi="Times New Roman" w:cs="Times New Roman"/>
            <w:sz w:val="26"/>
            <w:szCs w:val="26"/>
          </w:rPr>
          <w:instrText xml:space="preserve"> PAGE   \* MERGEFORMAT </w:instrText>
        </w:r>
        <w:r w:rsidRPr="00522097">
          <w:rPr>
            <w:rFonts w:ascii="Times New Roman" w:hAnsi="Times New Roman" w:cs="Times New Roman"/>
            <w:sz w:val="26"/>
            <w:szCs w:val="26"/>
          </w:rPr>
          <w:fldChar w:fldCharType="separate"/>
        </w:r>
        <w:r w:rsidRPr="00522097">
          <w:rPr>
            <w:rFonts w:ascii="Times New Roman" w:hAnsi="Times New Roman" w:cs="Times New Roman"/>
            <w:noProof/>
            <w:sz w:val="26"/>
            <w:szCs w:val="26"/>
          </w:rPr>
          <w:t>2</w:t>
        </w:r>
        <w:r w:rsidRPr="00522097">
          <w:rPr>
            <w:rFonts w:ascii="Times New Roman" w:hAnsi="Times New Roman" w:cs="Times New Roman"/>
            <w:noProof/>
            <w:sz w:val="26"/>
            <w:szCs w:val="26"/>
          </w:rPr>
          <w:fldChar w:fldCharType="end"/>
        </w:r>
      </w:p>
    </w:sdtContent>
  </w:sdt>
  <w:p w14:paraId="57798E53" w14:textId="77777777" w:rsidR="00FB74FD" w:rsidRPr="00522097" w:rsidRDefault="00FB74FD">
    <w:pPr>
      <w:pStyle w:val="Footer"/>
      <w:rPr>
        <w:rFonts w:ascii="Times New Roman" w:hAnsi="Times New Roman" w:cs="Times New Roman"/>
        <w:sz w:val="26"/>
        <w:szCs w:val="2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A81C" w14:textId="34CDBBB4" w:rsidR="00BE5955" w:rsidRPr="00522097" w:rsidRDefault="00BE5955">
    <w:pPr>
      <w:pStyle w:val="Footer"/>
      <w:jc w:val="center"/>
      <w:rPr>
        <w:rFonts w:ascii="Times New Roman" w:hAnsi="Times New Roman" w:cs="Times New Roman"/>
        <w:sz w:val="26"/>
        <w:szCs w:val="26"/>
      </w:rPr>
    </w:pPr>
  </w:p>
  <w:p w14:paraId="32BF35F4" w14:textId="77777777" w:rsidR="00BE5955" w:rsidRPr="00522097" w:rsidRDefault="00BE5955">
    <w:pPr>
      <w:pStyle w:val="Footer"/>
      <w:rPr>
        <w:rFonts w:ascii="Times New Roman" w:hAnsi="Times New Roman" w:cs="Times New Roman"/>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1FA14" w14:textId="77777777" w:rsidR="005A39E0" w:rsidRDefault="005A39E0" w:rsidP="007735D6">
      <w:pPr>
        <w:spacing w:after="0" w:line="240" w:lineRule="auto"/>
      </w:pPr>
      <w:r>
        <w:separator/>
      </w:r>
    </w:p>
  </w:footnote>
  <w:footnote w:type="continuationSeparator" w:id="0">
    <w:p w14:paraId="71073DF5" w14:textId="77777777" w:rsidR="005A39E0" w:rsidRDefault="005A39E0" w:rsidP="00773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A014E" w14:textId="001EB404" w:rsidR="001E6B37" w:rsidRDefault="001E6B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CCF0" w14:textId="77777777" w:rsidR="0082408B" w:rsidRDefault="008240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524"/>
    <w:multiLevelType w:val="hybridMultilevel"/>
    <w:tmpl w:val="9EAE1612"/>
    <w:lvl w:ilvl="0" w:tplc="04090017">
      <w:start w:val="1"/>
      <w:numFmt w:val="lowerLetter"/>
      <w:lvlText w:val="%1)"/>
      <w:lvlJc w:val="left"/>
      <w:pPr>
        <w:ind w:left="1495" w:hanging="360"/>
      </w:pPr>
      <w:rPr>
        <w:rFonts w:hint="default"/>
        <w:b/>
        <w:bCs/>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15:restartNumberingAfterBreak="0">
    <w:nsid w:val="03451BC7"/>
    <w:multiLevelType w:val="hybridMultilevel"/>
    <w:tmpl w:val="8AE88F54"/>
    <w:lvl w:ilvl="0" w:tplc="ED522056">
      <w:start w:val="1"/>
      <w:numFmt w:val="decimal"/>
      <w:lvlText w:val="%1."/>
      <w:lvlJc w:val="left"/>
      <w:pPr>
        <w:ind w:left="401" w:hanging="260"/>
      </w:pPr>
      <w:rPr>
        <w:rFonts w:ascii="Times New Roman" w:eastAsia="Times New Roman" w:hAnsi="Times New Roman" w:cs="Times New Roman" w:hint="default"/>
        <w:b/>
        <w:bCs/>
        <w:i w:val="0"/>
        <w:iCs w:val="0"/>
        <w:spacing w:val="0"/>
        <w:w w:val="99"/>
        <w:sz w:val="26"/>
        <w:szCs w:val="26"/>
        <w:lang w:val="vi" w:eastAsia="en-US" w:bidi="ar-SA"/>
      </w:rPr>
    </w:lvl>
    <w:lvl w:ilvl="1" w:tplc="FBF4450E">
      <w:numFmt w:val="bullet"/>
      <w:lvlText w:val="-"/>
      <w:lvlJc w:val="left"/>
      <w:pPr>
        <w:ind w:left="293"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AC54A64A">
      <w:numFmt w:val="bullet"/>
      <w:lvlText w:val="•"/>
      <w:lvlJc w:val="left"/>
      <w:pPr>
        <w:ind w:left="400" w:hanging="152"/>
      </w:pPr>
      <w:rPr>
        <w:rFonts w:hint="default"/>
        <w:lang w:val="vi" w:eastAsia="en-US" w:bidi="ar-SA"/>
      </w:rPr>
    </w:lvl>
    <w:lvl w:ilvl="3" w:tplc="0AA0FBD8">
      <w:numFmt w:val="bullet"/>
      <w:lvlText w:val="•"/>
      <w:lvlJc w:val="left"/>
      <w:pPr>
        <w:ind w:left="1501" w:hanging="152"/>
      </w:pPr>
      <w:rPr>
        <w:rFonts w:hint="default"/>
        <w:lang w:val="vi" w:eastAsia="en-US" w:bidi="ar-SA"/>
      </w:rPr>
    </w:lvl>
    <w:lvl w:ilvl="4" w:tplc="3314EA92">
      <w:numFmt w:val="bullet"/>
      <w:lvlText w:val="•"/>
      <w:lvlJc w:val="left"/>
      <w:pPr>
        <w:ind w:left="2602" w:hanging="152"/>
      </w:pPr>
      <w:rPr>
        <w:rFonts w:hint="default"/>
        <w:lang w:val="vi" w:eastAsia="en-US" w:bidi="ar-SA"/>
      </w:rPr>
    </w:lvl>
    <w:lvl w:ilvl="5" w:tplc="87CE7354">
      <w:numFmt w:val="bullet"/>
      <w:lvlText w:val="•"/>
      <w:lvlJc w:val="left"/>
      <w:pPr>
        <w:ind w:left="3703" w:hanging="152"/>
      </w:pPr>
      <w:rPr>
        <w:rFonts w:hint="default"/>
        <w:lang w:val="vi" w:eastAsia="en-US" w:bidi="ar-SA"/>
      </w:rPr>
    </w:lvl>
    <w:lvl w:ilvl="6" w:tplc="EAFA184C">
      <w:numFmt w:val="bullet"/>
      <w:lvlText w:val="•"/>
      <w:lvlJc w:val="left"/>
      <w:pPr>
        <w:ind w:left="4804" w:hanging="152"/>
      </w:pPr>
      <w:rPr>
        <w:rFonts w:hint="default"/>
        <w:lang w:val="vi" w:eastAsia="en-US" w:bidi="ar-SA"/>
      </w:rPr>
    </w:lvl>
    <w:lvl w:ilvl="7" w:tplc="8E246CEE">
      <w:numFmt w:val="bullet"/>
      <w:lvlText w:val="•"/>
      <w:lvlJc w:val="left"/>
      <w:pPr>
        <w:ind w:left="5905" w:hanging="152"/>
      </w:pPr>
      <w:rPr>
        <w:rFonts w:hint="default"/>
        <w:lang w:val="vi" w:eastAsia="en-US" w:bidi="ar-SA"/>
      </w:rPr>
    </w:lvl>
    <w:lvl w:ilvl="8" w:tplc="650E2252">
      <w:numFmt w:val="bullet"/>
      <w:lvlText w:val="•"/>
      <w:lvlJc w:val="left"/>
      <w:pPr>
        <w:ind w:left="7006" w:hanging="152"/>
      </w:pPr>
      <w:rPr>
        <w:rFonts w:hint="default"/>
        <w:lang w:val="vi" w:eastAsia="en-US" w:bidi="ar-SA"/>
      </w:rPr>
    </w:lvl>
  </w:abstractNum>
  <w:abstractNum w:abstractNumId="2" w15:restartNumberingAfterBreak="0">
    <w:nsid w:val="09DB3CDE"/>
    <w:multiLevelType w:val="hybridMultilevel"/>
    <w:tmpl w:val="B9A0AA7A"/>
    <w:lvl w:ilvl="0" w:tplc="B3E6077C">
      <w:start w:val="1"/>
      <w:numFmt w:val="decimal"/>
      <w:lvlText w:val="1.3.%1"/>
      <w:lvlJc w:val="left"/>
      <w:pPr>
        <w:ind w:left="787" w:hanging="360"/>
      </w:pPr>
      <w:rPr>
        <w:rFonts w:hint="default"/>
        <w:b/>
        <w:bCs/>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3" w15:restartNumberingAfterBreak="0">
    <w:nsid w:val="1384500F"/>
    <w:multiLevelType w:val="hybridMultilevel"/>
    <w:tmpl w:val="C69023A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4074FD6"/>
    <w:multiLevelType w:val="hybridMultilevel"/>
    <w:tmpl w:val="8BD4B570"/>
    <w:lvl w:ilvl="0" w:tplc="50B49FA6">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4004A4"/>
    <w:multiLevelType w:val="hybridMultilevel"/>
    <w:tmpl w:val="638A15EE"/>
    <w:lvl w:ilvl="0" w:tplc="B4A25ACE">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5B5FB1"/>
    <w:multiLevelType w:val="hybridMultilevel"/>
    <w:tmpl w:val="CEC05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C651EC"/>
    <w:multiLevelType w:val="hybridMultilevel"/>
    <w:tmpl w:val="8604F0A6"/>
    <w:lvl w:ilvl="0" w:tplc="53A6922E">
      <w:start w:val="1"/>
      <w:numFmt w:val="decimal"/>
      <w:lvlText w:val="2.2.%1"/>
      <w:lvlJc w:val="left"/>
      <w:pPr>
        <w:ind w:left="1920" w:hanging="360"/>
      </w:pPr>
      <w:rPr>
        <w:rFonts w:hint="default"/>
        <w:b/>
        <w:bCs/>
      </w:rPr>
    </w:lvl>
    <w:lvl w:ilvl="1" w:tplc="04090019" w:tentative="1">
      <w:start w:val="1"/>
      <w:numFmt w:val="lowerLetter"/>
      <w:lvlText w:val="%2."/>
      <w:lvlJc w:val="left"/>
      <w:pPr>
        <w:ind w:left="2634" w:hanging="360"/>
      </w:pPr>
    </w:lvl>
    <w:lvl w:ilvl="2" w:tplc="0409001B" w:tentative="1">
      <w:start w:val="1"/>
      <w:numFmt w:val="lowerRoman"/>
      <w:lvlText w:val="%3."/>
      <w:lvlJc w:val="right"/>
      <w:pPr>
        <w:ind w:left="3354" w:hanging="180"/>
      </w:pPr>
    </w:lvl>
    <w:lvl w:ilvl="3" w:tplc="0409000F" w:tentative="1">
      <w:start w:val="1"/>
      <w:numFmt w:val="decimal"/>
      <w:lvlText w:val="%4."/>
      <w:lvlJc w:val="left"/>
      <w:pPr>
        <w:ind w:left="4074" w:hanging="360"/>
      </w:pPr>
    </w:lvl>
    <w:lvl w:ilvl="4" w:tplc="04090019" w:tentative="1">
      <w:start w:val="1"/>
      <w:numFmt w:val="lowerLetter"/>
      <w:lvlText w:val="%5."/>
      <w:lvlJc w:val="left"/>
      <w:pPr>
        <w:ind w:left="4794" w:hanging="360"/>
      </w:pPr>
    </w:lvl>
    <w:lvl w:ilvl="5" w:tplc="0409001B" w:tentative="1">
      <w:start w:val="1"/>
      <w:numFmt w:val="lowerRoman"/>
      <w:lvlText w:val="%6."/>
      <w:lvlJc w:val="right"/>
      <w:pPr>
        <w:ind w:left="5514" w:hanging="180"/>
      </w:pPr>
    </w:lvl>
    <w:lvl w:ilvl="6" w:tplc="0409000F" w:tentative="1">
      <w:start w:val="1"/>
      <w:numFmt w:val="decimal"/>
      <w:lvlText w:val="%7."/>
      <w:lvlJc w:val="left"/>
      <w:pPr>
        <w:ind w:left="6234" w:hanging="360"/>
      </w:pPr>
    </w:lvl>
    <w:lvl w:ilvl="7" w:tplc="04090019" w:tentative="1">
      <w:start w:val="1"/>
      <w:numFmt w:val="lowerLetter"/>
      <w:lvlText w:val="%8."/>
      <w:lvlJc w:val="left"/>
      <w:pPr>
        <w:ind w:left="6954" w:hanging="360"/>
      </w:pPr>
    </w:lvl>
    <w:lvl w:ilvl="8" w:tplc="0409001B" w:tentative="1">
      <w:start w:val="1"/>
      <w:numFmt w:val="lowerRoman"/>
      <w:lvlText w:val="%9."/>
      <w:lvlJc w:val="right"/>
      <w:pPr>
        <w:ind w:left="7674" w:hanging="180"/>
      </w:pPr>
    </w:lvl>
  </w:abstractNum>
  <w:abstractNum w:abstractNumId="8" w15:restartNumberingAfterBreak="0">
    <w:nsid w:val="50730A6A"/>
    <w:multiLevelType w:val="hybridMultilevel"/>
    <w:tmpl w:val="96244BAC"/>
    <w:lvl w:ilvl="0" w:tplc="04090017">
      <w:start w:val="1"/>
      <w:numFmt w:val="lowerLetter"/>
      <w:lvlText w:val="%1)"/>
      <w:lvlJc w:val="left"/>
      <w:pPr>
        <w:ind w:left="1287"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08552D"/>
    <w:multiLevelType w:val="hybridMultilevel"/>
    <w:tmpl w:val="25523EB6"/>
    <w:lvl w:ilvl="0" w:tplc="042A0017">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5BAF024E"/>
    <w:multiLevelType w:val="hybridMultilevel"/>
    <w:tmpl w:val="B1E8AFA4"/>
    <w:lvl w:ilvl="0" w:tplc="9E2455C8">
      <w:start w:val="1"/>
      <w:numFmt w:val="decimal"/>
      <w:lvlText w:val="1.2.%1"/>
      <w:lvlJc w:val="left"/>
      <w:pPr>
        <w:ind w:left="2007" w:hanging="360"/>
      </w:pPr>
      <w:rPr>
        <w:rFonts w:hint="default"/>
      </w:rPr>
    </w:lvl>
    <w:lvl w:ilvl="1" w:tplc="04090019" w:tentative="1">
      <w:start w:val="1"/>
      <w:numFmt w:val="lowerLetter"/>
      <w:lvlText w:val="%2."/>
      <w:lvlJc w:val="left"/>
      <w:pPr>
        <w:ind w:left="1440" w:hanging="360"/>
      </w:pPr>
    </w:lvl>
    <w:lvl w:ilvl="2" w:tplc="9E2455C8">
      <w:start w:val="1"/>
      <w:numFmt w:val="decimal"/>
      <w:lvlText w:val="1.2.%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836A23"/>
    <w:multiLevelType w:val="hybridMultilevel"/>
    <w:tmpl w:val="E1F077B8"/>
    <w:lvl w:ilvl="0" w:tplc="53A6922E">
      <w:start w:val="1"/>
      <w:numFmt w:val="decimal"/>
      <w:lvlText w:val="2.2.%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788B4A4C"/>
    <w:multiLevelType w:val="hybridMultilevel"/>
    <w:tmpl w:val="4296F85A"/>
    <w:lvl w:ilvl="0" w:tplc="C28275A8">
      <w:numFmt w:val="bullet"/>
      <w:lvlText w:val="-"/>
      <w:lvlJc w:val="left"/>
      <w:pPr>
        <w:ind w:left="1021" w:hanging="17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81632996">
    <w:abstractNumId w:val="12"/>
  </w:num>
  <w:num w:numId="2" w16cid:durableId="1550341104">
    <w:abstractNumId w:val="9"/>
  </w:num>
  <w:num w:numId="3" w16cid:durableId="1200630029">
    <w:abstractNumId w:val="1"/>
  </w:num>
  <w:num w:numId="4" w16cid:durableId="629365107">
    <w:abstractNumId w:val="8"/>
  </w:num>
  <w:num w:numId="5" w16cid:durableId="1154493393">
    <w:abstractNumId w:val="7"/>
  </w:num>
  <w:num w:numId="6" w16cid:durableId="1933657199">
    <w:abstractNumId w:val="3"/>
  </w:num>
  <w:num w:numId="7" w16cid:durableId="993068273">
    <w:abstractNumId w:val="6"/>
  </w:num>
  <w:num w:numId="8" w16cid:durableId="1822188603">
    <w:abstractNumId w:val="11"/>
  </w:num>
  <w:num w:numId="9" w16cid:durableId="1646157029">
    <w:abstractNumId w:val="0"/>
  </w:num>
  <w:num w:numId="10" w16cid:durableId="256713383">
    <w:abstractNumId w:val="2"/>
  </w:num>
  <w:num w:numId="11" w16cid:durableId="376204033">
    <w:abstractNumId w:val="10"/>
  </w:num>
  <w:num w:numId="12" w16cid:durableId="105738628">
    <w:abstractNumId w:val="4"/>
  </w:num>
  <w:num w:numId="13" w16cid:durableId="181944725">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C57"/>
    <w:rsid w:val="00001FCE"/>
    <w:rsid w:val="00002DDF"/>
    <w:rsid w:val="000044C3"/>
    <w:rsid w:val="00005393"/>
    <w:rsid w:val="0001033E"/>
    <w:rsid w:val="00010844"/>
    <w:rsid w:val="0001113C"/>
    <w:rsid w:val="00013275"/>
    <w:rsid w:val="000135BD"/>
    <w:rsid w:val="000143DC"/>
    <w:rsid w:val="00020590"/>
    <w:rsid w:val="0002225C"/>
    <w:rsid w:val="00030F69"/>
    <w:rsid w:val="00031967"/>
    <w:rsid w:val="00032422"/>
    <w:rsid w:val="0003480D"/>
    <w:rsid w:val="00046EB9"/>
    <w:rsid w:val="000479FE"/>
    <w:rsid w:val="000520CE"/>
    <w:rsid w:val="000564EC"/>
    <w:rsid w:val="0006229F"/>
    <w:rsid w:val="00064C6A"/>
    <w:rsid w:val="00064CEA"/>
    <w:rsid w:val="00065729"/>
    <w:rsid w:val="00066BAE"/>
    <w:rsid w:val="0007014F"/>
    <w:rsid w:val="00070747"/>
    <w:rsid w:val="0007429C"/>
    <w:rsid w:val="000841ED"/>
    <w:rsid w:val="000920BD"/>
    <w:rsid w:val="00095F68"/>
    <w:rsid w:val="00096635"/>
    <w:rsid w:val="000A4267"/>
    <w:rsid w:val="000A552C"/>
    <w:rsid w:val="000A6FBE"/>
    <w:rsid w:val="000B1E19"/>
    <w:rsid w:val="000B2B63"/>
    <w:rsid w:val="000B2B7A"/>
    <w:rsid w:val="000B6455"/>
    <w:rsid w:val="000B7204"/>
    <w:rsid w:val="000B7683"/>
    <w:rsid w:val="000C2F6E"/>
    <w:rsid w:val="000C3AF5"/>
    <w:rsid w:val="000C4CBE"/>
    <w:rsid w:val="000C57F3"/>
    <w:rsid w:val="000C5E64"/>
    <w:rsid w:val="000D1083"/>
    <w:rsid w:val="000D4396"/>
    <w:rsid w:val="000E2463"/>
    <w:rsid w:val="000E6151"/>
    <w:rsid w:val="000E6DCB"/>
    <w:rsid w:val="000F1EFC"/>
    <w:rsid w:val="000F2169"/>
    <w:rsid w:val="000F6505"/>
    <w:rsid w:val="000F6522"/>
    <w:rsid w:val="000F71E3"/>
    <w:rsid w:val="0010008B"/>
    <w:rsid w:val="0010058A"/>
    <w:rsid w:val="00102385"/>
    <w:rsid w:val="00102E4E"/>
    <w:rsid w:val="001071A8"/>
    <w:rsid w:val="0010757D"/>
    <w:rsid w:val="001076A5"/>
    <w:rsid w:val="0011110E"/>
    <w:rsid w:val="001116F3"/>
    <w:rsid w:val="001117D9"/>
    <w:rsid w:val="00113402"/>
    <w:rsid w:val="00115D48"/>
    <w:rsid w:val="001174AB"/>
    <w:rsid w:val="00123D94"/>
    <w:rsid w:val="00123DC4"/>
    <w:rsid w:val="00140D14"/>
    <w:rsid w:val="00142F84"/>
    <w:rsid w:val="00153D03"/>
    <w:rsid w:val="00155F03"/>
    <w:rsid w:val="0015733B"/>
    <w:rsid w:val="0016332C"/>
    <w:rsid w:val="0016458D"/>
    <w:rsid w:val="00180F35"/>
    <w:rsid w:val="0018372B"/>
    <w:rsid w:val="001918D8"/>
    <w:rsid w:val="001A2968"/>
    <w:rsid w:val="001A4539"/>
    <w:rsid w:val="001A5E5B"/>
    <w:rsid w:val="001B1B15"/>
    <w:rsid w:val="001B292A"/>
    <w:rsid w:val="001B40BA"/>
    <w:rsid w:val="001B6968"/>
    <w:rsid w:val="001B790A"/>
    <w:rsid w:val="001C1FB0"/>
    <w:rsid w:val="001C2215"/>
    <w:rsid w:val="001C666F"/>
    <w:rsid w:val="001D1941"/>
    <w:rsid w:val="001D4A1C"/>
    <w:rsid w:val="001D53F7"/>
    <w:rsid w:val="001D64A8"/>
    <w:rsid w:val="001D6CC3"/>
    <w:rsid w:val="001D6CF8"/>
    <w:rsid w:val="001E39B0"/>
    <w:rsid w:val="001E4A42"/>
    <w:rsid w:val="001E6B37"/>
    <w:rsid w:val="001F0810"/>
    <w:rsid w:val="001F2B28"/>
    <w:rsid w:val="001F758B"/>
    <w:rsid w:val="00200AF1"/>
    <w:rsid w:val="00201529"/>
    <w:rsid w:val="002020DD"/>
    <w:rsid w:val="002049A6"/>
    <w:rsid w:val="002079E5"/>
    <w:rsid w:val="00207D96"/>
    <w:rsid w:val="00212478"/>
    <w:rsid w:val="00216045"/>
    <w:rsid w:val="00217F43"/>
    <w:rsid w:val="00220F32"/>
    <w:rsid w:val="002249C8"/>
    <w:rsid w:val="00227F0B"/>
    <w:rsid w:val="00230093"/>
    <w:rsid w:val="002340F0"/>
    <w:rsid w:val="0023581A"/>
    <w:rsid w:val="00237B80"/>
    <w:rsid w:val="00240EA6"/>
    <w:rsid w:val="00241BF0"/>
    <w:rsid w:val="002431EC"/>
    <w:rsid w:val="0024484D"/>
    <w:rsid w:val="00247C97"/>
    <w:rsid w:val="00251BDF"/>
    <w:rsid w:val="0025232A"/>
    <w:rsid w:val="00253406"/>
    <w:rsid w:val="002541A3"/>
    <w:rsid w:val="00264B06"/>
    <w:rsid w:val="00264C0C"/>
    <w:rsid w:val="002717DC"/>
    <w:rsid w:val="0028604C"/>
    <w:rsid w:val="002860A8"/>
    <w:rsid w:val="00286E84"/>
    <w:rsid w:val="00287AAF"/>
    <w:rsid w:val="0029226C"/>
    <w:rsid w:val="00296529"/>
    <w:rsid w:val="0029654C"/>
    <w:rsid w:val="0029740F"/>
    <w:rsid w:val="00297920"/>
    <w:rsid w:val="002A184D"/>
    <w:rsid w:val="002A23FD"/>
    <w:rsid w:val="002A489D"/>
    <w:rsid w:val="002A525F"/>
    <w:rsid w:val="002B008A"/>
    <w:rsid w:val="002B2119"/>
    <w:rsid w:val="002B4339"/>
    <w:rsid w:val="002B537C"/>
    <w:rsid w:val="002B6DD2"/>
    <w:rsid w:val="002C14BB"/>
    <w:rsid w:val="002C1D09"/>
    <w:rsid w:val="002C61FE"/>
    <w:rsid w:val="002D0241"/>
    <w:rsid w:val="002D3711"/>
    <w:rsid w:val="002D45F6"/>
    <w:rsid w:val="002D68EA"/>
    <w:rsid w:val="002D6DC9"/>
    <w:rsid w:val="002E06AF"/>
    <w:rsid w:val="002E0AEE"/>
    <w:rsid w:val="002E0CF7"/>
    <w:rsid w:val="002E1935"/>
    <w:rsid w:val="002E4244"/>
    <w:rsid w:val="002E58E0"/>
    <w:rsid w:val="002E7609"/>
    <w:rsid w:val="002F112E"/>
    <w:rsid w:val="002F2275"/>
    <w:rsid w:val="00303BA3"/>
    <w:rsid w:val="00304311"/>
    <w:rsid w:val="00305D8C"/>
    <w:rsid w:val="0030653D"/>
    <w:rsid w:val="00312ED2"/>
    <w:rsid w:val="00316077"/>
    <w:rsid w:val="003164F3"/>
    <w:rsid w:val="00320469"/>
    <w:rsid w:val="003222F5"/>
    <w:rsid w:val="00324463"/>
    <w:rsid w:val="0032459F"/>
    <w:rsid w:val="00324B58"/>
    <w:rsid w:val="00325364"/>
    <w:rsid w:val="0032704C"/>
    <w:rsid w:val="003306E9"/>
    <w:rsid w:val="003333E6"/>
    <w:rsid w:val="003343AD"/>
    <w:rsid w:val="0033640E"/>
    <w:rsid w:val="00337AE9"/>
    <w:rsid w:val="0034269C"/>
    <w:rsid w:val="003472EE"/>
    <w:rsid w:val="00347A50"/>
    <w:rsid w:val="00347CE3"/>
    <w:rsid w:val="00352CE8"/>
    <w:rsid w:val="00357C4C"/>
    <w:rsid w:val="00360678"/>
    <w:rsid w:val="00367E0C"/>
    <w:rsid w:val="00373C88"/>
    <w:rsid w:val="00380BF5"/>
    <w:rsid w:val="00384A23"/>
    <w:rsid w:val="00384EB2"/>
    <w:rsid w:val="00385125"/>
    <w:rsid w:val="00386C89"/>
    <w:rsid w:val="003875B1"/>
    <w:rsid w:val="00391381"/>
    <w:rsid w:val="00392307"/>
    <w:rsid w:val="003934A1"/>
    <w:rsid w:val="00393F1D"/>
    <w:rsid w:val="003A46EC"/>
    <w:rsid w:val="003A5B84"/>
    <w:rsid w:val="003A7A3A"/>
    <w:rsid w:val="003B2A47"/>
    <w:rsid w:val="003B3A73"/>
    <w:rsid w:val="003B3E53"/>
    <w:rsid w:val="003C0796"/>
    <w:rsid w:val="003C0F21"/>
    <w:rsid w:val="003C132B"/>
    <w:rsid w:val="003C39F0"/>
    <w:rsid w:val="003C4BBD"/>
    <w:rsid w:val="003C598F"/>
    <w:rsid w:val="003D10F1"/>
    <w:rsid w:val="003D5794"/>
    <w:rsid w:val="003E3305"/>
    <w:rsid w:val="003E4310"/>
    <w:rsid w:val="003E4C00"/>
    <w:rsid w:val="003E6331"/>
    <w:rsid w:val="003F0345"/>
    <w:rsid w:val="003F6066"/>
    <w:rsid w:val="00401A6F"/>
    <w:rsid w:val="00410D78"/>
    <w:rsid w:val="00412645"/>
    <w:rsid w:val="004159B0"/>
    <w:rsid w:val="00421B3E"/>
    <w:rsid w:val="00423EBC"/>
    <w:rsid w:val="00425392"/>
    <w:rsid w:val="0042738A"/>
    <w:rsid w:val="00427A16"/>
    <w:rsid w:val="0043394C"/>
    <w:rsid w:val="00434CDC"/>
    <w:rsid w:val="00435073"/>
    <w:rsid w:val="00435E83"/>
    <w:rsid w:val="004360C1"/>
    <w:rsid w:val="00437B8D"/>
    <w:rsid w:val="00437E92"/>
    <w:rsid w:val="00444CF6"/>
    <w:rsid w:val="0044534B"/>
    <w:rsid w:val="00450D82"/>
    <w:rsid w:val="004535CB"/>
    <w:rsid w:val="0045751F"/>
    <w:rsid w:val="004603A8"/>
    <w:rsid w:val="00460549"/>
    <w:rsid w:val="00460F2F"/>
    <w:rsid w:val="004631B0"/>
    <w:rsid w:val="00466666"/>
    <w:rsid w:val="00466E65"/>
    <w:rsid w:val="00474AD6"/>
    <w:rsid w:val="00480D91"/>
    <w:rsid w:val="004851CA"/>
    <w:rsid w:val="0049208E"/>
    <w:rsid w:val="00494CF2"/>
    <w:rsid w:val="0049728B"/>
    <w:rsid w:val="004A0BB7"/>
    <w:rsid w:val="004A40C2"/>
    <w:rsid w:val="004A5675"/>
    <w:rsid w:val="004A7C06"/>
    <w:rsid w:val="004C1F90"/>
    <w:rsid w:val="004C3D99"/>
    <w:rsid w:val="004C4643"/>
    <w:rsid w:val="004D035B"/>
    <w:rsid w:val="004D11D1"/>
    <w:rsid w:val="004D443C"/>
    <w:rsid w:val="004E66A4"/>
    <w:rsid w:val="004F0E8C"/>
    <w:rsid w:val="004F26BB"/>
    <w:rsid w:val="004F349A"/>
    <w:rsid w:val="005048FF"/>
    <w:rsid w:val="00513C04"/>
    <w:rsid w:val="00514263"/>
    <w:rsid w:val="005214A9"/>
    <w:rsid w:val="00522097"/>
    <w:rsid w:val="0052453F"/>
    <w:rsid w:val="005251BB"/>
    <w:rsid w:val="005307E6"/>
    <w:rsid w:val="00533ED5"/>
    <w:rsid w:val="00535FB0"/>
    <w:rsid w:val="00540D50"/>
    <w:rsid w:val="00541ADC"/>
    <w:rsid w:val="005453A4"/>
    <w:rsid w:val="00545BE9"/>
    <w:rsid w:val="00551FC7"/>
    <w:rsid w:val="00552319"/>
    <w:rsid w:val="005545F7"/>
    <w:rsid w:val="005574EA"/>
    <w:rsid w:val="0056151F"/>
    <w:rsid w:val="00563580"/>
    <w:rsid w:val="00563DC1"/>
    <w:rsid w:val="00564756"/>
    <w:rsid w:val="0057268D"/>
    <w:rsid w:val="00575EB6"/>
    <w:rsid w:val="005947C5"/>
    <w:rsid w:val="0059561A"/>
    <w:rsid w:val="00596751"/>
    <w:rsid w:val="005A0B2D"/>
    <w:rsid w:val="005A39E0"/>
    <w:rsid w:val="005A5253"/>
    <w:rsid w:val="005B05B7"/>
    <w:rsid w:val="005B49B8"/>
    <w:rsid w:val="005B626B"/>
    <w:rsid w:val="005C2E64"/>
    <w:rsid w:val="005C6D52"/>
    <w:rsid w:val="005D06E1"/>
    <w:rsid w:val="005D134C"/>
    <w:rsid w:val="005D4264"/>
    <w:rsid w:val="005D5DBF"/>
    <w:rsid w:val="005D7069"/>
    <w:rsid w:val="005D73CC"/>
    <w:rsid w:val="005D7B44"/>
    <w:rsid w:val="005E52E6"/>
    <w:rsid w:val="005F24E7"/>
    <w:rsid w:val="005F2F22"/>
    <w:rsid w:val="006008EF"/>
    <w:rsid w:val="0060300B"/>
    <w:rsid w:val="006030CA"/>
    <w:rsid w:val="00603FD8"/>
    <w:rsid w:val="00606059"/>
    <w:rsid w:val="00610AD7"/>
    <w:rsid w:val="0061189B"/>
    <w:rsid w:val="006143B0"/>
    <w:rsid w:val="00614B82"/>
    <w:rsid w:val="0062265A"/>
    <w:rsid w:val="00623551"/>
    <w:rsid w:val="006248F5"/>
    <w:rsid w:val="006311CD"/>
    <w:rsid w:val="00631358"/>
    <w:rsid w:val="0063163A"/>
    <w:rsid w:val="00637188"/>
    <w:rsid w:val="00641D38"/>
    <w:rsid w:val="0064336B"/>
    <w:rsid w:val="006526F5"/>
    <w:rsid w:val="00653D80"/>
    <w:rsid w:val="006555D9"/>
    <w:rsid w:val="00655B59"/>
    <w:rsid w:val="0066418D"/>
    <w:rsid w:val="00666C26"/>
    <w:rsid w:val="006675D4"/>
    <w:rsid w:val="006724B8"/>
    <w:rsid w:val="00673271"/>
    <w:rsid w:val="00674ED1"/>
    <w:rsid w:val="006773BA"/>
    <w:rsid w:val="00680823"/>
    <w:rsid w:val="00680F38"/>
    <w:rsid w:val="00682ED6"/>
    <w:rsid w:val="00683E2D"/>
    <w:rsid w:val="00691003"/>
    <w:rsid w:val="00693B0D"/>
    <w:rsid w:val="00695322"/>
    <w:rsid w:val="006A7816"/>
    <w:rsid w:val="006B2041"/>
    <w:rsid w:val="006B537B"/>
    <w:rsid w:val="006B5CA6"/>
    <w:rsid w:val="006B662B"/>
    <w:rsid w:val="006B72B5"/>
    <w:rsid w:val="006C0836"/>
    <w:rsid w:val="006C3FA6"/>
    <w:rsid w:val="006C61B3"/>
    <w:rsid w:val="006C66E3"/>
    <w:rsid w:val="006C70AD"/>
    <w:rsid w:val="006D190B"/>
    <w:rsid w:val="006D3B1F"/>
    <w:rsid w:val="006E480B"/>
    <w:rsid w:val="006E55A8"/>
    <w:rsid w:val="006E7480"/>
    <w:rsid w:val="006E7C05"/>
    <w:rsid w:val="006F4288"/>
    <w:rsid w:val="006F47C8"/>
    <w:rsid w:val="00700950"/>
    <w:rsid w:val="00700F8E"/>
    <w:rsid w:val="007019C3"/>
    <w:rsid w:val="00702333"/>
    <w:rsid w:val="007144FA"/>
    <w:rsid w:val="00721C21"/>
    <w:rsid w:val="00722397"/>
    <w:rsid w:val="007238E5"/>
    <w:rsid w:val="00725EFB"/>
    <w:rsid w:val="0073037C"/>
    <w:rsid w:val="0073096F"/>
    <w:rsid w:val="007335A6"/>
    <w:rsid w:val="00733BC8"/>
    <w:rsid w:val="007340D2"/>
    <w:rsid w:val="00735A90"/>
    <w:rsid w:val="00741F94"/>
    <w:rsid w:val="00743495"/>
    <w:rsid w:val="0074726E"/>
    <w:rsid w:val="00747CC0"/>
    <w:rsid w:val="007541E7"/>
    <w:rsid w:val="0075617D"/>
    <w:rsid w:val="0076036B"/>
    <w:rsid w:val="00760A41"/>
    <w:rsid w:val="007634CB"/>
    <w:rsid w:val="007638B8"/>
    <w:rsid w:val="00764CEC"/>
    <w:rsid w:val="00765FD1"/>
    <w:rsid w:val="0077042F"/>
    <w:rsid w:val="00770E8D"/>
    <w:rsid w:val="007735D6"/>
    <w:rsid w:val="00773D9A"/>
    <w:rsid w:val="007764DA"/>
    <w:rsid w:val="00777BB1"/>
    <w:rsid w:val="00783F8B"/>
    <w:rsid w:val="00795D14"/>
    <w:rsid w:val="00795E41"/>
    <w:rsid w:val="007A0011"/>
    <w:rsid w:val="007B38AD"/>
    <w:rsid w:val="007B647E"/>
    <w:rsid w:val="007C00EE"/>
    <w:rsid w:val="007C65F4"/>
    <w:rsid w:val="007D3E6E"/>
    <w:rsid w:val="007D5280"/>
    <w:rsid w:val="007D7C98"/>
    <w:rsid w:val="007E0AA1"/>
    <w:rsid w:val="007E1F0E"/>
    <w:rsid w:val="007E2F2A"/>
    <w:rsid w:val="007E44BF"/>
    <w:rsid w:val="007E4505"/>
    <w:rsid w:val="007E5520"/>
    <w:rsid w:val="007E626C"/>
    <w:rsid w:val="007E6E94"/>
    <w:rsid w:val="007F4B00"/>
    <w:rsid w:val="007F5FCD"/>
    <w:rsid w:val="007F6C07"/>
    <w:rsid w:val="0080678E"/>
    <w:rsid w:val="00806C4F"/>
    <w:rsid w:val="0080782A"/>
    <w:rsid w:val="0082408B"/>
    <w:rsid w:val="0082683C"/>
    <w:rsid w:val="008302A5"/>
    <w:rsid w:val="008317EC"/>
    <w:rsid w:val="00832DF7"/>
    <w:rsid w:val="00842669"/>
    <w:rsid w:val="00844421"/>
    <w:rsid w:val="00850D03"/>
    <w:rsid w:val="008510EE"/>
    <w:rsid w:val="00852AE3"/>
    <w:rsid w:val="00852D39"/>
    <w:rsid w:val="0085564F"/>
    <w:rsid w:val="008556FF"/>
    <w:rsid w:val="00857743"/>
    <w:rsid w:val="00857C82"/>
    <w:rsid w:val="00860BEE"/>
    <w:rsid w:val="00863FAD"/>
    <w:rsid w:val="00864F60"/>
    <w:rsid w:val="0086511B"/>
    <w:rsid w:val="008657AE"/>
    <w:rsid w:val="008659BF"/>
    <w:rsid w:val="0086712B"/>
    <w:rsid w:val="00881EA5"/>
    <w:rsid w:val="00882F4F"/>
    <w:rsid w:val="00883111"/>
    <w:rsid w:val="00897B46"/>
    <w:rsid w:val="008A2466"/>
    <w:rsid w:val="008A4C96"/>
    <w:rsid w:val="008A4DAB"/>
    <w:rsid w:val="008A5C30"/>
    <w:rsid w:val="008A5D81"/>
    <w:rsid w:val="008A68B5"/>
    <w:rsid w:val="008B2433"/>
    <w:rsid w:val="008B627D"/>
    <w:rsid w:val="008B7A8F"/>
    <w:rsid w:val="008C13C4"/>
    <w:rsid w:val="008C49B3"/>
    <w:rsid w:val="008C7E62"/>
    <w:rsid w:val="008D7237"/>
    <w:rsid w:val="008E08BB"/>
    <w:rsid w:val="008E52C0"/>
    <w:rsid w:val="008E53A5"/>
    <w:rsid w:val="008E5947"/>
    <w:rsid w:val="008E6241"/>
    <w:rsid w:val="008E69E4"/>
    <w:rsid w:val="008E72F9"/>
    <w:rsid w:val="008E79BB"/>
    <w:rsid w:val="008E7F6F"/>
    <w:rsid w:val="00900C84"/>
    <w:rsid w:val="009023EF"/>
    <w:rsid w:val="0090654D"/>
    <w:rsid w:val="009070E4"/>
    <w:rsid w:val="00910BCE"/>
    <w:rsid w:val="009111E3"/>
    <w:rsid w:val="00914F18"/>
    <w:rsid w:val="00920989"/>
    <w:rsid w:val="00921BF9"/>
    <w:rsid w:val="009327BF"/>
    <w:rsid w:val="00932ECE"/>
    <w:rsid w:val="00933F7A"/>
    <w:rsid w:val="00940440"/>
    <w:rsid w:val="00940932"/>
    <w:rsid w:val="00941FD9"/>
    <w:rsid w:val="00942A16"/>
    <w:rsid w:val="00944946"/>
    <w:rsid w:val="009511B3"/>
    <w:rsid w:val="009513E1"/>
    <w:rsid w:val="00956897"/>
    <w:rsid w:val="00965276"/>
    <w:rsid w:val="009656CD"/>
    <w:rsid w:val="00971FD1"/>
    <w:rsid w:val="00975902"/>
    <w:rsid w:val="00976A5F"/>
    <w:rsid w:val="00977713"/>
    <w:rsid w:val="00977892"/>
    <w:rsid w:val="00980598"/>
    <w:rsid w:val="00990D5E"/>
    <w:rsid w:val="00991244"/>
    <w:rsid w:val="00992416"/>
    <w:rsid w:val="009A4492"/>
    <w:rsid w:val="009A4E83"/>
    <w:rsid w:val="009A7F6C"/>
    <w:rsid w:val="009B0535"/>
    <w:rsid w:val="009B0920"/>
    <w:rsid w:val="009B1F94"/>
    <w:rsid w:val="009B5737"/>
    <w:rsid w:val="009C19CC"/>
    <w:rsid w:val="009C36ED"/>
    <w:rsid w:val="009C45A5"/>
    <w:rsid w:val="009C590F"/>
    <w:rsid w:val="009C5B3E"/>
    <w:rsid w:val="009C7318"/>
    <w:rsid w:val="009C7C7A"/>
    <w:rsid w:val="009D23A1"/>
    <w:rsid w:val="009D3F5E"/>
    <w:rsid w:val="009D6242"/>
    <w:rsid w:val="009D64C3"/>
    <w:rsid w:val="009D74FA"/>
    <w:rsid w:val="009E0361"/>
    <w:rsid w:val="009E08FC"/>
    <w:rsid w:val="009E301D"/>
    <w:rsid w:val="009F3524"/>
    <w:rsid w:val="009F575A"/>
    <w:rsid w:val="009F6D17"/>
    <w:rsid w:val="00A01C51"/>
    <w:rsid w:val="00A020D5"/>
    <w:rsid w:val="00A03CAB"/>
    <w:rsid w:val="00A0510B"/>
    <w:rsid w:val="00A0762B"/>
    <w:rsid w:val="00A139CF"/>
    <w:rsid w:val="00A20622"/>
    <w:rsid w:val="00A21E3B"/>
    <w:rsid w:val="00A27F53"/>
    <w:rsid w:val="00A30A81"/>
    <w:rsid w:val="00A31830"/>
    <w:rsid w:val="00A32ED1"/>
    <w:rsid w:val="00A33AD7"/>
    <w:rsid w:val="00A33BB9"/>
    <w:rsid w:val="00A34A79"/>
    <w:rsid w:val="00A35806"/>
    <w:rsid w:val="00A35895"/>
    <w:rsid w:val="00A37CC1"/>
    <w:rsid w:val="00A43845"/>
    <w:rsid w:val="00A45372"/>
    <w:rsid w:val="00A45B90"/>
    <w:rsid w:val="00A47A26"/>
    <w:rsid w:val="00A50553"/>
    <w:rsid w:val="00A50B96"/>
    <w:rsid w:val="00A5287F"/>
    <w:rsid w:val="00A52F4B"/>
    <w:rsid w:val="00A5369F"/>
    <w:rsid w:val="00A55E6F"/>
    <w:rsid w:val="00A6118D"/>
    <w:rsid w:val="00A62C39"/>
    <w:rsid w:val="00A63019"/>
    <w:rsid w:val="00A649BA"/>
    <w:rsid w:val="00A652F2"/>
    <w:rsid w:val="00A65E94"/>
    <w:rsid w:val="00A70234"/>
    <w:rsid w:val="00A704E5"/>
    <w:rsid w:val="00A72F0F"/>
    <w:rsid w:val="00A73077"/>
    <w:rsid w:val="00A76CE4"/>
    <w:rsid w:val="00A778E5"/>
    <w:rsid w:val="00A810FF"/>
    <w:rsid w:val="00A815C4"/>
    <w:rsid w:val="00A82BDF"/>
    <w:rsid w:val="00A83A57"/>
    <w:rsid w:val="00A90C98"/>
    <w:rsid w:val="00A90E6A"/>
    <w:rsid w:val="00A95A1F"/>
    <w:rsid w:val="00AA2F2D"/>
    <w:rsid w:val="00AA6C72"/>
    <w:rsid w:val="00AA7CC5"/>
    <w:rsid w:val="00AB191A"/>
    <w:rsid w:val="00AB57A3"/>
    <w:rsid w:val="00AC03FC"/>
    <w:rsid w:val="00AC379B"/>
    <w:rsid w:val="00AC3E4A"/>
    <w:rsid w:val="00AC5EE0"/>
    <w:rsid w:val="00AC69B7"/>
    <w:rsid w:val="00AD0071"/>
    <w:rsid w:val="00AD153E"/>
    <w:rsid w:val="00AE3E99"/>
    <w:rsid w:val="00AE5051"/>
    <w:rsid w:val="00AF30D7"/>
    <w:rsid w:val="00AF3584"/>
    <w:rsid w:val="00AF3CEE"/>
    <w:rsid w:val="00AF52F9"/>
    <w:rsid w:val="00AF6FC7"/>
    <w:rsid w:val="00B04D15"/>
    <w:rsid w:val="00B04F4E"/>
    <w:rsid w:val="00B06376"/>
    <w:rsid w:val="00B11255"/>
    <w:rsid w:val="00B15FC1"/>
    <w:rsid w:val="00B174EF"/>
    <w:rsid w:val="00B200D9"/>
    <w:rsid w:val="00B2439B"/>
    <w:rsid w:val="00B2457A"/>
    <w:rsid w:val="00B31359"/>
    <w:rsid w:val="00B31643"/>
    <w:rsid w:val="00B3173C"/>
    <w:rsid w:val="00B34162"/>
    <w:rsid w:val="00B35C54"/>
    <w:rsid w:val="00B4425F"/>
    <w:rsid w:val="00B6155E"/>
    <w:rsid w:val="00B64A8E"/>
    <w:rsid w:val="00B64C92"/>
    <w:rsid w:val="00B6623A"/>
    <w:rsid w:val="00B671A0"/>
    <w:rsid w:val="00B77661"/>
    <w:rsid w:val="00B77855"/>
    <w:rsid w:val="00B80057"/>
    <w:rsid w:val="00B80E31"/>
    <w:rsid w:val="00B825DD"/>
    <w:rsid w:val="00B8274E"/>
    <w:rsid w:val="00B831EF"/>
    <w:rsid w:val="00B8575B"/>
    <w:rsid w:val="00B87F4B"/>
    <w:rsid w:val="00B934DA"/>
    <w:rsid w:val="00B9410D"/>
    <w:rsid w:val="00B957BA"/>
    <w:rsid w:val="00B96C88"/>
    <w:rsid w:val="00B9762C"/>
    <w:rsid w:val="00B9784C"/>
    <w:rsid w:val="00BA0FC2"/>
    <w:rsid w:val="00BA1C49"/>
    <w:rsid w:val="00BA2849"/>
    <w:rsid w:val="00BA3D17"/>
    <w:rsid w:val="00BA4492"/>
    <w:rsid w:val="00BA494D"/>
    <w:rsid w:val="00BA55D3"/>
    <w:rsid w:val="00BA5F31"/>
    <w:rsid w:val="00BB140C"/>
    <w:rsid w:val="00BB2B3B"/>
    <w:rsid w:val="00BC22E5"/>
    <w:rsid w:val="00BD243B"/>
    <w:rsid w:val="00BD7393"/>
    <w:rsid w:val="00BE2DA5"/>
    <w:rsid w:val="00BE47D0"/>
    <w:rsid w:val="00BE5955"/>
    <w:rsid w:val="00BF3F45"/>
    <w:rsid w:val="00BF46AD"/>
    <w:rsid w:val="00BF6E27"/>
    <w:rsid w:val="00BF75FD"/>
    <w:rsid w:val="00C0475F"/>
    <w:rsid w:val="00C13756"/>
    <w:rsid w:val="00C13A2D"/>
    <w:rsid w:val="00C158B0"/>
    <w:rsid w:val="00C22DFD"/>
    <w:rsid w:val="00C267C6"/>
    <w:rsid w:val="00C443AC"/>
    <w:rsid w:val="00C448E4"/>
    <w:rsid w:val="00C531D4"/>
    <w:rsid w:val="00C533FC"/>
    <w:rsid w:val="00C538E9"/>
    <w:rsid w:val="00C53BCF"/>
    <w:rsid w:val="00C639A2"/>
    <w:rsid w:val="00C73AA2"/>
    <w:rsid w:val="00C74710"/>
    <w:rsid w:val="00C74EAB"/>
    <w:rsid w:val="00C83050"/>
    <w:rsid w:val="00C83E09"/>
    <w:rsid w:val="00C8402A"/>
    <w:rsid w:val="00C856EE"/>
    <w:rsid w:val="00C87827"/>
    <w:rsid w:val="00C92547"/>
    <w:rsid w:val="00C93961"/>
    <w:rsid w:val="00C9406C"/>
    <w:rsid w:val="00C9612E"/>
    <w:rsid w:val="00CA0A09"/>
    <w:rsid w:val="00CA1D40"/>
    <w:rsid w:val="00CA2352"/>
    <w:rsid w:val="00CA42EC"/>
    <w:rsid w:val="00CA570D"/>
    <w:rsid w:val="00CB3DB3"/>
    <w:rsid w:val="00CB4AD4"/>
    <w:rsid w:val="00CB5543"/>
    <w:rsid w:val="00CB6B8B"/>
    <w:rsid w:val="00CC2F36"/>
    <w:rsid w:val="00CD01FA"/>
    <w:rsid w:val="00CD403C"/>
    <w:rsid w:val="00CE470A"/>
    <w:rsid w:val="00CE564B"/>
    <w:rsid w:val="00CE5712"/>
    <w:rsid w:val="00CE57F8"/>
    <w:rsid w:val="00CF3832"/>
    <w:rsid w:val="00CF482D"/>
    <w:rsid w:val="00CF4964"/>
    <w:rsid w:val="00CF544C"/>
    <w:rsid w:val="00CF66B5"/>
    <w:rsid w:val="00D01127"/>
    <w:rsid w:val="00D03A31"/>
    <w:rsid w:val="00D0419B"/>
    <w:rsid w:val="00D0428B"/>
    <w:rsid w:val="00D126DC"/>
    <w:rsid w:val="00D1291B"/>
    <w:rsid w:val="00D141F7"/>
    <w:rsid w:val="00D21BBF"/>
    <w:rsid w:val="00D2470A"/>
    <w:rsid w:val="00D25673"/>
    <w:rsid w:val="00D270C6"/>
    <w:rsid w:val="00D27110"/>
    <w:rsid w:val="00D3348D"/>
    <w:rsid w:val="00D346C3"/>
    <w:rsid w:val="00D34CB2"/>
    <w:rsid w:val="00D3635B"/>
    <w:rsid w:val="00D40C7D"/>
    <w:rsid w:val="00D47274"/>
    <w:rsid w:val="00D53B5D"/>
    <w:rsid w:val="00D63737"/>
    <w:rsid w:val="00D63A43"/>
    <w:rsid w:val="00D65902"/>
    <w:rsid w:val="00D709E2"/>
    <w:rsid w:val="00D771F5"/>
    <w:rsid w:val="00D805CD"/>
    <w:rsid w:val="00D80E94"/>
    <w:rsid w:val="00D84EF4"/>
    <w:rsid w:val="00D90BC9"/>
    <w:rsid w:val="00D93FA1"/>
    <w:rsid w:val="00D95A03"/>
    <w:rsid w:val="00D97103"/>
    <w:rsid w:val="00DA7EEA"/>
    <w:rsid w:val="00DB5668"/>
    <w:rsid w:val="00DB7B7E"/>
    <w:rsid w:val="00DC038D"/>
    <w:rsid w:val="00DC0393"/>
    <w:rsid w:val="00DC2EB1"/>
    <w:rsid w:val="00DC5CC8"/>
    <w:rsid w:val="00DC6F16"/>
    <w:rsid w:val="00DD09DC"/>
    <w:rsid w:val="00DD149C"/>
    <w:rsid w:val="00DE163D"/>
    <w:rsid w:val="00DE2741"/>
    <w:rsid w:val="00DE53F2"/>
    <w:rsid w:val="00DF2488"/>
    <w:rsid w:val="00DF6FFD"/>
    <w:rsid w:val="00DF7F33"/>
    <w:rsid w:val="00E0151E"/>
    <w:rsid w:val="00E03725"/>
    <w:rsid w:val="00E05AA8"/>
    <w:rsid w:val="00E12903"/>
    <w:rsid w:val="00E14325"/>
    <w:rsid w:val="00E20C57"/>
    <w:rsid w:val="00E31E94"/>
    <w:rsid w:val="00E33809"/>
    <w:rsid w:val="00E36D7F"/>
    <w:rsid w:val="00E37544"/>
    <w:rsid w:val="00E41E8C"/>
    <w:rsid w:val="00E426B5"/>
    <w:rsid w:val="00E4555D"/>
    <w:rsid w:val="00E528C4"/>
    <w:rsid w:val="00E53454"/>
    <w:rsid w:val="00E5549A"/>
    <w:rsid w:val="00E6084A"/>
    <w:rsid w:val="00E617A6"/>
    <w:rsid w:val="00E6361C"/>
    <w:rsid w:val="00E64BE8"/>
    <w:rsid w:val="00E650BE"/>
    <w:rsid w:val="00E65A1E"/>
    <w:rsid w:val="00E66258"/>
    <w:rsid w:val="00E668C2"/>
    <w:rsid w:val="00E67D9E"/>
    <w:rsid w:val="00E710CD"/>
    <w:rsid w:val="00E738FB"/>
    <w:rsid w:val="00E73B11"/>
    <w:rsid w:val="00E743DC"/>
    <w:rsid w:val="00E77141"/>
    <w:rsid w:val="00E82983"/>
    <w:rsid w:val="00E837EE"/>
    <w:rsid w:val="00E84122"/>
    <w:rsid w:val="00E92228"/>
    <w:rsid w:val="00E93043"/>
    <w:rsid w:val="00E952DD"/>
    <w:rsid w:val="00EA033A"/>
    <w:rsid w:val="00EA453F"/>
    <w:rsid w:val="00EA7516"/>
    <w:rsid w:val="00EB0E27"/>
    <w:rsid w:val="00EB2EE6"/>
    <w:rsid w:val="00EB646A"/>
    <w:rsid w:val="00EB7533"/>
    <w:rsid w:val="00EC2383"/>
    <w:rsid w:val="00EC634A"/>
    <w:rsid w:val="00EC6C00"/>
    <w:rsid w:val="00EC71DB"/>
    <w:rsid w:val="00EC7B66"/>
    <w:rsid w:val="00ED1408"/>
    <w:rsid w:val="00ED6414"/>
    <w:rsid w:val="00ED78C5"/>
    <w:rsid w:val="00EE257B"/>
    <w:rsid w:val="00EE3755"/>
    <w:rsid w:val="00EE5DB8"/>
    <w:rsid w:val="00EF0015"/>
    <w:rsid w:val="00EF0259"/>
    <w:rsid w:val="00EF0B27"/>
    <w:rsid w:val="00EF1E9F"/>
    <w:rsid w:val="00EF4F6B"/>
    <w:rsid w:val="00EF5581"/>
    <w:rsid w:val="00F01711"/>
    <w:rsid w:val="00F01BA9"/>
    <w:rsid w:val="00F02F70"/>
    <w:rsid w:val="00F0715A"/>
    <w:rsid w:val="00F100F9"/>
    <w:rsid w:val="00F14ED7"/>
    <w:rsid w:val="00F22B19"/>
    <w:rsid w:val="00F2396E"/>
    <w:rsid w:val="00F264F6"/>
    <w:rsid w:val="00F31A53"/>
    <w:rsid w:val="00F34F3A"/>
    <w:rsid w:val="00F35E67"/>
    <w:rsid w:val="00F4026F"/>
    <w:rsid w:val="00F4029F"/>
    <w:rsid w:val="00F40742"/>
    <w:rsid w:val="00F44585"/>
    <w:rsid w:val="00F46500"/>
    <w:rsid w:val="00F46565"/>
    <w:rsid w:val="00F62E86"/>
    <w:rsid w:val="00F63DAF"/>
    <w:rsid w:val="00F642E1"/>
    <w:rsid w:val="00F70420"/>
    <w:rsid w:val="00F844CB"/>
    <w:rsid w:val="00F84829"/>
    <w:rsid w:val="00F8623C"/>
    <w:rsid w:val="00F90844"/>
    <w:rsid w:val="00F92A23"/>
    <w:rsid w:val="00F94FD0"/>
    <w:rsid w:val="00F96439"/>
    <w:rsid w:val="00F969AC"/>
    <w:rsid w:val="00FA1FC3"/>
    <w:rsid w:val="00FA4F40"/>
    <w:rsid w:val="00FB1C47"/>
    <w:rsid w:val="00FB2636"/>
    <w:rsid w:val="00FB2F6E"/>
    <w:rsid w:val="00FB5149"/>
    <w:rsid w:val="00FB74FD"/>
    <w:rsid w:val="00FC32D2"/>
    <w:rsid w:val="00FC5FA6"/>
    <w:rsid w:val="00FD38E1"/>
    <w:rsid w:val="00FD4C60"/>
    <w:rsid w:val="00FD5FAF"/>
    <w:rsid w:val="00FD659D"/>
    <w:rsid w:val="00FE1CD9"/>
    <w:rsid w:val="00FE2EB6"/>
    <w:rsid w:val="00FF4B61"/>
    <w:rsid w:val="00FF5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58DC7"/>
  <w15:chartTrackingRefBased/>
  <w15:docId w15:val="{F6F72812-DC26-44C5-BD87-1DDE6873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AD7"/>
  </w:style>
  <w:style w:type="paragraph" w:styleId="Heading1">
    <w:name w:val="heading 1"/>
    <w:basedOn w:val="Normal"/>
    <w:next w:val="Normal"/>
    <w:link w:val="Heading1Char"/>
    <w:uiPriority w:val="9"/>
    <w:qFormat/>
    <w:rsid w:val="00C158B0"/>
    <w:pPr>
      <w:tabs>
        <w:tab w:val="left" w:pos="6210"/>
      </w:tabs>
      <w:spacing w:after="0" w:line="360" w:lineRule="auto"/>
      <w:jc w:val="center"/>
      <w:outlineLvl w:val="0"/>
    </w:pPr>
    <w:rPr>
      <w:rFonts w:ascii="Times New Roman" w:hAnsi="Times New Roman" w:cs="Times New Roman"/>
      <w:b/>
      <w:bCs/>
      <w:sz w:val="26"/>
      <w:szCs w:val="26"/>
    </w:rPr>
  </w:style>
  <w:style w:type="paragraph" w:styleId="Heading2">
    <w:name w:val="heading 2"/>
    <w:basedOn w:val="Normal"/>
    <w:next w:val="Normal"/>
    <w:link w:val="Heading2Char"/>
    <w:uiPriority w:val="9"/>
    <w:unhideWhenUsed/>
    <w:qFormat/>
    <w:rsid w:val="00C158B0"/>
    <w:pPr>
      <w:tabs>
        <w:tab w:val="left" w:pos="6210"/>
      </w:tabs>
      <w:spacing w:after="0" w:line="360" w:lineRule="auto"/>
      <w:ind w:firstLine="630"/>
      <w:jc w:val="both"/>
      <w:outlineLvl w:val="1"/>
    </w:pPr>
    <w:rPr>
      <w:rFonts w:ascii="Times New Roman" w:hAnsi="Times New Roman" w:cs="Times New Roman"/>
      <w:b/>
      <w:bCs/>
      <w:sz w:val="26"/>
      <w:szCs w:val="26"/>
    </w:rPr>
  </w:style>
  <w:style w:type="paragraph" w:styleId="Heading3">
    <w:name w:val="heading 3"/>
    <w:basedOn w:val="Normal"/>
    <w:next w:val="Normal"/>
    <w:link w:val="Heading3Char"/>
    <w:uiPriority w:val="9"/>
    <w:unhideWhenUsed/>
    <w:qFormat/>
    <w:rsid w:val="00C158B0"/>
    <w:pPr>
      <w:tabs>
        <w:tab w:val="left" w:pos="6210"/>
      </w:tabs>
      <w:spacing w:after="0" w:line="360" w:lineRule="auto"/>
      <w:ind w:firstLine="630"/>
      <w:jc w:val="both"/>
      <w:outlineLvl w:val="2"/>
    </w:pPr>
    <w:rPr>
      <w:rFonts w:ascii="Times New Roman" w:hAnsi="Times New Roman" w:cs="Times New Roman"/>
      <w:b/>
      <w:bCs/>
      <w:i/>
      <w:iCs/>
      <w:sz w:val="26"/>
      <w:szCs w:val="26"/>
    </w:rPr>
  </w:style>
  <w:style w:type="paragraph" w:styleId="Heading4">
    <w:name w:val="heading 4"/>
    <w:basedOn w:val="Normal"/>
    <w:next w:val="Normal"/>
    <w:link w:val="Heading4Char"/>
    <w:uiPriority w:val="9"/>
    <w:unhideWhenUsed/>
    <w:qFormat/>
    <w:rsid w:val="00E20C5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20C5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20C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C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C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C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8B0"/>
    <w:rPr>
      <w:rFonts w:ascii="Times New Roman" w:hAnsi="Times New Roman" w:cs="Times New Roman"/>
      <w:b/>
      <w:bCs/>
      <w:sz w:val="26"/>
      <w:szCs w:val="26"/>
    </w:rPr>
  </w:style>
  <w:style w:type="character" w:customStyle="1" w:styleId="Heading2Char">
    <w:name w:val="Heading 2 Char"/>
    <w:basedOn w:val="DefaultParagraphFont"/>
    <w:link w:val="Heading2"/>
    <w:uiPriority w:val="9"/>
    <w:rsid w:val="00C158B0"/>
    <w:rPr>
      <w:rFonts w:ascii="Times New Roman" w:hAnsi="Times New Roman" w:cs="Times New Roman"/>
      <w:b/>
      <w:bCs/>
      <w:sz w:val="26"/>
      <w:szCs w:val="26"/>
    </w:rPr>
  </w:style>
  <w:style w:type="character" w:customStyle="1" w:styleId="Heading3Char">
    <w:name w:val="Heading 3 Char"/>
    <w:basedOn w:val="DefaultParagraphFont"/>
    <w:link w:val="Heading3"/>
    <w:uiPriority w:val="9"/>
    <w:rsid w:val="00C158B0"/>
    <w:rPr>
      <w:rFonts w:ascii="Times New Roman" w:hAnsi="Times New Roman" w:cs="Times New Roman"/>
      <w:b/>
      <w:bCs/>
      <w:i/>
      <w:iCs/>
      <w:sz w:val="26"/>
      <w:szCs w:val="26"/>
    </w:rPr>
  </w:style>
  <w:style w:type="character" w:customStyle="1" w:styleId="Heading4Char">
    <w:name w:val="Heading 4 Char"/>
    <w:basedOn w:val="DefaultParagraphFont"/>
    <w:link w:val="Heading4"/>
    <w:uiPriority w:val="9"/>
    <w:rsid w:val="00E20C5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20C5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20C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C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C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C57"/>
    <w:rPr>
      <w:rFonts w:eastAsiaTheme="majorEastAsia" w:cstheme="majorBidi"/>
      <w:color w:val="272727" w:themeColor="text1" w:themeTint="D8"/>
    </w:rPr>
  </w:style>
  <w:style w:type="paragraph" w:styleId="Title">
    <w:name w:val="Title"/>
    <w:basedOn w:val="Normal"/>
    <w:next w:val="Normal"/>
    <w:link w:val="TitleChar"/>
    <w:uiPriority w:val="10"/>
    <w:qFormat/>
    <w:rsid w:val="00E20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C5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C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C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0C57"/>
    <w:rPr>
      <w:i/>
      <w:iCs/>
      <w:color w:val="404040" w:themeColor="text1" w:themeTint="BF"/>
    </w:rPr>
  </w:style>
  <w:style w:type="paragraph" w:styleId="ListParagraph">
    <w:name w:val="List Paragraph"/>
    <w:basedOn w:val="Normal"/>
    <w:link w:val="ListParagraphChar"/>
    <w:uiPriority w:val="1"/>
    <w:qFormat/>
    <w:rsid w:val="00E20C57"/>
    <w:pPr>
      <w:ind w:left="720"/>
      <w:contextualSpacing/>
    </w:pPr>
  </w:style>
  <w:style w:type="character" w:styleId="IntenseEmphasis">
    <w:name w:val="Intense Emphasis"/>
    <w:basedOn w:val="DefaultParagraphFont"/>
    <w:uiPriority w:val="21"/>
    <w:qFormat/>
    <w:rsid w:val="00E20C57"/>
    <w:rPr>
      <w:i/>
      <w:iCs/>
      <w:color w:val="365F91" w:themeColor="accent1" w:themeShade="BF"/>
    </w:rPr>
  </w:style>
  <w:style w:type="paragraph" w:styleId="IntenseQuote">
    <w:name w:val="Intense Quote"/>
    <w:basedOn w:val="Normal"/>
    <w:next w:val="Normal"/>
    <w:link w:val="IntenseQuoteChar"/>
    <w:uiPriority w:val="30"/>
    <w:qFormat/>
    <w:rsid w:val="00E20C5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20C57"/>
    <w:rPr>
      <w:i/>
      <w:iCs/>
      <w:color w:val="365F91" w:themeColor="accent1" w:themeShade="BF"/>
    </w:rPr>
  </w:style>
  <w:style w:type="character" w:styleId="IntenseReference">
    <w:name w:val="Intense Reference"/>
    <w:basedOn w:val="DefaultParagraphFont"/>
    <w:uiPriority w:val="32"/>
    <w:qFormat/>
    <w:rsid w:val="00E20C57"/>
    <w:rPr>
      <w:b/>
      <w:bCs/>
      <w:smallCaps/>
      <w:color w:val="365F91" w:themeColor="accent1" w:themeShade="BF"/>
      <w:spacing w:val="5"/>
    </w:rPr>
  </w:style>
  <w:style w:type="paragraph" w:styleId="Header">
    <w:name w:val="header"/>
    <w:basedOn w:val="Normal"/>
    <w:link w:val="HeaderChar"/>
    <w:uiPriority w:val="99"/>
    <w:unhideWhenUsed/>
    <w:rsid w:val="00773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5D6"/>
  </w:style>
  <w:style w:type="paragraph" w:styleId="Footer">
    <w:name w:val="footer"/>
    <w:basedOn w:val="Normal"/>
    <w:link w:val="FooterChar"/>
    <w:uiPriority w:val="99"/>
    <w:unhideWhenUsed/>
    <w:rsid w:val="00773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5D6"/>
  </w:style>
  <w:style w:type="character" w:styleId="Hyperlink">
    <w:name w:val="Hyperlink"/>
    <w:basedOn w:val="DefaultParagraphFont"/>
    <w:uiPriority w:val="99"/>
    <w:unhideWhenUsed/>
    <w:rsid w:val="00325364"/>
    <w:rPr>
      <w:color w:val="0000FF" w:themeColor="hyperlink"/>
      <w:u w:val="single"/>
    </w:rPr>
  </w:style>
  <w:style w:type="character" w:styleId="UnresolvedMention">
    <w:name w:val="Unresolved Mention"/>
    <w:basedOn w:val="DefaultParagraphFont"/>
    <w:uiPriority w:val="99"/>
    <w:semiHidden/>
    <w:unhideWhenUsed/>
    <w:rsid w:val="00325364"/>
    <w:rPr>
      <w:color w:val="605E5C"/>
      <w:shd w:val="clear" w:color="auto" w:fill="E1DFDD"/>
    </w:rPr>
  </w:style>
  <w:style w:type="paragraph" w:styleId="NormalWeb">
    <w:name w:val="Normal (Web)"/>
    <w:basedOn w:val="Normal"/>
    <w:uiPriority w:val="99"/>
    <w:semiHidden/>
    <w:unhideWhenUsed/>
    <w:rsid w:val="00115D48"/>
    <w:rPr>
      <w:rFonts w:ascii="Times New Roman" w:hAnsi="Times New Roman" w:cs="Times New Roman"/>
      <w:sz w:val="24"/>
      <w:szCs w:val="24"/>
    </w:rPr>
  </w:style>
  <w:style w:type="table" w:styleId="TableGrid">
    <w:name w:val="Table Grid"/>
    <w:basedOn w:val="TableNormal"/>
    <w:uiPriority w:val="39"/>
    <w:rsid w:val="004A4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22397"/>
    <w:pPr>
      <w:spacing w:line="240" w:lineRule="auto"/>
      <w:ind w:firstLine="425"/>
      <w:jc w:val="both"/>
    </w:pPr>
    <w:rPr>
      <w:i/>
      <w:iCs/>
      <w:color w:val="1F497D" w:themeColor="text2"/>
      <w:sz w:val="18"/>
      <w:lang w:bidi="th-TH"/>
    </w:rPr>
  </w:style>
  <w:style w:type="character" w:styleId="Strong">
    <w:name w:val="Strong"/>
    <w:basedOn w:val="DefaultParagraphFont"/>
    <w:uiPriority w:val="22"/>
    <w:qFormat/>
    <w:rsid w:val="0023581A"/>
    <w:rPr>
      <w:b/>
      <w:bCs/>
    </w:rPr>
  </w:style>
  <w:style w:type="paragraph" w:styleId="Date">
    <w:name w:val="Date"/>
    <w:basedOn w:val="Normal"/>
    <w:next w:val="Normal"/>
    <w:link w:val="DateChar"/>
    <w:uiPriority w:val="99"/>
    <w:semiHidden/>
    <w:unhideWhenUsed/>
    <w:rsid w:val="006C61B3"/>
  </w:style>
  <w:style w:type="character" w:customStyle="1" w:styleId="DateChar">
    <w:name w:val="Date Char"/>
    <w:basedOn w:val="DefaultParagraphFont"/>
    <w:link w:val="Date"/>
    <w:uiPriority w:val="99"/>
    <w:semiHidden/>
    <w:rsid w:val="006C61B3"/>
  </w:style>
  <w:style w:type="character" w:customStyle="1" w:styleId="ListParagraphChar">
    <w:name w:val="List Paragraph Char"/>
    <w:basedOn w:val="DefaultParagraphFont"/>
    <w:link w:val="ListParagraph"/>
    <w:uiPriority w:val="34"/>
    <w:rsid w:val="00AA6C72"/>
  </w:style>
  <w:style w:type="paragraph" w:styleId="TOC1">
    <w:name w:val="toc 1"/>
    <w:basedOn w:val="Normal"/>
    <w:next w:val="Normal"/>
    <w:autoRedefine/>
    <w:uiPriority w:val="39"/>
    <w:unhideWhenUsed/>
    <w:rsid w:val="000A4267"/>
    <w:pPr>
      <w:tabs>
        <w:tab w:val="right" w:leader="dot" w:pos="8728"/>
      </w:tabs>
      <w:spacing w:after="100"/>
      <w:jc w:val="both"/>
    </w:pPr>
    <w:rPr>
      <w:rFonts w:ascii="Times New Roman" w:hAnsi="Times New Roman" w:cs="Times New Roman"/>
      <w:b/>
      <w:bCs/>
      <w:noProof/>
      <w:sz w:val="26"/>
      <w:szCs w:val="26"/>
      <w:lang w:val="vi-VN"/>
    </w:rPr>
  </w:style>
  <w:style w:type="paragraph" w:styleId="TOC2">
    <w:name w:val="toc 2"/>
    <w:basedOn w:val="Normal"/>
    <w:next w:val="Normal"/>
    <w:autoRedefine/>
    <w:uiPriority w:val="39"/>
    <w:unhideWhenUsed/>
    <w:rsid w:val="00EB0E27"/>
    <w:pPr>
      <w:tabs>
        <w:tab w:val="right" w:leader="dot" w:pos="8728"/>
      </w:tabs>
      <w:spacing w:after="100"/>
      <w:ind w:left="220"/>
    </w:pPr>
    <w:rPr>
      <w:rFonts w:ascii="Times New Roman" w:hAnsi="Times New Roman" w:cs="Times New Roman"/>
      <w:b/>
      <w:bCs/>
      <w:noProof/>
      <w:sz w:val="26"/>
      <w:szCs w:val="26"/>
      <w:lang w:val="vi-VN"/>
    </w:rPr>
  </w:style>
  <w:style w:type="paragraph" w:styleId="TOC3">
    <w:name w:val="toc 3"/>
    <w:basedOn w:val="Normal"/>
    <w:next w:val="Normal"/>
    <w:autoRedefine/>
    <w:uiPriority w:val="39"/>
    <w:unhideWhenUsed/>
    <w:rsid w:val="00B957BA"/>
    <w:pPr>
      <w:tabs>
        <w:tab w:val="left" w:pos="1134"/>
        <w:tab w:val="right" w:leader="dot" w:pos="8728"/>
      </w:tabs>
      <w:spacing w:after="100"/>
      <w:ind w:left="440"/>
    </w:pPr>
    <w:rPr>
      <w:rFonts w:ascii="Times New Roman" w:hAnsi="Times New Roman" w:cs="Times New Roman"/>
      <w:noProof/>
      <w:sz w:val="26"/>
      <w:szCs w:val="26"/>
      <w:lang w:val="vi-VN"/>
    </w:rPr>
  </w:style>
  <w:style w:type="paragraph" w:styleId="TOCHeading">
    <w:name w:val="TOC Heading"/>
    <w:basedOn w:val="Heading1"/>
    <w:next w:val="Normal"/>
    <w:uiPriority w:val="39"/>
    <w:unhideWhenUsed/>
    <w:qFormat/>
    <w:rsid w:val="00D3348D"/>
    <w:pPr>
      <w:keepNext/>
      <w:keepLines/>
      <w:tabs>
        <w:tab w:val="clear" w:pos="6210"/>
      </w:tabs>
      <w:spacing w:before="240" w:line="259" w:lineRule="auto"/>
      <w:jc w:val="left"/>
      <w:outlineLvl w:val="9"/>
    </w:pPr>
    <w:rPr>
      <w:rFonts w:asciiTheme="majorHAnsi" w:eastAsiaTheme="majorEastAsia" w:hAnsiTheme="majorHAnsi" w:cstheme="majorBidi"/>
      <w:b w:val="0"/>
      <w:bCs w:val="0"/>
      <w:color w:val="365F91" w:themeColor="accent1" w:themeShade="BF"/>
      <w:kern w:val="0"/>
      <w:sz w:val="32"/>
      <w:szCs w:val="32"/>
      <w14:ligatures w14:val="none"/>
    </w:rPr>
  </w:style>
  <w:style w:type="paragraph" w:styleId="TOC4">
    <w:name w:val="toc 4"/>
    <w:basedOn w:val="Normal"/>
    <w:next w:val="Normal"/>
    <w:autoRedefine/>
    <w:uiPriority w:val="39"/>
    <w:unhideWhenUsed/>
    <w:rsid w:val="00C92547"/>
    <w:pPr>
      <w:tabs>
        <w:tab w:val="right" w:leader="dot" w:pos="8728"/>
      </w:tabs>
      <w:spacing w:after="100"/>
      <w:ind w:left="660"/>
    </w:pPr>
    <w:rPr>
      <w:rFonts w:ascii="Times New Roman" w:hAnsi="Times New Roman" w:cs="Times New Roman"/>
      <w:i/>
      <w:iCs/>
      <w:noProof/>
      <w:sz w:val="26"/>
      <w:szCs w:val="26"/>
      <w:lang w:val="vi-VN"/>
    </w:rPr>
  </w:style>
  <w:style w:type="paragraph" w:styleId="TableofFigures">
    <w:name w:val="table of figures"/>
    <w:basedOn w:val="Normal"/>
    <w:next w:val="Normal"/>
    <w:uiPriority w:val="99"/>
    <w:unhideWhenUsed/>
    <w:rsid w:val="00882F4F"/>
    <w:pPr>
      <w:spacing w:after="0"/>
    </w:pPr>
  </w:style>
  <w:style w:type="paragraph" w:styleId="TOC5">
    <w:name w:val="toc 5"/>
    <w:basedOn w:val="Normal"/>
    <w:next w:val="Normal"/>
    <w:autoRedefine/>
    <w:uiPriority w:val="39"/>
    <w:unhideWhenUsed/>
    <w:rsid w:val="009E301D"/>
    <w:pPr>
      <w:spacing w:after="100" w:line="278" w:lineRule="auto"/>
      <w:ind w:left="960"/>
    </w:pPr>
    <w:rPr>
      <w:rFonts w:eastAsiaTheme="minorEastAsia"/>
      <w:sz w:val="24"/>
      <w:szCs w:val="24"/>
      <w:lang w:eastAsia="zh-CN"/>
    </w:rPr>
  </w:style>
  <w:style w:type="paragraph" w:styleId="TOC6">
    <w:name w:val="toc 6"/>
    <w:basedOn w:val="Normal"/>
    <w:next w:val="Normal"/>
    <w:autoRedefine/>
    <w:uiPriority w:val="39"/>
    <w:unhideWhenUsed/>
    <w:rsid w:val="009E301D"/>
    <w:pPr>
      <w:spacing w:after="100" w:line="278" w:lineRule="auto"/>
      <w:ind w:left="1200"/>
    </w:pPr>
    <w:rPr>
      <w:rFonts w:eastAsiaTheme="minorEastAsia"/>
      <w:sz w:val="24"/>
      <w:szCs w:val="24"/>
      <w:lang w:eastAsia="zh-CN"/>
    </w:rPr>
  </w:style>
  <w:style w:type="paragraph" w:styleId="TOC7">
    <w:name w:val="toc 7"/>
    <w:basedOn w:val="Normal"/>
    <w:next w:val="Normal"/>
    <w:autoRedefine/>
    <w:uiPriority w:val="39"/>
    <w:unhideWhenUsed/>
    <w:rsid w:val="009E301D"/>
    <w:pPr>
      <w:spacing w:after="100" w:line="278" w:lineRule="auto"/>
      <w:ind w:left="1440"/>
    </w:pPr>
    <w:rPr>
      <w:rFonts w:eastAsiaTheme="minorEastAsia"/>
      <w:sz w:val="24"/>
      <w:szCs w:val="24"/>
      <w:lang w:eastAsia="zh-CN"/>
    </w:rPr>
  </w:style>
  <w:style w:type="paragraph" w:styleId="TOC8">
    <w:name w:val="toc 8"/>
    <w:basedOn w:val="Normal"/>
    <w:next w:val="Normal"/>
    <w:autoRedefine/>
    <w:uiPriority w:val="39"/>
    <w:unhideWhenUsed/>
    <w:rsid w:val="009E301D"/>
    <w:pPr>
      <w:spacing w:after="100" w:line="278" w:lineRule="auto"/>
      <w:ind w:left="1680"/>
    </w:pPr>
    <w:rPr>
      <w:rFonts w:eastAsiaTheme="minorEastAsia"/>
      <w:sz w:val="24"/>
      <w:szCs w:val="24"/>
      <w:lang w:eastAsia="zh-CN"/>
    </w:rPr>
  </w:style>
  <w:style w:type="paragraph" w:styleId="TOC9">
    <w:name w:val="toc 9"/>
    <w:basedOn w:val="Normal"/>
    <w:next w:val="Normal"/>
    <w:autoRedefine/>
    <w:uiPriority w:val="39"/>
    <w:unhideWhenUsed/>
    <w:rsid w:val="009E301D"/>
    <w:pPr>
      <w:spacing w:after="100" w:line="278" w:lineRule="auto"/>
      <w:ind w:left="1920"/>
    </w:pPr>
    <w:rPr>
      <w:rFonts w:eastAsiaTheme="minorEastAsia"/>
      <w:sz w:val="24"/>
      <w:szCs w:val="24"/>
      <w:lang w:eastAsia="zh-CN"/>
    </w:rPr>
  </w:style>
  <w:style w:type="paragraph" w:styleId="BodyText">
    <w:name w:val="Body Text"/>
    <w:basedOn w:val="Normal"/>
    <w:link w:val="BodyTextChar"/>
    <w:uiPriority w:val="1"/>
    <w:qFormat/>
    <w:rsid w:val="00D709E2"/>
    <w:pPr>
      <w:widowControl w:val="0"/>
      <w:autoSpaceDE w:val="0"/>
      <w:autoSpaceDN w:val="0"/>
      <w:spacing w:after="0" w:line="240" w:lineRule="auto"/>
      <w:ind w:left="142"/>
    </w:pPr>
    <w:rPr>
      <w:rFonts w:ascii="Times New Roman" w:eastAsia="Times New Roman" w:hAnsi="Times New Roman" w:cs="Times New Roman"/>
      <w:kern w:val="0"/>
      <w:sz w:val="26"/>
      <w:szCs w:val="26"/>
      <w:lang w:val="vi"/>
      <w14:ligatures w14:val="none"/>
    </w:rPr>
  </w:style>
  <w:style w:type="character" w:customStyle="1" w:styleId="BodyTextChar">
    <w:name w:val="Body Text Char"/>
    <w:basedOn w:val="DefaultParagraphFont"/>
    <w:link w:val="BodyText"/>
    <w:uiPriority w:val="1"/>
    <w:rsid w:val="00D709E2"/>
    <w:rPr>
      <w:rFonts w:ascii="Times New Roman" w:eastAsia="Times New Roman" w:hAnsi="Times New Roman" w:cs="Times New Roman"/>
      <w:kern w:val="0"/>
      <w:sz w:val="26"/>
      <w:szCs w:val="26"/>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huvienphapluat.vn/van-ban/Tien-te-Ngan-hang/Luat-Ngan-hang-Nha-nuoc-Viet-Nam-2010-108078.asp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01C9F-BB03-4990-88F3-2125C13B3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94</Pages>
  <Words>27247</Words>
  <Characters>155312</Characters>
  <Application>Microsoft Office Word</Application>
  <DocSecurity>0</DocSecurity>
  <Lines>1294</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huunhan nhan</dc:creator>
  <cp:keywords/>
  <dc:description/>
  <cp:lastModifiedBy>Administrator</cp:lastModifiedBy>
  <cp:revision>27</cp:revision>
  <cp:lastPrinted>2026-05-28T11:05:00Z</cp:lastPrinted>
  <dcterms:created xsi:type="dcterms:W3CDTF">2026-05-29T08:12:00Z</dcterms:created>
  <dcterms:modified xsi:type="dcterms:W3CDTF">2026-05-29T09:10:00Z</dcterms:modified>
</cp:coreProperties>
</file>